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F5FA4" w:rsidRDefault="00EF5FA4" w:rsidP="00EF5FA4">
      <w:pPr>
        <w:pStyle w:val="NormalWeb"/>
        <w:shd w:val="clear" w:color="auto" w:fill="FFFFFF"/>
        <w:spacing w:before="0" w:beforeAutospacing="0" w:after="360" w:afterAutospacing="0"/>
        <w:jc w:val="both"/>
        <w:rPr>
          <w:b/>
        </w:rPr>
      </w:pPr>
      <w:r w:rsidRPr="004D6801">
        <w:rPr>
          <w:b/>
        </w:rPr>
        <w:t>Pap</w:t>
      </w:r>
      <w:r w:rsidR="00BD1FDC">
        <w:rPr>
          <w:b/>
        </w:rPr>
        <w:t>er -</w:t>
      </w:r>
      <w:r w:rsidR="00FD1CC5">
        <w:rPr>
          <w:b/>
        </w:rPr>
        <w:t xml:space="preserve"> ¿Por qué la juventud europea tiene que vivir peor que sus padres</w:t>
      </w:r>
      <w:r w:rsidRPr="004D6801">
        <w:rPr>
          <w:b/>
        </w:rPr>
        <w:t>?¿Para qué</w:t>
      </w:r>
      <w:r>
        <w:rPr>
          <w:b/>
        </w:rPr>
        <w:t xml:space="preserve"> le ha servido la</w:t>
      </w:r>
      <w:r w:rsidR="004B2C1A">
        <w:rPr>
          <w:b/>
        </w:rPr>
        <w:t xml:space="preserve"> </w:t>
      </w:r>
      <w:r>
        <w:rPr>
          <w:b/>
        </w:rPr>
        <w:t>“</w:t>
      </w:r>
      <w:r w:rsidRPr="004D6801">
        <w:rPr>
          <w:b/>
        </w:rPr>
        <w:t>globaliz</w:t>
      </w:r>
      <w:r>
        <w:rPr>
          <w:b/>
        </w:rPr>
        <w:t>ación” de la economía?</w:t>
      </w:r>
    </w:p>
    <w:p w:rsidR="00EF5FA4" w:rsidRDefault="00EF5FA4" w:rsidP="00EF5FA4">
      <w:pPr>
        <w:pStyle w:val="NormalWeb"/>
        <w:shd w:val="clear" w:color="auto" w:fill="FFFFFF"/>
        <w:spacing w:before="0" w:beforeAutospacing="0" w:after="360" w:afterAutospacing="0"/>
        <w:jc w:val="both"/>
      </w:pPr>
      <w:r>
        <w:rPr>
          <w:noProof/>
          <w:lang w:val="en-GB" w:eastAsia="zh-CN"/>
        </w:rPr>
        <w:drawing>
          <wp:inline distT="0" distB="0" distL="0" distR="0">
            <wp:extent cx="5734049" cy="3257550"/>
            <wp:effectExtent l="0" t="0" r="635" b="0"/>
            <wp:docPr id="81" name="Imagen 81" descr="Mendigo y sus mascot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endigo y sus mascotas"/>
                    <pic:cNvPicPr>
                      <a:picLocks noChangeAspect="1" noChangeArrowheads="1"/>
                    </pic:cNvPicPr>
                  </pic:nvPicPr>
                  <pic:blipFill>
                    <a:blip r:embed="rId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1510" cy="3256107"/>
                    </a:xfrm>
                    <a:prstGeom prst="rect">
                      <a:avLst/>
                    </a:prstGeom>
                    <a:noFill/>
                    <a:ln>
                      <a:noFill/>
                    </a:ln>
                  </pic:spPr>
                </pic:pic>
              </a:graphicData>
            </a:graphic>
          </wp:inline>
        </w:drawing>
      </w:r>
    </w:p>
    <w:p w:rsidR="00EF5FA4" w:rsidRDefault="00EF5FA4" w:rsidP="00EF5FA4">
      <w:pPr>
        <w:pStyle w:val="NormalWeb"/>
        <w:shd w:val="clear" w:color="auto" w:fill="FFFFFF"/>
        <w:spacing w:after="360"/>
        <w:jc w:val="both"/>
        <w:rPr>
          <w:b/>
        </w:rPr>
      </w:pPr>
      <w:r>
        <w:rPr>
          <w:b/>
        </w:rPr>
        <w:t>¿Cuál es el legado “inolvidable” del “terraplanismo” (mundialización y librecambio)?</w:t>
      </w:r>
    </w:p>
    <w:p w:rsidR="00EF5FA4" w:rsidRPr="004D6801" w:rsidRDefault="00EF5FA4" w:rsidP="00EF5FA4">
      <w:pPr>
        <w:pStyle w:val="NormalWeb"/>
        <w:shd w:val="clear" w:color="auto" w:fill="FFFFFF"/>
        <w:spacing w:after="360"/>
        <w:jc w:val="both"/>
        <w:rPr>
          <w:b/>
        </w:rPr>
      </w:pPr>
      <w:r w:rsidRPr="004D6801">
        <w:rPr>
          <w:b/>
        </w:rPr>
        <w:t>- Introducción - ¿El cielo</w:t>
      </w:r>
      <w:r>
        <w:rPr>
          <w:b/>
        </w:rPr>
        <w:t xml:space="preserve"> puede esperar? (“banderas de nuestros padres”</w:t>
      </w:r>
      <w:r w:rsidRPr="004D6801">
        <w:rPr>
          <w:b/>
        </w:rPr>
        <w:t xml:space="preserve">) </w:t>
      </w:r>
    </w:p>
    <w:p w:rsidR="00EF5FA4" w:rsidRDefault="00EF5FA4" w:rsidP="00EF5FA4">
      <w:pPr>
        <w:pStyle w:val="NormalWeb"/>
        <w:shd w:val="clear" w:color="auto" w:fill="FFFFFF"/>
        <w:spacing w:after="360"/>
        <w:jc w:val="both"/>
      </w:pPr>
      <w:r w:rsidRPr="00D00EE7">
        <w:t>Los problemas de los jóvenes</w:t>
      </w:r>
      <w:r>
        <w:t xml:space="preserve"> europeos</w:t>
      </w:r>
      <w:r w:rsidRPr="00D00EE7">
        <w:t xml:space="preserve"> tienen una gran causa y una gran consecuencia. La causa es el mercado laboral, un cráter de temporalidad, paro e ingresos bajos. La consecuencia se resume en una esta</w:t>
      </w:r>
      <w:r>
        <w:t>dística: la mayoría de ellos</w:t>
      </w:r>
      <w:r w:rsidRPr="00D00EE7">
        <w:t xml:space="preserve"> todavía viven con sus padres camino de los treinta. Hablar de jóvenes es hablar de casas, del anhelo por comprar, del alquiler y del esfuerzo (en euros) para pagarlo.</w:t>
      </w:r>
    </w:p>
    <w:p w:rsidR="00EF5FA4" w:rsidRDefault="00EF5FA4" w:rsidP="00EF5FA4">
      <w:pPr>
        <w:pStyle w:val="NormalWeb"/>
        <w:shd w:val="clear" w:color="auto" w:fill="FFFFFF"/>
        <w:spacing w:after="360"/>
        <w:jc w:val="both"/>
      </w:pPr>
      <w:r w:rsidRPr="00D00EE7">
        <w:t>Los jóvenes españoles viven con sus padres más que en casi toda Europa. La edad media para irse de casa roza los 30 años, tres años después que el europeo medio. Según datos de Eurostat, en España el 64% de las personas de 25 a 29 viven con sus padres, una cifra que solo superan Italia, Grecia y algún país balcánico. Son el doble o el triple que en Francia (17%), Reino Unido (25%) o Alemania (30%), y un contraste absoluto con los nórdicos (5% o 6%).</w:t>
      </w:r>
    </w:p>
    <w:p w:rsidR="00EF5FA4" w:rsidRDefault="00EF5FA4" w:rsidP="00EF5FA4">
      <w:pPr>
        <w:pStyle w:val="NormalWeb"/>
        <w:shd w:val="clear" w:color="auto" w:fill="FFFFFF"/>
        <w:spacing w:after="360"/>
        <w:jc w:val="both"/>
      </w:pPr>
      <w:r w:rsidRPr="00D00EE7">
        <w:t>Los jóvenes que no se han independizado aumentaron con la crisis, entre</w:t>
      </w:r>
      <w:r>
        <w:t xml:space="preserve"> 2012 y 2019. Con la pandemia vuelven a subir, como adelantan</w:t>
      </w:r>
      <w:r w:rsidRPr="00D00EE7">
        <w:t xml:space="preserve"> los datos del Observatorio de Emancipación. Que ese momento se retrase puede tener múltiples motivos, pero uno evidente es el dinero. Lo dicen los propios interesados: el 75% de los jóvenes</w:t>
      </w:r>
      <w:r>
        <w:t xml:space="preserve"> españoles</w:t>
      </w:r>
      <w:r w:rsidRPr="00D00EE7">
        <w:t xml:space="preserve"> explica que no se marcha de casa por falta de estabilidad económica, según la encuesta de Injuve de 2019. Para quienes lo hacen, significa a menudo vivir con ingresos justos: el 34% de los independizados de 25 a 29 años está en riesgo de pobreza o exclusión, más que en ningún país de la UE, según Eurostat.</w:t>
      </w:r>
    </w:p>
    <w:p w:rsidR="00EF5FA4" w:rsidRDefault="00EF5FA4" w:rsidP="00EF5FA4">
      <w:pPr>
        <w:pStyle w:val="NormalWeb"/>
        <w:shd w:val="clear" w:color="auto" w:fill="FFFFFF"/>
        <w:spacing w:after="360"/>
        <w:jc w:val="both"/>
      </w:pPr>
      <w:r w:rsidRPr="00D00EE7">
        <w:rPr>
          <w:noProof/>
          <w:lang w:val="en-GB" w:eastAsia="zh-CN"/>
        </w:rPr>
        <w:lastRenderedPageBreak/>
        <w:drawing>
          <wp:inline distT="0" distB="0" distL="0" distR="0">
            <wp:extent cx="5732116" cy="4248150"/>
            <wp:effectExtent l="0" t="0" r="254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
                    <a:stretch>
                      <a:fillRect/>
                    </a:stretch>
                  </pic:blipFill>
                  <pic:spPr>
                    <a:xfrm>
                      <a:off x="0" y="0"/>
                      <a:ext cx="5731510" cy="4247701"/>
                    </a:xfrm>
                    <a:prstGeom prst="rect">
                      <a:avLst/>
                    </a:prstGeom>
                  </pic:spPr>
                </pic:pic>
              </a:graphicData>
            </a:graphic>
          </wp:inline>
        </w:drawing>
      </w:r>
    </w:p>
    <w:p w:rsidR="00EF5FA4" w:rsidRDefault="00EF5FA4" w:rsidP="00EF5FA4">
      <w:pPr>
        <w:pStyle w:val="NormalWeb"/>
        <w:shd w:val="clear" w:color="auto" w:fill="FFFFFF"/>
        <w:spacing w:after="360"/>
        <w:jc w:val="both"/>
      </w:pPr>
      <w:r w:rsidRPr="00D00EE7">
        <w:t>Normalmente se desacon</w:t>
      </w:r>
      <w:r>
        <w:t>seja dedicar más de un 30% de la</w:t>
      </w:r>
      <w:r w:rsidRPr="00D00EE7">
        <w:t xml:space="preserve"> renta familiar al pago de la vivienda. Pero en España la mayoría de la gente que vive de alquiler supera esa cifra. Tomando los microdatos de la Encuesta de Condiciones de V</w:t>
      </w:r>
      <w:r>
        <w:t>ida, se puede calcular</w:t>
      </w:r>
      <w:r w:rsidRPr="00D00EE7">
        <w:t xml:space="preserve"> que el 46% de los hogares que viven de alquiler (a precio de mercado) tiene que dedicar al pago mensual de la renta una cantidad superior a </w:t>
      </w:r>
      <w:r>
        <w:t>ese 30%. Están en lo que puede</w:t>
      </w:r>
      <w:r w:rsidRPr="00D00EE7">
        <w:t xml:space="preserve"> llamar</w:t>
      </w:r>
      <w:r>
        <w:t>se</w:t>
      </w:r>
      <w:r w:rsidRPr="00D00EE7">
        <w:t xml:space="preserve">, </w:t>
      </w:r>
      <w:r>
        <w:t xml:space="preserve">una </w:t>
      </w:r>
      <w:r w:rsidRPr="00D00EE7">
        <w:t>situación de sobresfuerzo. En el caso de los jóvenes, ese porcentaje se eleva al 51%.</w:t>
      </w:r>
    </w:p>
    <w:p w:rsidR="00EF5FA4" w:rsidRDefault="00EF5FA4" w:rsidP="00EF5FA4">
      <w:pPr>
        <w:pStyle w:val="NormalWeb"/>
        <w:shd w:val="clear" w:color="auto" w:fill="FFFFFF"/>
        <w:spacing w:after="360"/>
        <w:jc w:val="both"/>
        <w:rPr>
          <w:b/>
        </w:rPr>
      </w:pPr>
      <w:r w:rsidRPr="008C22D9">
        <w:rPr>
          <w:b/>
        </w:rPr>
        <w:t>Una generación en busca de futuro (¿cómo es ser joven europeo en tiempos</w:t>
      </w:r>
      <w:r>
        <w:rPr>
          <w:b/>
        </w:rPr>
        <w:t xml:space="preserve"> de crisis?</w:t>
      </w:r>
      <w:r w:rsidRPr="008C22D9">
        <w:rPr>
          <w:b/>
        </w:rPr>
        <w:t>)</w:t>
      </w:r>
    </w:p>
    <w:p w:rsidR="00EF5FA4" w:rsidRPr="008C22D9" w:rsidRDefault="00EF5FA4" w:rsidP="00EF5FA4">
      <w:pPr>
        <w:pStyle w:val="NormalWeb"/>
        <w:shd w:val="clear" w:color="auto" w:fill="FFFFFF"/>
        <w:spacing w:after="360"/>
        <w:jc w:val="both"/>
      </w:pPr>
      <w:r w:rsidRPr="008C22D9">
        <w:t>¿Cómo imaginan los jóvenes su vida cuando sólo han conocido crisis económicas? ¿Cómo explicar la sensación de incertidumbre y la manera de escapar de ella?</w:t>
      </w:r>
    </w:p>
    <w:p w:rsidR="00EF5FA4" w:rsidRDefault="00EF5FA4" w:rsidP="00EF5FA4">
      <w:pPr>
        <w:pStyle w:val="NormalWeb"/>
        <w:shd w:val="clear" w:color="auto" w:fill="FFFFFF"/>
        <w:spacing w:after="360"/>
        <w:jc w:val="both"/>
      </w:pPr>
      <w:r w:rsidRPr="008C22D9">
        <w:t>“Esta generación ha tenido la mala suerte de haber vivido dos grandes crisis en apenas 12 años. Será la mejor preparada y la primera que vivirá peor que sus padres. Debemos reflexionar sobre lo que</w:t>
      </w:r>
      <w:r>
        <w:t xml:space="preserve"> está sucediendo</w:t>
      </w:r>
      <w:r w:rsidRPr="008C22D9">
        <w:t>”</w:t>
      </w:r>
      <w:r>
        <w:t>…</w:t>
      </w:r>
      <w:r w:rsidRPr="008C22D9">
        <w:t xml:space="preserve"> “Somos invisibles para el resto de </w:t>
      </w:r>
      <w:r>
        <w:t>la sociedad”… “Mi vida está en “</w:t>
      </w:r>
      <w:r w:rsidRPr="008C22D9">
        <w:t>stand by</w:t>
      </w:r>
      <w:r>
        <w:t>”</w:t>
      </w:r>
      <w:r w:rsidRPr="008C22D9">
        <w:t>”</w:t>
      </w:r>
      <w:r>
        <w:t>… “</w:t>
      </w:r>
      <w:r w:rsidRPr="008C22D9">
        <w:t>El futuro es una sombra</w:t>
      </w:r>
      <w:r>
        <w:t xml:space="preserve">”… son algunas de las frases que se escuchan o leen, a diario.  </w:t>
      </w:r>
      <w:r w:rsidRPr="008C22D9">
        <w:t>Del paro a la salud mental, las preoc</w:t>
      </w:r>
      <w:r>
        <w:t>upaciones más recurrentes son</w:t>
      </w:r>
      <w:r w:rsidRPr="008C22D9">
        <w:t xml:space="preserve"> la incapacidad de encontrar un trabajo digno, independizarse o formar una familia.</w:t>
      </w:r>
    </w:p>
    <w:p w:rsidR="00EF5FA4" w:rsidRDefault="00EF5FA4" w:rsidP="00EF5FA4">
      <w:pPr>
        <w:pStyle w:val="NormalWeb"/>
        <w:shd w:val="clear" w:color="auto" w:fill="FFFFFF"/>
        <w:spacing w:after="360"/>
        <w:jc w:val="both"/>
      </w:pPr>
      <w:r>
        <w:t>¿Europa deja atrás a sus jóvenes? ¿Cómo han pasado a ser el grupo de edad con más pobres?</w:t>
      </w:r>
    </w:p>
    <w:p w:rsidR="00EF5FA4" w:rsidRPr="008C22D9" w:rsidRDefault="00EF5FA4" w:rsidP="00EF5FA4">
      <w:pPr>
        <w:pStyle w:val="NormalWeb"/>
        <w:shd w:val="clear" w:color="auto" w:fill="FFFFFF"/>
        <w:spacing w:after="360"/>
        <w:jc w:val="both"/>
      </w:pPr>
      <w:r>
        <w:t>El 32% de la población española de entre 20 y 29 años está en riesgo de pobreza o exclusión social, frente el 16% de los mayores de 65 años. Entre las causas está el mercado de trabajo, precario desde hace décadas; entre sus consecuencias, que dos de cada tres jóvenes viva con sus padres.</w:t>
      </w:r>
    </w:p>
    <w:p w:rsidR="00EF5FA4" w:rsidRDefault="00EF5FA4" w:rsidP="00EF5FA4">
      <w:pPr>
        <w:pStyle w:val="NormalWeb"/>
        <w:shd w:val="clear" w:color="auto" w:fill="FFFFFF"/>
        <w:spacing w:after="360"/>
        <w:jc w:val="both"/>
      </w:pPr>
      <w:r>
        <w:rPr>
          <w:noProof/>
          <w:lang w:val="en-GB" w:eastAsia="zh-CN"/>
        </w:rPr>
        <w:lastRenderedPageBreak/>
        <w:drawing>
          <wp:inline distT="0" distB="0" distL="0" distR="0">
            <wp:extent cx="5731510" cy="2924175"/>
            <wp:effectExtent l="0" t="0" r="2540" b="9525"/>
            <wp:docPr id="48" name="Imagen 48" descr="Atrapados en el hogar familiar: hay un 10% menos de jóvenes emancipados que en 2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trapados en el hogar familiar: hay un 10% menos de jóvenes emancipados que en 2008"/>
                    <pic:cNvPicPr>
                      <a:picLocks noChangeAspect="1" noChangeArrowheads="1"/>
                    </pic:cNvPicPr>
                  </pic:nvPicPr>
                  <pic:blipFill>
                    <a:blip r:embed="rId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1510" cy="2924175"/>
                    </a:xfrm>
                    <a:prstGeom prst="rect">
                      <a:avLst/>
                    </a:prstGeom>
                    <a:noFill/>
                    <a:ln>
                      <a:noFill/>
                    </a:ln>
                  </pic:spPr>
                </pic:pic>
              </a:graphicData>
            </a:graphic>
          </wp:inline>
        </w:drawing>
      </w:r>
    </w:p>
    <w:p w:rsidR="00EF5FA4" w:rsidRPr="00592F42" w:rsidRDefault="00EF5FA4" w:rsidP="00EF5FA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592F42">
        <w:rPr>
          <w:rFonts w:ascii="Times New Roman" w:hAnsi="Times New Roman" w:cs="Times New Roman"/>
          <w:sz w:val="24"/>
          <w:szCs w:val="24"/>
          <w:u w:val="single"/>
        </w:rPr>
        <w:t>Atrapados en el hogar familiar: hay un 10% menos de jóvenes emancipados que en 2008</w:t>
      </w:r>
      <w:r>
        <w:rPr>
          <w:rFonts w:ascii="Times New Roman" w:hAnsi="Times New Roman" w:cs="Times New Roman"/>
          <w:sz w:val="24"/>
          <w:szCs w:val="24"/>
        </w:rPr>
        <w:t xml:space="preserve"> (Cinco Días - </w:t>
      </w:r>
      <w:r w:rsidRPr="00592F42">
        <w:rPr>
          <w:rFonts w:ascii="Times New Roman" w:hAnsi="Times New Roman" w:cs="Times New Roman"/>
          <w:b/>
          <w:sz w:val="24"/>
          <w:szCs w:val="24"/>
        </w:rPr>
        <w:t>11/8/22</w:t>
      </w:r>
      <w:r>
        <w:rPr>
          <w:rFonts w:ascii="Times New Roman" w:hAnsi="Times New Roman" w:cs="Times New Roman"/>
          <w:sz w:val="24"/>
          <w:szCs w:val="24"/>
        </w:rPr>
        <w:t>)</w:t>
      </w:r>
    </w:p>
    <w:p w:rsidR="00EF5FA4" w:rsidRDefault="00EF5FA4" w:rsidP="00EF5FA4">
      <w:pPr>
        <w:spacing w:line="240" w:lineRule="auto"/>
        <w:jc w:val="both"/>
        <w:rPr>
          <w:rFonts w:ascii="Times New Roman" w:hAnsi="Times New Roman" w:cs="Times New Roman"/>
          <w:sz w:val="24"/>
          <w:szCs w:val="24"/>
        </w:rPr>
      </w:pPr>
      <w:r w:rsidRPr="00592F42">
        <w:rPr>
          <w:rFonts w:ascii="Times New Roman" w:hAnsi="Times New Roman" w:cs="Times New Roman"/>
          <w:sz w:val="24"/>
          <w:szCs w:val="24"/>
        </w:rPr>
        <w:t>La tasa de emancipación aún se encuentra por debajo de 2019, antes de la pandemia</w:t>
      </w:r>
    </w:p>
    <w:p w:rsidR="00EF5FA4" w:rsidRPr="00592F42" w:rsidRDefault="00EF5FA4" w:rsidP="00EF5FA4">
      <w:pPr>
        <w:spacing w:line="240" w:lineRule="auto"/>
        <w:jc w:val="both"/>
        <w:rPr>
          <w:rFonts w:ascii="Times New Roman" w:hAnsi="Times New Roman" w:cs="Times New Roman"/>
          <w:sz w:val="24"/>
          <w:szCs w:val="24"/>
        </w:rPr>
      </w:pPr>
      <w:r>
        <w:rPr>
          <w:noProof/>
          <w:lang w:val="en-GB" w:eastAsia="zh-CN"/>
        </w:rPr>
        <w:drawing>
          <wp:inline distT="0" distB="0" distL="0" distR="0">
            <wp:extent cx="5727989" cy="2749550"/>
            <wp:effectExtent l="0" t="0" r="6350" b="0"/>
            <wp:docPr id="60" name="Imagen 60" descr="Emancipació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mancipación"/>
                    <pic:cNvPicPr>
                      <a:picLocks noChangeAspect="1" noChangeArrowheads="1"/>
                    </pic:cNvPicPr>
                  </pic:nvPicPr>
                  <pic:blipFill>
                    <a:blip r:embed="rId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1510" cy="2751240"/>
                    </a:xfrm>
                    <a:prstGeom prst="rect">
                      <a:avLst/>
                    </a:prstGeom>
                    <a:noFill/>
                    <a:ln>
                      <a:noFill/>
                    </a:ln>
                  </pic:spPr>
                </pic:pic>
              </a:graphicData>
            </a:graphic>
          </wp:inline>
        </w:drawing>
      </w:r>
    </w:p>
    <w:p w:rsidR="00EF5FA4" w:rsidRPr="00592F42" w:rsidRDefault="00EF5FA4" w:rsidP="00EF5FA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592F42">
        <w:rPr>
          <w:rFonts w:ascii="Times New Roman" w:hAnsi="Times New Roman" w:cs="Times New Roman"/>
          <w:sz w:val="24"/>
          <w:szCs w:val="24"/>
        </w:rPr>
        <w:t>Denisse López</w:t>
      </w:r>
      <w:r>
        <w:rPr>
          <w:rFonts w:ascii="Times New Roman" w:hAnsi="Times New Roman" w:cs="Times New Roman"/>
          <w:sz w:val="24"/>
          <w:szCs w:val="24"/>
        </w:rPr>
        <w:t>)</w:t>
      </w:r>
    </w:p>
    <w:p w:rsidR="00EF5FA4" w:rsidRPr="00592F42" w:rsidRDefault="00EF5FA4" w:rsidP="00EF5FA4">
      <w:pPr>
        <w:spacing w:line="240" w:lineRule="auto"/>
        <w:jc w:val="both"/>
        <w:rPr>
          <w:rFonts w:ascii="Times New Roman" w:hAnsi="Times New Roman" w:cs="Times New Roman"/>
          <w:sz w:val="24"/>
          <w:szCs w:val="24"/>
        </w:rPr>
      </w:pPr>
      <w:r w:rsidRPr="00C65C75">
        <w:rPr>
          <w:rFonts w:ascii="Times New Roman" w:hAnsi="Times New Roman" w:cs="Times New Roman"/>
          <w:sz w:val="24"/>
          <w:szCs w:val="24"/>
          <w:u w:val="single"/>
        </w:rPr>
        <w:t>En España hay siete millones de personas entre 16 y 29 años, pero hasta finales de 2021 apenas un millón de ellos vivía fuera del hogar familiar. Eso se traduce en una tasa de emancipación del 15,6%, un porcentaje que se encuentra muy lejos del 26% que se registró en 2008 y todavía por debajo de la cifra de 2019, antes de que estallara la pandemia</w:t>
      </w:r>
      <w:r w:rsidRPr="00592F42">
        <w:rPr>
          <w:rFonts w:ascii="Times New Roman" w:hAnsi="Times New Roman" w:cs="Times New Roman"/>
          <w:sz w:val="24"/>
          <w:szCs w:val="24"/>
        </w:rPr>
        <w:t xml:space="preserve">. Para poder alcanzar la cuota del boom inmobiliario se necesitaría que al menos otros 700.000 jóvenes abandonaran la casa de sus padres, según los datos presentados este jueves por el Consejo </w:t>
      </w:r>
      <w:r>
        <w:rPr>
          <w:rFonts w:ascii="Times New Roman" w:hAnsi="Times New Roman" w:cs="Times New Roman"/>
          <w:sz w:val="24"/>
          <w:szCs w:val="24"/>
        </w:rPr>
        <w:t>de la Juventud de España (CJE).</w:t>
      </w:r>
    </w:p>
    <w:p w:rsidR="00EF5FA4" w:rsidRPr="00C65C75" w:rsidRDefault="00EF5FA4" w:rsidP="00EF5FA4">
      <w:pPr>
        <w:spacing w:line="240" w:lineRule="auto"/>
        <w:jc w:val="both"/>
        <w:rPr>
          <w:rFonts w:ascii="Times New Roman" w:hAnsi="Times New Roman" w:cs="Times New Roman"/>
          <w:color w:val="FF0000"/>
          <w:sz w:val="24"/>
          <w:szCs w:val="24"/>
          <w:u w:val="single"/>
        </w:rPr>
      </w:pPr>
      <w:r w:rsidRPr="00C65C75">
        <w:rPr>
          <w:rFonts w:ascii="Times New Roman" w:hAnsi="Times New Roman" w:cs="Times New Roman"/>
          <w:sz w:val="24"/>
          <w:szCs w:val="24"/>
          <w:u w:val="single"/>
        </w:rPr>
        <w:t xml:space="preserve">El estudio, que se elabora semestralmente a partir de los datos del Instituto Nacional de Estadística, muestra un ligero aumento de 0,7 puntos con respecto al primer semestre de </w:t>
      </w:r>
      <w:r w:rsidRPr="00C65C75">
        <w:rPr>
          <w:rFonts w:ascii="Times New Roman" w:hAnsi="Times New Roman" w:cs="Times New Roman"/>
          <w:sz w:val="24"/>
          <w:szCs w:val="24"/>
          <w:u w:val="single"/>
        </w:rPr>
        <w:lastRenderedPageBreak/>
        <w:t>2021, cuando la tasa de emancipación fue del 14,9%. No obstante, la organización considera que se trata de una evolución poco alentadora pues es la misma proporción que había a finales de 2020.</w:t>
      </w:r>
      <w:r w:rsidRPr="00592F42">
        <w:rPr>
          <w:rFonts w:ascii="Times New Roman" w:hAnsi="Times New Roman" w:cs="Times New Roman"/>
          <w:sz w:val="24"/>
          <w:szCs w:val="24"/>
        </w:rPr>
        <w:t xml:space="preserve"> Elena Ruiz Cabrían, presiden</w:t>
      </w:r>
      <w:r>
        <w:rPr>
          <w:rFonts w:ascii="Times New Roman" w:hAnsi="Times New Roman" w:cs="Times New Roman"/>
          <w:sz w:val="24"/>
          <w:szCs w:val="24"/>
        </w:rPr>
        <w:t>ta del CJE, ha alertado de que “</w:t>
      </w:r>
      <w:r w:rsidRPr="00592F42">
        <w:rPr>
          <w:rFonts w:ascii="Times New Roman" w:hAnsi="Times New Roman" w:cs="Times New Roman"/>
          <w:sz w:val="24"/>
          <w:szCs w:val="24"/>
        </w:rPr>
        <w:t xml:space="preserve">no hay una mejoría real, pues </w:t>
      </w:r>
      <w:r>
        <w:rPr>
          <w:rFonts w:ascii="Times New Roman" w:hAnsi="Times New Roman" w:cs="Times New Roman"/>
          <w:sz w:val="24"/>
          <w:szCs w:val="24"/>
        </w:rPr>
        <w:t>se venía de una caída histórica” y “</w:t>
      </w:r>
      <w:r w:rsidRPr="00592F42">
        <w:rPr>
          <w:rFonts w:ascii="Times New Roman" w:hAnsi="Times New Roman" w:cs="Times New Roman"/>
          <w:sz w:val="24"/>
          <w:szCs w:val="24"/>
        </w:rPr>
        <w:t>cuando se toca fondo, lo ún</w:t>
      </w:r>
      <w:r>
        <w:rPr>
          <w:rFonts w:ascii="Times New Roman" w:hAnsi="Times New Roman" w:cs="Times New Roman"/>
          <w:sz w:val="24"/>
          <w:szCs w:val="24"/>
        </w:rPr>
        <w:t>ico que se puede hacer es subir”</w:t>
      </w:r>
      <w:r w:rsidRPr="00592F42">
        <w:rPr>
          <w:rFonts w:ascii="Times New Roman" w:hAnsi="Times New Roman" w:cs="Times New Roman"/>
          <w:sz w:val="24"/>
          <w:szCs w:val="24"/>
        </w:rPr>
        <w:t>. En efecto</w:t>
      </w:r>
      <w:r w:rsidRPr="00C65C75">
        <w:rPr>
          <w:rFonts w:ascii="Times New Roman" w:hAnsi="Times New Roman" w:cs="Times New Roman"/>
          <w:color w:val="FF0000"/>
          <w:sz w:val="24"/>
          <w:szCs w:val="24"/>
          <w:u w:val="single"/>
        </w:rPr>
        <w:t>, en el primer semestre del año pasado, menos de tres de cada 20 jóvenes españoles vivía fuera del hogar familiar; la peor cifra desde 1998.</w:t>
      </w:r>
    </w:p>
    <w:p w:rsidR="00EF5FA4" w:rsidRPr="00C65C75" w:rsidRDefault="00EF5FA4" w:rsidP="00EF5FA4">
      <w:pPr>
        <w:spacing w:line="240" w:lineRule="auto"/>
        <w:jc w:val="both"/>
        <w:rPr>
          <w:rFonts w:ascii="Times New Roman" w:hAnsi="Times New Roman" w:cs="Times New Roman"/>
          <w:color w:val="FF0000"/>
          <w:sz w:val="24"/>
          <w:szCs w:val="24"/>
          <w:u w:val="single"/>
        </w:rPr>
      </w:pPr>
      <w:r w:rsidRPr="00592F42">
        <w:rPr>
          <w:rFonts w:ascii="Times New Roman" w:hAnsi="Times New Roman" w:cs="Times New Roman"/>
          <w:sz w:val="24"/>
          <w:szCs w:val="24"/>
        </w:rPr>
        <w:t xml:space="preserve">En cualquier caso, el leve incremento semestral se apoyó en la recuperación del empleo destruido durante la pandemia. </w:t>
      </w:r>
      <w:r w:rsidRPr="00C65C75">
        <w:rPr>
          <w:rFonts w:ascii="Times New Roman" w:hAnsi="Times New Roman" w:cs="Times New Roman"/>
          <w:sz w:val="24"/>
          <w:szCs w:val="24"/>
          <w:u w:val="single"/>
        </w:rPr>
        <w:t xml:space="preserve">La tasa de paro joven cayó en más de cinco puntos porcentuales hasta situarse en el 23,6%, por debajo de las cifras previas al Covid. La creación de empleo a cierre de 2021 no solo se dio entre la juventud asalariada, también creció el porcentaje que trabajaba de manera autónoma. El lado negativo de esta noticia es que la recuperación de puestos de trabajo se cimentó en la precariedad laboral. Esto se refleja, por ejemplo, en la alta temporalidad, dado que </w:t>
      </w:r>
      <w:r w:rsidRPr="00C65C75">
        <w:rPr>
          <w:rFonts w:ascii="Times New Roman" w:hAnsi="Times New Roman" w:cs="Times New Roman"/>
          <w:color w:val="FF0000"/>
          <w:sz w:val="24"/>
          <w:szCs w:val="24"/>
          <w:u w:val="single"/>
        </w:rPr>
        <w:t>más de la mitad de los jóvenes con trabajo tenía un contrato temporal. La parcialidad es otro indicador de la debilidad del empleo entre los menores de 30 años: alcanzaba el 25,4% de los contratos.</w:t>
      </w:r>
    </w:p>
    <w:p w:rsidR="00EF5FA4" w:rsidRDefault="00EF5FA4" w:rsidP="00EF5FA4">
      <w:pPr>
        <w:spacing w:line="240" w:lineRule="auto"/>
        <w:jc w:val="both"/>
        <w:rPr>
          <w:rFonts w:ascii="Times New Roman" w:hAnsi="Times New Roman" w:cs="Times New Roman"/>
          <w:sz w:val="24"/>
          <w:szCs w:val="24"/>
        </w:rPr>
      </w:pPr>
      <w:r w:rsidRPr="00C65C75">
        <w:rPr>
          <w:rFonts w:ascii="Times New Roman" w:hAnsi="Times New Roman" w:cs="Times New Roman"/>
          <w:sz w:val="24"/>
          <w:szCs w:val="24"/>
          <w:u w:val="single"/>
        </w:rPr>
        <w:t>Otro problema es que la recuperación del empleo no ha venido acompañado de un aumento salarial que permita reducir la brecha entre los altos precios de la oferta de vivienda y la poca renta disponible de quienes la demandan</w:t>
      </w:r>
      <w:r w:rsidRPr="00592F42">
        <w:rPr>
          <w:rFonts w:ascii="Times New Roman" w:hAnsi="Times New Roman" w:cs="Times New Roman"/>
          <w:sz w:val="24"/>
          <w:szCs w:val="24"/>
        </w:rPr>
        <w:t xml:space="preserve">. </w:t>
      </w:r>
      <w:r w:rsidRPr="00C65C75">
        <w:rPr>
          <w:rFonts w:ascii="Times New Roman" w:hAnsi="Times New Roman" w:cs="Times New Roman"/>
          <w:color w:val="FF0000"/>
          <w:sz w:val="24"/>
          <w:szCs w:val="24"/>
          <w:u w:val="single"/>
        </w:rPr>
        <w:t>Es revelador que una persona joven deba dedicar 3,8 veces su sueldo neto íntegro para poder pagar la entrada de una hipoteca media en España, que es de 170.000 euros. Ante la imposibilidad de poder comprar una casa, la segunda opción es el alquiler, pero la subida sin freno de los precios también lo hace imposible.  Según el CJE, el precio medio en 2021 ascendía a 848 euros mensuales, aunque alguien menor de 30 solo puede permitirse pagar 320 euros para no sobreendeudarse.</w:t>
      </w:r>
    </w:p>
    <w:p w:rsidR="00EF5FA4" w:rsidRPr="00C65C75" w:rsidRDefault="00EF5FA4" w:rsidP="00EF5FA4">
      <w:pPr>
        <w:spacing w:line="240" w:lineRule="auto"/>
        <w:jc w:val="both"/>
        <w:rPr>
          <w:rFonts w:ascii="Times New Roman" w:hAnsi="Times New Roman" w:cs="Times New Roman"/>
          <w:color w:val="FF0000"/>
          <w:sz w:val="24"/>
          <w:szCs w:val="24"/>
          <w:u w:val="single"/>
        </w:rPr>
      </w:pPr>
      <w:r w:rsidRPr="00C65C75">
        <w:rPr>
          <w:rFonts w:ascii="Times New Roman" w:hAnsi="Times New Roman" w:cs="Times New Roman"/>
          <w:color w:val="FF0000"/>
          <w:sz w:val="24"/>
          <w:szCs w:val="24"/>
          <w:u w:val="single"/>
        </w:rPr>
        <w:t>Los excesivos precios de la vivienda implican que un joven deba destinar el 79,2% de su sueldo al alquiler para vivir solo, lo que lo hace a todas luces inviable. Esto explica, según el organismo, el auge de los pisos compartidos, pues esta opción reduce hasta el 25% el esfuerzo salarial. En suma, es la necesidad y no el deseo lo que impulsa a que un tercio de los emancipados lo hagan compartiendo piso con otras personas con las que no tienen ningún parentesco.</w:t>
      </w:r>
    </w:p>
    <w:p w:rsidR="00EF5FA4" w:rsidRPr="00E070A0" w:rsidRDefault="00EF5FA4" w:rsidP="00EF5FA4">
      <w:pPr>
        <w:spacing w:line="240" w:lineRule="auto"/>
        <w:jc w:val="both"/>
        <w:rPr>
          <w:rFonts w:ascii="Times New Roman" w:hAnsi="Times New Roman" w:cs="Times New Roman"/>
          <w:sz w:val="24"/>
          <w:szCs w:val="24"/>
        </w:rPr>
      </w:pPr>
      <w:r w:rsidRPr="00E070A0">
        <w:rPr>
          <w:rFonts w:ascii="Times New Roman" w:hAnsi="Times New Roman" w:cs="Times New Roman"/>
          <w:sz w:val="24"/>
          <w:szCs w:val="24"/>
        </w:rPr>
        <w:t>Cuestión de género</w:t>
      </w:r>
    </w:p>
    <w:p w:rsidR="00EF5FA4" w:rsidRPr="00E070A0" w:rsidRDefault="00EF5FA4" w:rsidP="00EF5FA4">
      <w:pPr>
        <w:spacing w:line="240" w:lineRule="auto"/>
        <w:jc w:val="both"/>
        <w:rPr>
          <w:rFonts w:ascii="Times New Roman" w:hAnsi="Times New Roman" w:cs="Times New Roman"/>
          <w:sz w:val="24"/>
          <w:szCs w:val="24"/>
        </w:rPr>
      </w:pPr>
      <w:r w:rsidRPr="00E070A0">
        <w:rPr>
          <w:rFonts w:ascii="Times New Roman" w:hAnsi="Times New Roman" w:cs="Times New Roman"/>
          <w:sz w:val="24"/>
          <w:szCs w:val="24"/>
        </w:rPr>
        <w:t>Las mujeres se emancipan más que los hombres, pero tienen más difícil vivir solas. Según los datos del CJE, esto se debe a que se enfrentan a peores condiciones laborales. En el segundo semestre de 2021, la parcialidad del colectivo prácticamente duplicaba la de los hombres: era un 33,7% frente a un 17,8%. La subocupación también era cinco puntos superior a la de los varones, a pesar de que ellas cuentan con una mayor for</w:t>
      </w:r>
      <w:r>
        <w:rPr>
          <w:rFonts w:ascii="Times New Roman" w:hAnsi="Times New Roman" w:cs="Times New Roman"/>
          <w:sz w:val="24"/>
          <w:szCs w:val="24"/>
        </w:rPr>
        <w:t>mación educativa y profesional.</w:t>
      </w:r>
    </w:p>
    <w:p w:rsidR="00EF5FA4" w:rsidRPr="00E070A0" w:rsidRDefault="00EF5FA4" w:rsidP="00EF5FA4">
      <w:pPr>
        <w:spacing w:line="240" w:lineRule="auto"/>
        <w:jc w:val="both"/>
        <w:rPr>
          <w:rFonts w:ascii="Times New Roman" w:hAnsi="Times New Roman" w:cs="Times New Roman"/>
          <w:sz w:val="24"/>
          <w:szCs w:val="24"/>
        </w:rPr>
      </w:pPr>
      <w:r w:rsidRPr="00E070A0">
        <w:rPr>
          <w:rFonts w:ascii="Times New Roman" w:hAnsi="Times New Roman" w:cs="Times New Roman"/>
          <w:sz w:val="24"/>
          <w:szCs w:val="24"/>
        </w:rPr>
        <w:t>Las precarias condiciones a las que se enfrentan ocasionan que solo el 13,8% de las mujeres que abandonan el seno familiar puedan vivir solas, mientras que en el caso de los hombres es prácticamente el doble. No obstante, el esfuerzo que ellas hacen es generalmente mayor: casi el 41% trabaja y estudia a la vez, mientras que solo el 24% de los jóvenes compaginan ambas actividades. De hecho, sin el creciente protagonismo femenino, la tasa agregada de actividad de la población joven en España hubiera descendido todavía más en el cuarto trimestre de 2021, según el CJE.</w:t>
      </w:r>
    </w:p>
    <w:p w:rsidR="00EF5FA4" w:rsidRPr="00EC32F9" w:rsidRDefault="00EF5FA4" w:rsidP="00EF5FA4">
      <w:pPr>
        <w:spacing w:line="240" w:lineRule="auto"/>
        <w:jc w:val="both"/>
        <w:rPr>
          <w:rFonts w:ascii="Times New Roman" w:hAnsi="Times New Roman" w:cs="Times New Roman"/>
          <w:sz w:val="24"/>
          <w:szCs w:val="24"/>
        </w:rPr>
      </w:pPr>
      <w:r w:rsidRPr="00E070A0">
        <w:rPr>
          <w:rFonts w:ascii="Times New Roman" w:hAnsi="Times New Roman" w:cs="Times New Roman"/>
          <w:sz w:val="24"/>
          <w:szCs w:val="24"/>
        </w:rPr>
        <w:t xml:space="preserve">Más allá de la brecha de género, existen diferencias importantes entre los jóvenes que permanecen en su lugar de nacimiento y quienes se trasladan a otra comunidad autónoma. A finales del año pasado, solamente el 9,8% de quienes residían en su provincia de origen </w:t>
      </w:r>
      <w:r w:rsidRPr="00E070A0">
        <w:rPr>
          <w:rFonts w:ascii="Times New Roman" w:hAnsi="Times New Roman" w:cs="Times New Roman"/>
          <w:sz w:val="24"/>
          <w:szCs w:val="24"/>
        </w:rPr>
        <w:lastRenderedPageBreak/>
        <w:t>lograron emanciparse. Por el contrario, el 34,2% de los jóvenes que se habían trasladado a otro territorio habían dejado de vivir con sus padres.También se distinguen por ser el colectivo con mayor nivel de estudios.</w:t>
      </w:r>
    </w:p>
    <w:p w:rsidR="00EF5FA4" w:rsidRPr="0069151E" w:rsidRDefault="00EF5FA4" w:rsidP="00EF5FA4">
      <w:pPr>
        <w:spacing w:line="240" w:lineRule="auto"/>
        <w:jc w:val="both"/>
        <w:rPr>
          <w:rFonts w:ascii="Times New Roman" w:hAnsi="Times New Roman" w:cs="Times New Roman"/>
          <w:b/>
          <w:sz w:val="24"/>
          <w:szCs w:val="24"/>
        </w:rPr>
      </w:pPr>
      <w:r w:rsidRPr="0069151E">
        <w:rPr>
          <w:rFonts w:ascii="Times New Roman" w:hAnsi="Times New Roman" w:cs="Times New Roman"/>
          <w:b/>
          <w:sz w:val="24"/>
          <w:szCs w:val="24"/>
        </w:rPr>
        <w:t>Día de los jóvenes:Hay millones de historias como estas, en el “meta-verso” europeo</w:t>
      </w:r>
    </w:p>
    <w:p w:rsidR="00EF5FA4" w:rsidRPr="00565428" w:rsidRDefault="00EF5FA4" w:rsidP="00EF5FA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403002">
        <w:rPr>
          <w:rFonts w:ascii="Times New Roman" w:hAnsi="Times New Roman" w:cs="Times New Roman"/>
          <w:sz w:val="24"/>
          <w:szCs w:val="24"/>
          <w:u w:val="single"/>
        </w:rPr>
        <w:t xml:space="preserve">26 años, ingeniero, un máster... </w:t>
      </w:r>
      <w:r>
        <w:rPr>
          <w:rFonts w:ascii="Times New Roman" w:hAnsi="Times New Roman" w:cs="Times New Roman"/>
          <w:sz w:val="24"/>
          <w:szCs w:val="24"/>
          <w:u w:val="single"/>
        </w:rPr>
        <w:t>y becario: “</w:t>
      </w:r>
      <w:r w:rsidRPr="00403002">
        <w:rPr>
          <w:rFonts w:ascii="Times New Roman" w:hAnsi="Times New Roman" w:cs="Times New Roman"/>
          <w:sz w:val="24"/>
          <w:szCs w:val="24"/>
          <w:u w:val="single"/>
        </w:rPr>
        <w:t>Me hicieron pa</w:t>
      </w:r>
      <w:r>
        <w:rPr>
          <w:rFonts w:ascii="Times New Roman" w:hAnsi="Times New Roman" w:cs="Times New Roman"/>
          <w:sz w:val="24"/>
          <w:szCs w:val="24"/>
          <w:u w:val="single"/>
        </w:rPr>
        <w:t>gar un curso que era una estafa”</w:t>
      </w:r>
      <w:r>
        <w:rPr>
          <w:rFonts w:ascii="Times New Roman" w:hAnsi="Times New Roman" w:cs="Times New Roman"/>
          <w:sz w:val="24"/>
          <w:szCs w:val="24"/>
        </w:rPr>
        <w:t xml:space="preserve"> (El Confidencial - </w:t>
      </w:r>
      <w:r w:rsidRPr="00403002">
        <w:rPr>
          <w:rFonts w:ascii="Times New Roman" w:hAnsi="Times New Roman" w:cs="Times New Roman"/>
          <w:b/>
          <w:sz w:val="24"/>
          <w:szCs w:val="24"/>
        </w:rPr>
        <w:t>12/8/22</w:t>
      </w:r>
      <w:r>
        <w:rPr>
          <w:rFonts w:ascii="Times New Roman" w:hAnsi="Times New Roman" w:cs="Times New Roman"/>
          <w:sz w:val="24"/>
          <w:szCs w:val="24"/>
        </w:rPr>
        <w:t>)</w:t>
      </w:r>
    </w:p>
    <w:p w:rsidR="00EF5FA4" w:rsidRPr="00C65C75" w:rsidRDefault="00EF5FA4" w:rsidP="00EF5FA4">
      <w:pPr>
        <w:spacing w:line="240" w:lineRule="auto"/>
        <w:jc w:val="both"/>
        <w:rPr>
          <w:rFonts w:ascii="Times New Roman" w:hAnsi="Times New Roman" w:cs="Times New Roman"/>
          <w:sz w:val="24"/>
          <w:szCs w:val="24"/>
          <w:u w:val="single"/>
        </w:rPr>
      </w:pPr>
      <w:r w:rsidRPr="00C65C75">
        <w:rPr>
          <w:rFonts w:ascii="Times New Roman" w:hAnsi="Times New Roman" w:cs="Times New Roman"/>
          <w:sz w:val="24"/>
          <w:szCs w:val="24"/>
          <w:u w:val="single"/>
        </w:rPr>
        <w:t>Pedro quería “meter la cabeza” en una consultora. La empresa solo le dio la opción de entrar mediante unas prácticas, pero antes debía apuntarse a un programa de formación que debía pagar de su bolsillo. Su caso no es una excepción. Este 12 de agosto (2022), cuando se conmemora el Día Internacional de la Juventud, estas son sus experiencias.</w:t>
      </w:r>
    </w:p>
    <w:p w:rsidR="00EF5FA4" w:rsidRDefault="00EF5FA4" w:rsidP="00EF5FA4">
      <w:pPr>
        <w:spacing w:line="240" w:lineRule="auto"/>
        <w:jc w:val="both"/>
        <w:rPr>
          <w:rFonts w:ascii="Times New Roman" w:hAnsi="Times New Roman" w:cs="Times New Roman"/>
          <w:sz w:val="24"/>
          <w:szCs w:val="24"/>
        </w:rPr>
      </w:pPr>
      <w:r w:rsidRPr="00565428">
        <w:rPr>
          <w:rFonts w:ascii="Times New Roman" w:hAnsi="Times New Roman" w:cs="Times New Roman"/>
          <w:sz w:val="24"/>
          <w:szCs w:val="24"/>
        </w:rPr>
        <w:t>Pedro tenía 26 años cuando le ofrecieron un contrato como becario en una empresa de ingeniería. Entrar de prácticas durante</w:t>
      </w:r>
      <w:r>
        <w:rPr>
          <w:rFonts w:ascii="Times New Roman" w:hAnsi="Times New Roman" w:cs="Times New Roman"/>
          <w:sz w:val="24"/>
          <w:szCs w:val="24"/>
        </w:rPr>
        <w:t xml:space="preserve"> al menos un año era condición “sine qua non”</w:t>
      </w:r>
      <w:r w:rsidRPr="00565428">
        <w:rPr>
          <w:rFonts w:ascii="Times New Roman" w:hAnsi="Times New Roman" w:cs="Times New Roman"/>
          <w:sz w:val="24"/>
          <w:szCs w:val="24"/>
        </w:rPr>
        <w:t xml:space="preserve"> y, antes, tenía que pagar un curso de su bolsillo en una entidad vinculada con la compañía. Quería aprender, así que abonó los 240 euros que le pedían para una formación de 40 horas, que consistía en ocho documentos de apenas seis diapositivas cada uno, aun siendo ingeniero graduado y después de cursar un m</w:t>
      </w:r>
      <w:r>
        <w:rPr>
          <w:rFonts w:ascii="Times New Roman" w:hAnsi="Times New Roman" w:cs="Times New Roman"/>
          <w:sz w:val="24"/>
          <w:szCs w:val="24"/>
        </w:rPr>
        <w:t>áster.</w:t>
      </w:r>
      <w:r w:rsidRPr="00EE0979">
        <w:rPr>
          <w:rFonts w:ascii="Times New Roman" w:hAnsi="Times New Roman" w:cs="Times New Roman"/>
          <w:sz w:val="24"/>
          <w:szCs w:val="24"/>
        </w:rPr>
        <w:t xml:space="preserve"> “</w:t>
      </w:r>
      <w:r w:rsidRPr="00C65C75">
        <w:rPr>
          <w:rFonts w:ascii="Times New Roman" w:hAnsi="Times New Roman" w:cs="Times New Roman"/>
          <w:sz w:val="24"/>
          <w:szCs w:val="24"/>
          <w:u w:val="single"/>
        </w:rPr>
        <w:t>Me hicieron pagar un curso que era una estafa, no había clases y los apuntes eran tres diapositivas mal hechas</w:t>
      </w:r>
      <w:r w:rsidRPr="00EE0979">
        <w:rPr>
          <w:rFonts w:ascii="Times New Roman" w:hAnsi="Times New Roman" w:cs="Times New Roman"/>
          <w:sz w:val="24"/>
          <w:szCs w:val="24"/>
        </w:rPr>
        <w:t>”.</w:t>
      </w:r>
      <w:r w:rsidRPr="00565428">
        <w:rPr>
          <w:rFonts w:ascii="Times New Roman" w:hAnsi="Times New Roman" w:cs="Times New Roman"/>
          <w:sz w:val="24"/>
          <w:szCs w:val="24"/>
        </w:rPr>
        <w:t xml:space="preserve"> El suyo no es un caso aislado. </w:t>
      </w:r>
      <w:r w:rsidRPr="00C65C75">
        <w:rPr>
          <w:rFonts w:ascii="Times New Roman" w:hAnsi="Times New Roman" w:cs="Times New Roman"/>
          <w:color w:val="FF0000"/>
          <w:sz w:val="24"/>
          <w:szCs w:val="24"/>
          <w:u w:val="single"/>
        </w:rPr>
        <w:t>Muchos jóvenes entre la veintena y la treintena guardan historias para no dormir, relacionadas con periodos de aprendizaje obligatorios y autofinanciados para entrar a una empresa. En buena parte de los casos, terminan ocupando puestos estructurales por un salario muy inferior al de otros compañeros. Y no sólo ocurre en entidades privadas</w:t>
      </w:r>
      <w:r w:rsidRPr="00EE0979">
        <w:rPr>
          <w:rFonts w:ascii="Times New Roman" w:hAnsi="Times New Roman" w:cs="Times New Roman"/>
          <w:color w:val="FF0000"/>
          <w:sz w:val="24"/>
          <w:szCs w:val="24"/>
        </w:rPr>
        <w:t>…</w:t>
      </w:r>
    </w:p>
    <w:p w:rsidR="00EF5FA4" w:rsidRPr="00C65C75" w:rsidRDefault="00EF5FA4" w:rsidP="00EF5FA4">
      <w:pPr>
        <w:spacing w:line="240" w:lineRule="auto"/>
        <w:jc w:val="both"/>
        <w:rPr>
          <w:rFonts w:ascii="Times New Roman" w:hAnsi="Times New Roman" w:cs="Times New Roman"/>
          <w:sz w:val="24"/>
          <w:szCs w:val="24"/>
          <w:u w:val="single"/>
        </w:rPr>
      </w:pPr>
      <w:r w:rsidRPr="00C65C75">
        <w:rPr>
          <w:rFonts w:ascii="Times New Roman" w:hAnsi="Times New Roman" w:cs="Times New Roman"/>
          <w:sz w:val="24"/>
          <w:szCs w:val="24"/>
          <w:u w:val="single"/>
        </w:rPr>
        <w:t>Organizaciones sindicales, como UGT, estiman en unos 300.000 los puestos de trabajo que las empresas se ahorran contratando a jóvenes que, constando como becarios, tienen asignadas funciones muy por encima de su puesto. Algunos lo ven una puerta de acceso a un mercado con pocas aperturas. Por eso, también en ocasiones, encuentran en los másteres la única (o de las pocas) esperanzas para “meter la cabeza” en una compañía, que solo te acepta si entras a través de un convenio académico</w:t>
      </w:r>
      <w:r w:rsidRPr="00EE0979">
        <w:rPr>
          <w:rFonts w:ascii="Times New Roman" w:hAnsi="Times New Roman" w:cs="Times New Roman"/>
          <w:sz w:val="24"/>
          <w:szCs w:val="24"/>
        </w:rPr>
        <w:t>…</w:t>
      </w:r>
    </w:p>
    <w:p w:rsidR="00EF5FA4" w:rsidRPr="00FE4E7F" w:rsidRDefault="00EF5FA4" w:rsidP="00EF5FA4">
      <w:pPr>
        <w:spacing w:line="240" w:lineRule="auto"/>
        <w:jc w:val="both"/>
        <w:rPr>
          <w:rFonts w:ascii="Times New Roman" w:hAnsi="Times New Roman" w:cs="Times New Roman"/>
          <w:color w:val="FF0000"/>
          <w:sz w:val="24"/>
          <w:szCs w:val="24"/>
          <w:u w:val="single"/>
        </w:rPr>
      </w:pPr>
      <w:r w:rsidRPr="00403002">
        <w:rPr>
          <w:rFonts w:ascii="Times New Roman" w:hAnsi="Times New Roman" w:cs="Times New Roman"/>
          <w:sz w:val="24"/>
          <w:szCs w:val="24"/>
        </w:rPr>
        <w:t xml:space="preserve">Pagar cursos obligatorios para entrar a una compañía concreta, con la única opción de hacerlo en prácticas, no es algo inusual. </w:t>
      </w:r>
      <w:r w:rsidRPr="00C65C75">
        <w:rPr>
          <w:rFonts w:ascii="Times New Roman" w:hAnsi="Times New Roman" w:cs="Times New Roman"/>
          <w:sz w:val="24"/>
          <w:szCs w:val="24"/>
          <w:u w:val="single"/>
        </w:rPr>
        <w:t xml:space="preserve">A otros jóvenes, como Gonzalo, también </w:t>
      </w:r>
      <w:r w:rsidR="00D333D6" w:rsidRPr="00C65C75">
        <w:rPr>
          <w:rFonts w:ascii="Times New Roman" w:hAnsi="Times New Roman" w:cs="Times New Roman"/>
          <w:sz w:val="24"/>
          <w:szCs w:val="24"/>
          <w:u w:val="single"/>
        </w:rPr>
        <w:t>les</w:t>
      </w:r>
      <w:r w:rsidRPr="00C65C75">
        <w:rPr>
          <w:rFonts w:ascii="Times New Roman" w:hAnsi="Times New Roman" w:cs="Times New Roman"/>
          <w:sz w:val="24"/>
          <w:szCs w:val="24"/>
          <w:u w:val="single"/>
        </w:rPr>
        <w:t xml:space="preserve"> hicieron costearse uno, por valor de 300 euros. Fue el requisito que le exigió una empresa de comunicación para poder comenzar con ellos</w:t>
      </w:r>
      <w:r w:rsidRPr="00403002">
        <w:rPr>
          <w:rFonts w:ascii="Times New Roman" w:hAnsi="Times New Roman" w:cs="Times New Roman"/>
          <w:sz w:val="24"/>
          <w:szCs w:val="24"/>
        </w:rPr>
        <w:t>. Y el curso en cuestión, ase</w:t>
      </w:r>
      <w:r>
        <w:rPr>
          <w:rFonts w:ascii="Times New Roman" w:hAnsi="Times New Roman" w:cs="Times New Roman"/>
          <w:sz w:val="24"/>
          <w:szCs w:val="24"/>
        </w:rPr>
        <w:t xml:space="preserve">guró, dejaba mucho que desear. </w:t>
      </w:r>
      <w:r w:rsidRPr="00C65C75">
        <w:rPr>
          <w:rFonts w:ascii="Times New Roman" w:hAnsi="Times New Roman" w:cs="Times New Roman"/>
          <w:sz w:val="24"/>
          <w:szCs w:val="24"/>
          <w:u w:val="single"/>
        </w:rPr>
        <w:t>“Era un PDF de dudosa calidad docente, tenía incluso faltas de ortografía. Estaba diseñado para contratar becarios, y no realmente para enseñar”,</w:t>
      </w:r>
      <w:r w:rsidRPr="00403002">
        <w:rPr>
          <w:rFonts w:ascii="Times New Roman" w:hAnsi="Times New Roman" w:cs="Times New Roman"/>
          <w:sz w:val="24"/>
          <w:szCs w:val="24"/>
        </w:rPr>
        <w:t xml:space="preserve"> reflexiona. Cuenta que conoce otros casos similares. El más cercano, el de su compañero de piso, que también pasó por el aro de poner de su dinero para entrar a una gran firma de seguros. Ambos tenían experiencia laboral. Su am</w:t>
      </w:r>
      <w:r>
        <w:rPr>
          <w:rFonts w:ascii="Times New Roman" w:hAnsi="Times New Roman" w:cs="Times New Roman"/>
          <w:sz w:val="24"/>
          <w:szCs w:val="24"/>
        </w:rPr>
        <w:t>igo, además, hizo un máster de “marketing”</w:t>
      </w:r>
      <w:r w:rsidRPr="00403002">
        <w:rPr>
          <w:rFonts w:ascii="Times New Roman" w:hAnsi="Times New Roman" w:cs="Times New Roman"/>
          <w:sz w:val="24"/>
          <w:szCs w:val="24"/>
        </w:rPr>
        <w:t xml:space="preserve"> y pasó otros periodos de prácticas antes. Gonzalo, por su pa</w:t>
      </w:r>
      <w:r>
        <w:rPr>
          <w:rFonts w:ascii="Times New Roman" w:hAnsi="Times New Roman" w:cs="Times New Roman"/>
          <w:sz w:val="24"/>
          <w:szCs w:val="24"/>
        </w:rPr>
        <w:t>rte, trabajó durante años como “freelance” y “community manager”</w:t>
      </w:r>
      <w:r w:rsidRPr="00403002">
        <w:rPr>
          <w:rFonts w:ascii="Times New Roman" w:hAnsi="Times New Roman" w:cs="Times New Roman"/>
          <w:sz w:val="24"/>
          <w:szCs w:val="24"/>
        </w:rPr>
        <w:t>. También había sido becario previamente y pasó por diversos puestos no remunerados. Quería dar el salto a a</w:t>
      </w:r>
      <w:r>
        <w:rPr>
          <w:rFonts w:ascii="Times New Roman" w:hAnsi="Times New Roman" w:cs="Times New Roman"/>
          <w:sz w:val="24"/>
          <w:szCs w:val="24"/>
        </w:rPr>
        <w:t>lgo mejor y terminó aceptando. “</w:t>
      </w:r>
      <w:r w:rsidRPr="00403002">
        <w:rPr>
          <w:rFonts w:ascii="Times New Roman" w:hAnsi="Times New Roman" w:cs="Times New Roman"/>
          <w:sz w:val="24"/>
          <w:szCs w:val="24"/>
        </w:rPr>
        <w:t xml:space="preserve">Tras meses buscando algo, y ser aceptado en varios puestos en los que me pedían </w:t>
      </w:r>
      <w:r>
        <w:rPr>
          <w:rFonts w:ascii="Times New Roman" w:hAnsi="Times New Roman" w:cs="Times New Roman"/>
          <w:sz w:val="24"/>
          <w:szCs w:val="24"/>
        </w:rPr>
        <w:t>lo mismo... Terminé cediendo y “pagando”</w:t>
      </w:r>
      <w:r w:rsidRPr="00403002">
        <w:rPr>
          <w:rFonts w:ascii="Times New Roman" w:hAnsi="Times New Roman" w:cs="Times New Roman"/>
          <w:sz w:val="24"/>
          <w:szCs w:val="24"/>
        </w:rPr>
        <w:t xml:space="preserve"> por trabajar, con un dinero que en la época me facilit</w:t>
      </w:r>
      <w:r>
        <w:rPr>
          <w:rFonts w:ascii="Times New Roman" w:hAnsi="Times New Roman" w:cs="Times New Roman"/>
          <w:sz w:val="24"/>
          <w:szCs w:val="24"/>
        </w:rPr>
        <w:t>aron mis padres”</w:t>
      </w:r>
      <w:r w:rsidRPr="00403002">
        <w:rPr>
          <w:rFonts w:ascii="Times New Roman" w:hAnsi="Times New Roman" w:cs="Times New Roman"/>
          <w:sz w:val="24"/>
          <w:szCs w:val="24"/>
        </w:rPr>
        <w:t>, explica. Aun estando en la segunda mitad de la veintena, entr</w:t>
      </w:r>
      <w:r>
        <w:rPr>
          <w:rFonts w:ascii="Times New Roman" w:hAnsi="Times New Roman" w:cs="Times New Roman"/>
          <w:sz w:val="24"/>
          <w:szCs w:val="24"/>
        </w:rPr>
        <w:t>ó de prácticas durante un año. “</w:t>
      </w:r>
      <w:r w:rsidRPr="00403002">
        <w:rPr>
          <w:rFonts w:ascii="Times New Roman" w:hAnsi="Times New Roman" w:cs="Times New Roman"/>
          <w:sz w:val="24"/>
          <w:szCs w:val="24"/>
        </w:rPr>
        <w:t>La edad importaba poco si podían intentar colarte como becario. Yo mismo tuve luego a otros becarios a mi</w:t>
      </w:r>
      <w:r>
        <w:rPr>
          <w:rFonts w:ascii="Times New Roman" w:hAnsi="Times New Roman" w:cs="Times New Roman"/>
          <w:sz w:val="24"/>
          <w:szCs w:val="24"/>
        </w:rPr>
        <w:t xml:space="preserve"> cargo que me superaban en edad”</w:t>
      </w:r>
      <w:r w:rsidRPr="00403002">
        <w:rPr>
          <w:rFonts w:ascii="Times New Roman" w:hAnsi="Times New Roman" w:cs="Times New Roman"/>
          <w:sz w:val="24"/>
          <w:szCs w:val="24"/>
        </w:rPr>
        <w:t>, confesó. El Estatuto del Becario, anunciado este año por el Ministerio de Trabajo aunque se demorará, mínimo, hasta septiembre por falta de acuerdo entre el Estado y la patronal, la CEOE, tiene como uno de sus punto</w:t>
      </w:r>
      <w:r>
        <w:rPr>
          <w:rFonts w:ascii="Times New Roman" w:hAnsi="Times New Roman" w:cs="Times New Roman"/>
          <w:sz w:val="24"/>
          <w:szCs w:val="24"/>
        </w:rPr>
        <w:t xml:space="preserve">s clave </w:t>
      </w:r>
      <w:r>
        <w:rPr>
          <w:rFonts w:ascii="Times New Roman" w:hAnsi="Times New Roman" w:cs="Times New Roman"/>
          <w:sz w:val="24"/>
          <w:szCs w:val="24"/>
        </w:rPr>
        <w:lastRenderedPageBreak/>
        <w:t xml:space="preserve">combatir </w:t>
      </w:r>
      <w:r w:rsidRPr="00FE4E7F">
        <w:rPr>
          <w:rFonts w:ascii="Times New Roman" w:hAnsi="Times New Roman" w:cs="Times New Roman"/>
          <w:color w:val="FF0000"/>
          <w:sz w:val="24"/>
          <w:szCs w:val="24"/>
          <w:u w:val="single"/>
        </w:rPr>
        <w:t>la figura del “falso becario” en las empresas. O, en otras palabras, la prevención de vías fraudulentas para esquivar la ley, y designar a becarios en funciones propias de un empleado al uso. En los últimos cuatro años, la Inspección de Trabajo detectó casi 5.000 puestos ordinarios que se cubrían bajo esta figura.</w:t>
      </w:r>
    </w:p>
    <w:p w:rsidR="00EF5FA4" w:rsidRPr="00FE4E7F" w:rsidRDefault="00EF5FA4" w:rsidP="00EF5FA4">
      <w:pPr>
        <w:spacing w:line="240" w:lineRule="auto"/>
        <w:jc w:val="both"/>
        <w:rPr>
          <w:rFonts w:ascii="Times New Roman" w:hAnsi="Times New Roman" w:cs="Times New Roman"/>
          <w:sz w:val="24"/>
          <w:szCs w:val="24"/>
          <w:u w:val="single"/>
        </w:rPr>
      </w:pPr>
      <w:r w:rsidRPr="00FE4E7F">
        <w:rPr>
          <w:rFonts w:ascii="Times New Roman" w:hAnsi="Times New Roman" w:cs="Times New Roman"/>
          <w:color w:val="FF0000"/>
          <w:sz w:val="24"/>
          <w:szCs w:val="24"/>
          <w:u w:val="single"/>
        </w:rPr>
        <w:t>“En la agencia en la que estuve, la situación era especialmente sangrante. Hacías un año de becario, luego intentaban si podían hacerte un contrato de recién licenciado en prácticas de un año, y ya luego contrato de obra y servicio durante otros dos. Si superabas todo eso, sin irte, te hacían indefinido”, añadió Gonzalo. Él nunca lo logró</w:t>
      </w:r>
      <w:r w:rsidRPr="00403002">
        <w:rPr>
          <w:rFonts w:ascii="Times New Roman" w:hAnsi="Times New Roman" w:cs="Times New Roman"/>
          <w:sz w:val="24"/>
          <w:szCs w:val="24"/>
        </w:rPr>
        <w:t>. Cuando tuvo que darse de baja por una lesión en la espalda, le</w:t>
      </w:r>
      <w:r>
        <w:rPr>
          <w:rFonts w:ascii="Times New Roman" w:hAnsi="Times New Roman" w:cs="Times New Roman"/>
          <w:sz w:val="24"/>
          <w:szCs w:val="24"/>
        </w:rPr>
        <w:t xml:space="preserve"> enviaron la carta de despido. “</w:t>
      </w:r>
      <w:r w:rsidRPr="00403002">
        <w:rPr>
          <w:rFonts w:ascii="Times New Roman" w:hAnsi="Times New Roman" w:cs="Times New Roman"/>
          <w:sz w:val="24"/>
          <w:szCs w:val="24"/>
        </w:rPr>
        <w:t>Me invitaron a volver si me recuperaba, pero no lo hice. Me</w:t>
      </w:r>
      <w:r>
        <w:rPr>
          <w:rFonts w:ascii="Times New Roman" w:hAnsi="Times New Roman" w:cs="Times New Roman"/>
          <w:sz w:val="24"/>
          <w:szCs w:val="24"/>
        </w:rPr>
        <w:t xml:space="preserve"> habían echado por ser un gasto</w:t>
      </w:r>
      <w:r w:rsidRPr="00EE0979">
        <w:rPr>
          <w:rFonts w:ascii="Times New Roman" w:hAnsi="Times New Roman" w:cs="Times New Roman"/>
          <w:sz w:val="24"/>
          <w:szCs w:val="24"/>
        </w:rPr>
        <w:t xml:space="preserve">”. </w:t>
      </w:r>
      <w:r w:rsidRPr="00FE4E7F">
        <w:rPr>
          <w:rFonts w:ascii="Times New Roman" w:hAnsi="Times New Roman" w:cs="Times New Roman"/>
          <w:sz w:val="24"/>
          <w:szCs w:val="24"/>
          <w:u w:val="single"/>
        </w:rPr>
        <w:t>A Henar, que es periodista y graduada con siete matrículas de honor, con un nivel alto de inglés, le tocó encadenar contratos de prácticas durante tres años. Subsistió por el apoyo de sus padres. Sin embargo, en su momento lo vio como uno de los pocos modos de “entrar en el mundillo”. Empezó durante la carrera, como algo habitual entre estudiantes. Allí pasó por un periódico y dos agencias. Después, al terminar un máster, recibió otra beca que le abrió las puertas al sector editorial. Luego, pasó a la Administración pública. “No eran las mismas condiciones materiales que en el sector privado, pero seguían siendo precarias. Especialmente porque, muchas veces, ejercía las mismas funciones que otros compañeros con un puesto fijo”, lamentó.</w:t>
      </w:r>
    </w:p>
    <w:p w:rsidR="00EF5FA4" w:rsidRPr="00403002" w:rsidRDefault="00EF5FA4" w:rsidP="00EF5FA4">
      <w:pPr>
        <w:spacing w:line="240" w:lineRule="auto"/>
        <w:jc w:val="both"/>
        <w:rPr>
          <w:rFonts w:ascii="Times New Roman" w:hAnsi="Times New Roman" w:cs="Times New Roman"/>
          <w:sz w:val="24"/>
          <w:szCs w:val="24"/>
        </w:rPr>
      </w:pPr>
      <w:r w:rsidRPr="00FE4E7F">
        <w:rPr>
          <w:rFonts w:ascii="Times New Roman" w:hAnsi="Times New Roman" w:cs="Times New Roman"/>
          <w:color w:val="FF0000"/>
          <w:sz w:val="24"/>
          <w:szCs w:val="24"/>
          <w:u w:val="single"/>
        </w:rPr>
        <w:t>En total, entre su etapa como alumna y el tiempo que vino después, pasó por seis empresas distintas y fue becaria durante 38 meses. Para ella, lo peor siempre fue “la sensación de que la etapa de becaria no acabaría nunca”. “Por no hablar de las consecuencias en lo que a autoestima profesional se refiere”, añade.</w:t>
      </w:r>
      <w:r w:rsidRPr="00403002">
        <w:rPr>
          <w:rFonts w:ascii="Times New Roman" w:hAnsi="Times New Roman" w:cs="Times New Roman"/>
          <w:sz w:val="24"/>
          <w:szCs w:val="24"/>
        </w:rPr>
        <w:t>Y luego están quienes, tras perder sus empleos, ven en las prácticas una vía de nu</w:t>
      </w:r>
      <w:r>
        <w:rPr>
          <w:rFonts w:ascii="Times New Roman" w:hAnsi="Times New Roman" w:cs="Times New Roman"/>
          <w:sz w:val="24"/>
          <w:szCs w:val="24"/>
        </w:rPr>
        <w:t>evo acceso al mercado laboral. “</w:t>
      </w:r>
      <w:r w:rsidRPr="00403002">
        <w:rPr>
          <w:rFonts w:ascii="Times New Roman" w:hAnsi="Times New Roman" w:cs="Times New Roman"/>
          <w:sz w:val="24"/>
          <w:szCs w:val="24"/>
        </w:rPr>
        <w:t>Empecé con un contrato cuando me gradué, hasta q</w:t>
      </w:r>
      <w:r>
        <w:rPr>
          <w:rFonts w:ascii="Times New Roman" w:hAnsi="Times New Roman" w:cs="Times New Roman"/>
          <w:sz w:val="24"/>
          <w:szCs w:val="24"/>
        </w:rPr>
        <w:t>ue hace un año me quedé en paro”</w:t>
      </w:r>
      <w:r w:rsidRPr="00403002">
        <w:rPr>
          <w:rFonts w:ascii="Times New Roman" w:hAnsi="Times New Roman" w:cs="Times New Roman"/>
          <w:sz w:val="24"/>
          <w:szCs w:val="24"/>
        </w:rPr>
        <w:t>, cuenta Inés, filóloga y periodista que, con casi 30 años y viéndose en la calle, decidió hacer u</w:t>
      </w:r>
      <w:r>
        <w:rPr>
          <w:rFonts w:ascii="Times New Roman" w:hAnsi="Times New Roman" w:cs="Times New Roman"/>
          <w:sz w:val="24"/>
          <w:szCs w:val="24"/>
        </w:rPr>
        <w:t>n máster con la idea de que la “pillaran”</w:t>
      </w:r>
      <w:r w:rsidRPr="00403002">
        <w:rPr>
          <w:rFonts w:ascii="Times New Roman" w:hAnsi="Times New Roman" w:cs="Times New Roman"/>
          <w:sz w:val="24"/>
          <w:szCs w:val="24"/>
        </w:rPr>
        <w:t xml:space="preserve"> en la empresa de prácticas, y así volver a las a</w:t>
      </w:r>
      <w:r>
        <w:rPr>
          <w:rFonts w:ascii="Times New Roman" w:hAnsi="Times New Roman" w:cs="Times New Roman"/>
          <w:sz w:val="24"/>
          <w:szCs w:val="24"/>
        </w:rPr>
        <w:t>ndadas: “</w:t>
      </w:r>
      <w:r w:rsidRPr="00403002">
        <w:rPr>
          <w:rFonts w:ascii="Times New Roman" w:hAnsi="Times New Roman" w:cs="Times New Roman"/>
          <w:sz w:val="24"/>
          <w:szCs w:val="24"/>
        </w:rPr>
        <w:t>Inocente de mí que, a mi edad y con cinco años de experiencia,</w:t>
      </w:r>
      <w:r>
        <w:rPr>
          <w:rFonts w:ascii="Times New Roman" w:hAnsi="Times New Roman" w:cs="Times New Roman"/>
          <w:sz w:val="24"/>
          <w:szCs w:val="24"/>
        </w:rPr>
        <w:t xml:space="preserve"> pensé que no tendría problemas”</w:t>
      </w:r>
      <w:r w:rsidRPr="00403002">
        <w:rPr>
          <w:rFonts w:ascii="Times New Roman" w:hAnsi="Times New Roman" w:cs="Times New Roman"/>
          <w:sz w:val="24"/>
          <w:szCs w:val="24"/>
        </w:rPr>
        <w:t>. Para su sorpresa, no ocurrió, y al final de los de tres meses de beca, era desempleada de nuevo. Mucha gente no aguanta este cúmulo de altibajos y llegado el momento dice basta. Según el Instituto de la Juventud (Injuve), entre 2008 y 2020 (año previo a la pandemia y, por ende, a la reducción de la movilidad), en España son más los jóvenes que emigran a otros lugares, que los que vuelven.</w:t>
      </w:r>
    </w:p>
    <w:p w:rsidR="00EF5FA4" w:rsidRPr="00EC32F9" w:rsidRDefault="00EF5FA4" w:rsidP="00EF5FA4">
      <w:pPr>
        <w:spacing w:line="240" w:lineRule="auto"/>
        <w:jc w:val="both"/>
        <w:rPr>
          <w:rFonts w:ascii="Times New Roman" w:hAnsi="Times New Roman" w:cs="Times New Roman"/>
          <w:sz w:val="24"/>
          <w:szCs w:val="24"/>
        </w:rPr>
      </w:pPr>
      <w:r w:rsidRPr="00403002">
        <w:rPr>
          <w:rFonts w:ascii="Times New Roman" w:hAnsi="Times New Roman" w:cs="Times New Roman"/>
          <w:sz w:val="24"/>
          <w:szCs w:val="24"/>
        </w:rPr>
        <w:t>Más de 300.000 personas, de entre 15 y 34 años, se fueron a otros países a lo largo de este periodo, motivados principalmente por la búsqueda de mejores oportunidades laborales. Eso le ocurrió a Rocío, una joven que finalmente emigró a Suecia. Ahora mismo tiene 33 años, pero ent</w:t>
      </w:r>
      <w:r>
        <w:rPr>
          <w:rFonts w:ascii="Times New Roman" w:hAnsi="Times New Roman" w:cs="Times New Roman"/>
          <w:sz w:val="24"/>
          <w:szCs w:val="24"/>
        </w:rPr>
        <w:t>re 2013 y 2017 pasó por varios “trabajos de mierda”</w:t>
      </w:r>
      <w:r w:rsidRPr="00403002">
        <w:rPr>
          <w:rFonts w:ascii="Times New Roman" w:hAnsi="Times New Roman" w:cs="Times New Roman"/>
          <w:sz w:val="24"/>
          <w:szCs w:val="24"/>
        </w:rPr>
        <w:t>, siempre bajo convenio de práctic</w:t>
      </w:r>
      <w:r>
        <w:rPr>
          <w:rFonts w:ascii="Times New Roman" w:hAnsi="Times New Roman" w:cs="Times New Roman"/>
          <w:sz w:val="24"/>
          <w:szCs w:val="24"/>
        </w:rPr>
        <w:t>as. “Era eso, o nada”</w:t>
      </w:r>
      <w:r w:rsidRPr="00403002">
        <w:rPr>
          <w:rFonts w:ascii="Times New Roman" w:hAnsi="Times New Roman" w:cs="Times New Roman"/>
          <w:sz w:val="24"/>
          <w:szCs w:val="24"/>
        </w:rPr>
        <w:t>. Cuenta que la situación le abocó a un e</w:t>
      </w:r>
      <w:r>
        <w:rPr>
          <w:rFonts w:ascii="Times New Roman" w:hAnsi="Times New Roman" w:cs="Times New Roman"/>
          <w:sz w:val="24"/>
          <w:szCs w:val="24"/>
        </w:rPr>
        <w:t>stado de depresión y ansiedad. “Hasta que me harté”</w:t>
      </w:r>
      <w:r w:rsidRPr="00403002">
        <w:rPr>
          <w:rFonts w:ascii="Times New Roman" w:hAnsi="Times New Roman" w:cs="Times New Roman"/>
          <w:sz w:val="24"/>
          <w:szCs w:val="24"/>
        </w:rPr>
        <w:t>. Desde hace cinco años, vive y trabaja en Gotemburgo, sin i</w:t>
      </w:r>
      <w:r>
        <w:rPr>
          <w:rFonts w:ascii="Times New Roman" w:hAnsi="Times New Roman" w:cs="Times New Roman"/>
          <w:sz w:val="24"/>
          <w:szCs w:val="24"/>
        </w:rPr>
        <w:t>ntenciones de volver a España. “</w:t>
      </w:r>
      <w:r w:rsidRPr="00403002">
        <w:rPr>
          <w:rFonts w:ascii="Times New Roman" w:hAnsi="Times New Roman" w:cs="Times New Roman"/>
          <w:sz w:val="24"/>
          <w:szCs w:val="24"/>
        </w:rPr>
        <w:t>Aquí al menos tengo derechos laborales y un salario</w:t>
      </w:r>
      <w:r>
        <w:rPr>
          <w:rFonts w:ascii="Times New Roman" w:hAnsi="Times New Roman" w:cs="Times New Roman"/>
          <w:sz w:val="24"/>
          <w:szCs w:val="24"/>
        </w:rPr>
        <w:t xml:space="preserve"> cinco veces mayor”</w:t>
      </w:r>
      <w:r w:rsidRPr="00403002">
        <w:rPr>
          <w:rFonts w:ascii="Times New Roman" w:hAnsi="Times New Roman" w:cs="Times New Roman"/>
          <w:sz w:val="24"/>
          <w:szCs w:val="24"/>
        </w:rPr>
        <w:t>.</w:t>
      </w:r>
    </w:p>
    <w:p w:rsidR="00EF5FA4" w:rsidRPr="00EC32F9" w:rsidRDefault="00EF5FA4" w:rsidP="00EF5FA4">
      <w:pPr>
        <w:spacing w:line="240" w:lineRule="auto"/>
        <w:jc w:val="both"/>
        <w:rPr>
          <w:rFonts w:ascii="Times New Roman" w:hAnsi="Times New Roman" w:cs="Times New Roman"/>
          <w:sz w:val="24"/>
          <w:szCs w:val="24"/>
        </w:rPr>
      </w:pPr>
      <w:r w:rsidRPr="00AF59FE">
        <w:rPr>
          <w:rFonts w:ascii="Times New Roman" w:hAnsi="Times New Roman" w:cs="Times New Roman"/>
          <w:b/>
          <w:sz w:val="24"/>
          <w:szCs w:val="24"/>
        </w:rPr>
        <w:t>Nota</w:t>
      </w:r>
      <w:r>
        <w:rPr>
          <w:rFonts w:ascii="Times New Roman" w:hAnsi="Times New Roman" w:cs="Times New Roman"/>
          <w:sz w:val="24"/>
          <w:szCs w:val="24"/>
        </w:rPr>
        <w:t xml:space="preserve">: en el mejor de los casos, los jóvenes europeos </w:t>
      </w:r>
      <w:r w:rsidRPr="00767C09">
        <w:rPr>
          <w:rFonts w:ascii="Times New Roman" w:hAnsi="Times New Roman" w:cs="Times New Roman"/>
          <w:sz w:val="24"/>
          <w:szCs w:val="24"/>
        </w:rPr>
        <w:t>suelen tener contratos precarios, marcados por la tem</w:t>
      </w:r>
      <w:r>
        <w:rPr>
          <w:rFonts w:ascii="Times New Roman" w:hAnsi="Times New Roman" w:cs="Times New Roman"/>
          <w:sz w:val="24"/>
          <w:szCs w:val="24"/>
        </w:rPr>
        <w:t>poralidad y la jornada parcial, por lo que les resulta poco menos que imposible proyectar su futuro laboral, y familiar… pero, a cambio, están sobradamente “conectados”, y son idóneamente “resilientes”. Serán unos “esclavos felices”, con 5G.</w:t>
      </w:r>
    </w:p>
    <w:p w:rsidR="00EF5FA4" w:rsidRDefault="00EF5FA4" w:rsidP="00EF5FA4">
      <w:pPr>
        <w:pStyle w:val="NormalWeb"/>
        <w:shd w:val="clear" w:color="auto" w:fill="FFFFFF"/>
        <w:spacing w:after="360"/>
        <w:jc w:val="both"/>
      </w:pPr>
      <w:r>
        <w:lastRenderedPageBreak/>
        <w:t xml:space="preserve">- </w:t>
      </w:r>
      <w:r w:rsidRPr="00591799">
        <w:rPr>
          <w:u w:val="single"/>
        </w:rPr>
        <w:t>Los españoles necesitan los ingresos de 11 años para comprar vivienda, un 35% más que en el 2000</w:t>
      </w:r>
      <w:r>
        <w:t xml:space="preserve"> (Cinco Días - </w:t>
      </w:r>
      <w:r w:rsidRPr="00591799">
        <w:rPr>
          <w:b/>
        </w:rPr>
        <w:t>25/7/22</w:t>
      </w:r>
      <w:r>
        <w:t>)</w:t>
      </w:r>
    </w:p>
    <w:p w:rsidR="00EF5FA4" w:rsidRPr="00EE0979" w:rsidRDefault="00EF5FA4" w:rsidP="00EF5FA4">
      <w:pPr>
        <w:pStyle w:val="NormalWeb"/>
        <w:shd w:val="clear" w:color="auto" w:fill="FFFFFF"/>
        <w:spacing w:after="360"/>
        <w:jc w:val="both"/>
        <w:rPr>
          <w:color w:val="FF0000"/>
        </w:rPr>
      </w:pPr>
      <w:r w:rsidRPr="00EE0979">
        <w:rPr>
          <w:color w:val="FF0000"/>
        </w:rPr>
        <w:t>En el conjunto de la OCDE el aumento en 20 años ha sido del 23%</w:t>
      </w:r>
    </w:p>
    <w:p w:rsidR="00EF5FA4" w:rsidRPr="00EE0979" w:rsidRDefault="00EF5FA4" w:rsidP="00EF5FA4">
      <w:pPr>
        <w:pStyle w:val="NormalWeb"/>
        <w:shd w:val="clear" w:color="auto" w:fill="FFFFFF"/>
        <w:spacing w:after="360"/>
        <w:jc w:val="both"/>
        <w:rPr>
          <w:color w:val="FF0000"/>
        </w:rPr>
      </w:pPr>
      <w:r w:rsidRPr="00EE0979">
        <w:rPr>
          <w:color w:val="FF0000"/>
        </w:rPr>
        <w:t>La organización alerta de la brecha que genera la propiedad</w:t>
      </w:r>
    </w:p>
    <w:p w:rsidR="00EF5FA4" w:rsidRDefault="00EF5FA4" w:rsidP="00EF5FA4">
      <w:pPr>
        <w:pStyle w:val="NormalWeb"/>
        <w:shd w:val="clear" w:color="auto" w:fill="FFFFFF"/>
        <w:spacing w:after="360"/>
        <w:jc w:val="both"/>
      </w:pPr>
      <w:r>
        <w:t>(Por Pablo Sempere)</w:t>
      </w:r>
    </w:p>
    <w:p w:rsidR="00EF5FA4" w:rsidRDefault="00EF5FA4" w:rsidP="00EF5FA4">
      <w:pPr>
        <w:pStyle w:val="NormalWeb"/>
        <w:shd w:val="clear" w:color="auto" w:fill="FFFFFF"/>
        <w:spacing w:after="360"/>
        <w:jc w:val="both"/>
      </w:pPr>
      <w:r>
        <w:rPr>
          <w:noProof/>
          <w:lang w:val="en-GB" w:eastAsia="zh-CN"/>
        </w:rPr>
        <w:drawing>
          <wp:inline distT="0" distB="0" distL="0" distR="0">
            <wp:extent cx="6108700" cy="2406650"/>
            <wp:effectExtent l="0" t="0" r="6350" b="0"/>
            <wp:docPr id="78" name="Imagen 78" descr="https://d500.epimg.net/descargables/2022/07/22/4d4603e11ba0b0e5d9aef79ac3844a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d500.epimg.net/descargables/2022/07/22/4d4603e11ba0b0e5d9aef79ac3844a30.png"/>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105996" cy="2405585"/>
                    </a:xfrm>
                    <a:prstGeom prst="rect">
                      <a:avLst/>
                    </a:prstGeom>
                    <a:noFill/>
                    <a:ln>
                      <a:noFill/>
                    </a:ln>
                  </pic:spPr>
                </pic:pic>
              </a:graphicData>
            </a:graphic>
          </wp:inline>
        </w:drawing>
      </w:r>
    </w:p>
    <w:p w:rsidR="00EF5FA4" w:rsidRPr="007350BC" w:rsidRDefault="00EF5FA4" w:rsidP="00EF5FA4">
      <w:pPr>
        <w:pStyle w:val="NormalWeb"/>
        <w:shd w:val="clear" w:color="auto" w:fill="FFFFFF"/>
        <w:spacing w:after="360"/>
        <w:jc w:val="both"/>
        <w:rPr>
          <w:color w:val="FF0000"/>
          <w:u w:val="single"/>
        </w:rPr>
      </w:pPr>
      <w:r w:rsidRPr="007350BC">
        <w:rPr>
          <w:color w:val="FF0000"/>
          <w:u w:val="single"/>
        </w:rPr>
        <w:t>El precio de la vivienda y los ingresos netos de las familias han avanzado a distintas velocidades a lo largo de las últimas décadas. En consecuencia, la renta íntegra que un hogar debe destinar al pago de una casa ha aumentado a marchas forzadas. Si en el año 2000 un núcleo familiar tenía que reservar los ingresos completos de 8,8 ejercicios para poder comprar una vivienda media de 100 metros cuadrados, dos décadas después la cifra ha avanzado hasta los 10,9 años para el mismo tipo de inmueble.</w:t>
      </w:r>
    </w:p>
    <w:p w:rsidR="00EF5FA4" w:rsidRDefault="00EF5FA4" w:rsidP="00EF5FA4">
      <w:pPr>
        <w:pStyle w:val="NormalWeb"/>
        <w:shd w:val="clear" w:color="auto" w:fill="FFFFFF"/>
        <w:spacing w:after="360"/>
        <w:jc w:val="both"/>
      </w:pPr>
      <w:r w:rsidRPr="007350BC">
        <w:rPr>
          <w:color w:val="FF0000"/>
          <w:u w:val="single"/>
        </w:rPr>
        <w:t>Los cálculos, publicados la semana pasada por la Organización para la Cooperación y el Desarrollo Económicos (OCDE), hacen referencia a la media de las 31 principales economías</w:t>
      </w:r>
      <w:r>
        <w:t>que componen el club, entre las que se encuentra España. El país, sin embargo, ha visto aumentar el esfuerzo algo por encima de la media.</w:t>
      </w:r>
    </w:p>
    <w:p w:rsidR="00EF5FA4" w:rsidRDefault="00EF5FA4" w:rsidP="00EF5FA4">
      <w:pPr>
        <w:pStyle w:val="NormalWeb"/>
        <w:shd w:val="clear" w:color="auto" w:fill="FFFFFF"/>
        <w:spacing w:after="360"/>
        <w:jc w:val="both"/>
      </w:pPr>
      <w:r>
        <w:t>A día de hoy, en la OCDE, las familias deben reservar 2,1 años más de ingresos para ser propietarias, un avance del 23%. En España, el aumento es de 2,9 ejercicios, pasando de los 8,2 a los 11,1 años. Es una subida del 35% que, además, se hace más notoria entre los hogares de menores ingresos, que soportan un esfuerzo mayor.</w:t>
      </w:r>
    </w:p>
    <w:p w:rsidR="00EF5FA4" w:rsidRDefault="00EF5FA4" w:rsidP="00EF5FA4">
      <w:pPr>
        <w:pStyle w:val="NormalWeb"/>
        <w:shd w:val="clear" w:color="auto" w:fill="FFFFFF"/>
        <w:spacing w:after="360"/>
        <w:jc w:val="both"/>
      </w:pPr>
      <w:r w:rsidRPr="007350BC">
        <w:rPr>
          <w:b/>
          <w:color w:val="FF0000"/>
          <w:u w:val="single"/>
        </w:rPr>
        <w:t>En el informe Impuestos sobre la vivienda en los países de la OCDE, publicado la semana pasada, la organización elabora un diagnóstico en torno a la propiedad inmobiliaria</w:t>
      </w:r>
      <w:r>
        <w:t>. A partir de él, propone una serie de medidas de índole fiscal para equilibrar el mercado, corregir desigualdades y aumentar los ingresos públicos.</w:t>
      </w:r>
    </w:p>
    <w:p w:rsidR="00EF5FA4" w:rsidRPr="007350BC" w:rsidRDefault="00EF5FA4" w:rsidP="00EF5FA4">
      <w:pPr>
        <w:pStyle w:val="NormalWeb"/>
        <w:shd w:val="clear" w:color="auto" w:fill="FFFFFF"/>
        <w:spacing w:after="360"/>
        <w:jc w:val="both"/>
        <w:rPr>
          <w:u w:val="single"/>
        </w:rPr>
      </w:pPr>
      <w:r>
        <w:t xml:space="preserve">Por el momento, el organismo que dirige Mathias Cormann ve con preocupación la creciente brecha económica -provocada por el alza de los precios- entre los hogares propietarios de una vivienda y los que no pueden permitirse dar el salto. </w:t>
      </w:r>
      <w:r w:rsidRPr="007350BC">
        <w:rPr>
          <w:u w:val="single"/>
        </w:rPr>
        <w:t xml:space="preserve">A un lado, las revalorizaciones inmobiliarias presentan “una gran oportunidad para la acumulación de riqueza, ya que los </w:t>
      </w:r>
      <w:r w:rsidRPr="007350BC">
        <w:rPr>
          <w:u w:val="single"/>
        </w:rPr>
        <w:lastRenderedPageBreak/>
        <w:t>propietarios se benefician de importantes retornos de inversión a través de activos domésticos”</w:t>
      </w:r>
      <w:r>
        <w:t xml:space="preserve">. La tenencia también promueve el acceso al crédito al actuar como garantía. </w:t>
      </w:r>
      <w:r w:rsidRPr="007350BC">
        <w:rPr>
          <w:u w:val="single"/>
        </w:rPr>
        <w:t>Todos estos beneficios “se acumularán de manera desproporcionada en los hogares de mayor edad y de ingresos más altos, que tienen más probabilidades de ser propietarios”, advierte la OCDE.</w:t>
      </w:r>
    </w:p>
    <w:p w:rsidR="00EF5FA4" w:rsidRPr="007350BC" w:rsidRDefault="00EF5FA4" w:rsidP="00EF5FA4">
      <w:pPr>
        <w:pStyle w:val="NormalWeb"/>
        <w:shd w:val="clear" w:color="auto" w:fill="FFFFFF"/>
        <w:spacing w:after="360"/>
        <w:jc w:val="both"/>
        <w:rPr>
          <w:u w:val="single"/>
        </w:rPr>
      </w:pPr>
      <w:r w:rsidRPr="007350BC">
        <w:rPr>
          <w:u w:val="single"/>
        </w:rPr>
        <w:t>Al otro lado, los que no pueden adquirir una casa tenderán a vivir de alquiler, encontrando “cada vez más dificultades para ascender en el escalafón de la propiedad y para cosechar las ventajas económicas de ser titular”, razona el organismo.</w:t>
      </w:r>
    </w:p>
    <w:p w:rsidR="00EF5FA4" w:rsidRDefault="00EF5FA4" w:rsidP="00EF5FA4">
      <w:pPr>
        <w:pStyle w:val="NormalWeb"/>
        <w:shd w:val="clear" w:color="auto" w:fill="FFFFFF"/>
        <w:spacing w:after="360"/>
        <w:jc w:val="both"/>
      </w:pPr>
      <w:r>
        <w:t>La OCDE analiza el peso de la vivienda como componente de la riqueza de los hogares. Es un vehículo que considera “clave” para la acumulación de patrimonio y el ascenso social. Por ello, al diseccionar a los diferentes grupos de ingresos se pueden observar los efectos resultantes de contar con un inmueble en propiedad.</w:t>
      </w:r>
    </w:p>
    <w:p w:rsidR="00EF5FA4" w:rsidRDefault="00EF5FA4" w:rsidP="00EF5FA4">
      <w:pPr>
        <w:pStyle w:val="NormalWeb"/>
        <w:shd w:val="clear" w:color="auto" w:fill="FFFFFF"/>
        <w:spacing w:after="360"/>
        <w:jc w:val="both"/>
      </w:pPr>
      <w:r>
        <w:t>Según muestran los datos de la OCDE, en los hogares de los quintiles más bajos de renta la vivienda principal, siempre en propiedad, se convierte en la mayor fuente de riqueza. Representa desde el 52% del patrimonio total en el grupo más pobre hasta el 71% en el tercer quintil. Sin embargo, debido a su valor de mercado o a las cargas y deudas que muchas veces lleva aparejada, la vivienda no consigue en estos casos ser un vehículo para atraer riqueza desde otras vías.</w:t>
      </w:r>
    </w:p>
    <w:p w:rsidR="00EF5FA4" w:rsidRDefault="00EF5FA4" w:rsidP="00EF5FA4">
      <w:pPr>
        <w:pStyle w:val="NormalWeb"/>
        <w:shd w:val="clear" w:color="auto" w:fill="FFFFFF"/>
        <w:spacing w:after="360"/>
        <w:jc w:val="both"/>
      </w:pPr>
      <w:r>
        <w:t>Por contra, en el quintil más acaudalado la casa habitual no llega a suponer ni el 40% del total de la riqueza. En este último grupo, en cambio, ganan peso otros bienes inmobiliarios secundarios (22%), como segundas residencias o viviendas alquiladas, o los activos financieros e inversiones (34% de la riqueza). Estos, por el contrario, son casi testimoniales en los grupos de renta más bajos, donde por ejemplo sí tienen un papel dominante, en proporción a toda la riqueza, los vehículos.</w:t>
      </w:r>
    </w:p>
    <w:p w:rsidR="00EF5FA4" w:rsidRDefault="00EF5FA4" w:rsidP="00EF5FA4">
      <w:pPr>
        <w:pStyle w:val="NormalWeb"/>
        <w:shd w:val="clear" w:color="auto" w:fill="FFFFFF"/>
        <w:spacing w:after="360"/>
        <w:jc w:val="both"/>
      </w:pPr>
      <w:r>
        <w:t>La vivienda, en manos de los ricos</w:t>
      </w:r>
    </w:p>
    <w:p w:rsidR="00EF5FA4" w:rsidRPr="007350BC" w:rsidRDefault="00EF5FA4" w:rsidP="00EF5FA4">
      <w:pPr>
        <w:pStyle w:val="NormalWeb"/>
        <w:shd w:val="clear" w:color="auto" w:fill="FFFFFF"/>
        <w:spacing w:after="360"/>
        <w:jc w:val="both"/>
        <w:rPr>
          <w:u w:val="single"/>
        </w:rPr>
      </w:pPr>
      <w:r w:rsidRPr="007350BC">
        <w:rPr>
          <w:u w:val="single"/>
        </w:rPr>
        <w:t>Los datos de la OCDE también evidencian que las tasas de propiedad de vivienda son más altas en la parte superior de la distribución de ingresos en casi todos los países del club. Las cifras muestran que en 29 países, casi la mitad (46%) del total bruto de viviendas ocupadas por sus propietarios está en manos de hogares del quintil superior de riqueza. Las familias de los quintiles segundo, tercero y cuarto, en conjunto, poseen el 51% de la riqueza bruta de casas, mientras que quienes están en el quintil de riqueza más bajo poseen aproximadamente el 3%.</w:t>
      </w:r>
    </w:p>
    <w:p w:rsidR="00EF5FA4" w:rsidRDefault="00EF5FA4" w:rsidP="00EF5FA4">
      <w:pPr>
        <w:pStyle w:val="NormalWeb"/>
        <w:shd w:val="clear" w:color="auto" w:fill="FFFFFF"/>
        <w:spacing w:after="360"/>
        <w:jc w:val="both"/>
      </w:pPr>
      <w:r>
        <w:t>Los bienes raíces secundarios están aún más concentrados en la parte superior: aproximadamente el 75% de la riqueza está en manos de los hogares del quintil de más ingresos. La parte media de la distribución, por otro lado, posee solo el 24%, mientras que el 1% restante está en manos de los hogares más pobres.</w:t>
      </w:r>
    </w:p>
    <w:p w:rsidR="00EF5FA4" w:rsidRPr="00731E8F" w:rsidRDefault="00EF5FA4" w:rsidP="00EF5FA4">
      <w:pPr>
        <w:pStyle w:val="NormalWeb"/>
        <w:shd w:val="clear" w:color="auto" w:fill="FFFFFF"/>
        <w:spacing w:after="360"/>
        <w:jc w:val="both"/>
      </w:pPr>
      <w:r w:rsidRPr="00A40EDF">
        <w:rPr>
          <w:b/>
        </w:rPr>
        <w:t>Nota</w:t>
      </w:r>
      <w:r>
        <w:t>: mientras el sueño de la vivienda propia resulta cada vez más inalcanzable, los gobiernos “sablean” a los contribuyentes europeos, con una mayor carga fiscal, hasta llegar al absurdo, que a lo largo del año laboral se requieran más días de ingresos para satisfacer la voracidad del estado, que para atender los gastos (o ahorros) del trabajador (e</w:t>
      </w:r>
      <w:r w:rsidR="00A40EDF">
        <w:t>n 2021, los españoles han</w:t>
      </w:r>
      <w:r w:rsidRPr="004016AE">
        <w:t xml:space="preserve"> dedicado, de media, un total de 193 jornadas de renta para cumplir con sus obligaciones con Hacienda. Es decir, el </w:t>
      </w:r>
      <w:r w:rsidR="00A40EDF">
        <w:t>“</w:t>
      </w:r>
      <w:r w:rsidRPr="004016AE">
        <w:t>Día de la Liberación Fiscal</w:t>
      </w:r>
      <w:r w:rsidR="00A40EDF">
        <w:t>”</w:t>
      </w:r>
      <w:r w:rsidRPr="004016AE">
        <w:t>,</w:t>
      </w:r>
      <w:r w:rsidR="00A40EDF">
        <w:t xml:space="preserve"> llegó</w:t>
      </w:r>
      <w:r>
        <w:t xml:space="preserve"> el 13 de julio).</w:t>
      </w:r>
    </w:p>
    <w:p w:rsidR="00EF5FA4" w:rsidRDefault="00EF5FA4" w:rsidP="00EF5FA4">
      <w:pPr>
        <w:pStyle w:val="NormalWeb"/>
        <w:shd w:val="clear" w:color="auto" w:fill="FFFFFF"/>
        <w:spacing w:before="0" w:beforeAutospacing="0" w:after="360" w:afterAutospacing="0"/>
        <w:jc w:val="both"/>
      </w:pPr>
      <w:r>
        <w:rPr>
          <w:noProof/>
          <w:lang w:val="en-GB" w:eastAsia="zh-CN"/>
        </w:rPr>
        <w:lastRenderedPageBreak/>
        <w:drawing>
          <wp:inline distT="0" distB="0" distL="0" distR="0">
            <wp:extent cx="6051550" cy="2882900"/>
            <wp:effectExtent l="0" t="0" r="6350" b="0"/>
            <wp:docPr id="79" name="Imagen 79" descr="Presión fiscal España Europ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resión fiscal España Europa"/>
                    <pic:cNvPicPr>
                      <a:picLocks noChangeAspect="1" noChangeArrowheads="1"/>
                    </pic:cNvPicPr>
                  </pic:nvPicPr>
                  <pic:blipFill>
                    <a:blip r:embed="rId1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049843" cy="2882087"/>
                    </a:xfrm>
                    <a:prstGeom prst="rect">
                      <a:avLst/>
                    </a:prstGeom>
                    <a:noFill/>
                    <a:ln>
                      <a:noFill/>
                    </a:ln>
                  </pic:spPr>
                </pic:pic>
              </a:graphicData>
            </a:graphic>
          </wp:inline>
        </w:drawing>
      </w:r>
    </w:p>
    <w:p w:rsidR="00EF5FA4" w:rsidRDefault="00EF5FA4" w:rsidP="00EF5FA4">
      <w:pPr>
        <w:pStyle w:val="NormalWeb"/>
        <w:shd w:val="clear" w:color="auto" w:fill="FFFFFF"/>
        <w:spacing w:before="0" w:beforeAutospacing="0" w:after="360" w:afterAutospacing="0"/>
        <w:jc w:val="both"/>
      </w:pPr>
      <w:r>
        <w:t xml:space="preserve">(Cinco Días - </w:t>
      </w:r>
      <w:r w:rsidRPr="00D84F67">
        <w:rPr>
          <w:b/>
        </w:rPr>
        <w:t>26/7/22</w:t>
      </w:r>
      <w:r>
        <w:t>)</w:t>
      </w:r>
    </w:p>
    <w:p w:rsidR="00EF5FA4" w:rsidRDefault="00EF5FA4" w:rsidP="00EF5FA4">
      <w:pPr>
        <w:pStyle w:val="NormalWeb"/>
        <w:spacing w:after="360"/>
        <w:jc w:val="both"/>
      </w:pPr>
      <w:r>
        <w:t xml:space="preserve">- </w:t>
      </w:r>
      <w:r w:rsidRPr="00AC59F3">
        <w:rPr>
          <w:u w:val="single"/>
        </w:rPr>
        <w:t>Las rentas bajas se endeudan para pagar la casa habitual y las altas, para la segunda vivienda</w:t>
      </w:r>
      <w:r>
        <w:t xml:space="preserve"> (Cinco Días - </w:t>
      </w:r>
      <w:r w:rsidRPr="00AC59F3">
        <w:rPr>
          <w:b/>
        </w:rPr>
        <w:t>28/7/22</w:t>
      </w:r>
      <w:r>
        <w:t xml:space="preserve">) </w:t>
      </w:r>
    </w:p>
    <w:p w:rsidR="00EF5FA4" w:rsidRPr="00F64EA5" w:rsidRDefault="00EF5FA4" w:rsidP="00EF5FA4">
      <w:pPr>
        <w:pStyle w:val="NormalWeb"/>
        <w:spacing w:after="360"/>
        <w:jc w:val="both"/>
      </w:pPr>
      <w:r>
        <w:t>El 11,4% de los activos de las familias españolas son pasivos. La riqueza neta media sube un 4,6% en tres años, hasta los 122.000 euros.</w:t>
      </w:r>
    </w:p>
    <w:p w:rsidR="00EF5FA4" w:rsidRDefault="00EF5FA4" w:rsidP="00EF5FA4">
      <w:pPr>
        <w:pStyle w:val="NormalWeb"/>
        <w:spacing w:after="360"/>
        <w:jc w:val="both"/>
      </w:pPr>
      <w:r>
        <w:rPr>
          <w:noProof/>
          <w:lang w:val="en-GB" w:eastAsia="zh-CN"/>
        </w:rPr>
        <w:drawing>
          <wp:inline distT="0" distB="0" distL="0" distR="0">
            <wp:extent cx="6096000" cy="3714750"/>
            <wp:effectExtent l="0" t="0" r="0" b="0"/>
            <wp:docPr id="86" name="Imagen 86" descr="Deuda hoga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uda hogares"/>
                    <pic:cNvPicPr>
                      <a:picLocks noChangeAspect="1" noChangeArrowheads="1"/>
                    </pic:cNvPicPr>
                  </pic:nvPicPr>
                  <pic:blipFill>
                    <a:blip r:embed="rId1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093300" cy="3713104"/>
                    </a:xfrm>
                    <a:prstGeom prst="rect">
                      <a:avLst/>
                    </a:prstGeom>
                    <a:noFill/>
                    <a:ln>
                      <a:noFill/>
                    </a:ln>
                  </pic:spPr>
                </pic:pic>
              </a:graphicData>
            </a:graphic>
          </wp:inline>
        </w:drawing>
      </w:r>
    </w:p>
    <w:p w:rsidR="00EF5FA4" w:rsidRDefault="00EF5FA4" w:rsidP="00EF5FA4">
      <w:pPr>
        <w:spacing w:line="240" w:lineRule="auto"/>
        <w:jc w:val="both"/>
        <w:rPr>
          <w:rFonts w:ascii="Times New Roman" w:hAnsi="Times New Roman" w:cs="Times New Roman"/>
          <w:sz w:val="24"/>
          <w:szCs w:val="24"/>
          <w:lang w:val="en-US"/>
        </w:rPr>
      </w:pPr>
      <w:r>
        <w:rPr>
          <w:noProof/>
          <w:lang w:val="en-GB" w:eastAsia="zh-CN"/>
        </w:rPr>
        <w:lastRenderedPageBreak/>
        <w:drawing>
          <wp:inline distT="0" distB="0" distL="0" distR="0">
            <wp:extent cx="5734050" cy="2914650"/>
            <wp:effectExtent l="0" t="0" r="0" b="0"/>
            <wp:docPr id="6" name="Imagen 6" descr="Energí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nergía"/>
                    <pic:cNvPicPr>
                      <a:picLocks noChangeAspect="1" noChangeArrowheads="1"/>
                    </pic:cNvPicPr>
                  </pic:nvPicPr>
                  <pic:blipFill>
                    <a:blip r:embed="rId1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7867" cy="2916590"/>
                    </a:xfrm>
                    <a:prstGeom prst="rect">
                      <a:avLst/>
                    </a:prstGeom>
                    <a:noFill/>
                    <a:ln>
                      <a:noFill/>
                    </a:ln>
                  </pic:spPr>
                </pic:pic>
              </a:graphicData>
            </a:graphic>
          </wp:inline>
        </w:drawing>
      </w:r>
    </w:p>
    <w:p w:rsidR="00EF5FA4" w:rsidRPr="00B1588D" w:rsidRDefault="00EF5FA4" w:rsidP="00EF5FA4">
      <w:pPr>
        <w:spacing w:line="240" w:lineRule="auto"/>
        <w:jc w:val="both"/>
        <w:rPr>
          <w:rFonts w:ascii="Times New Roman" w:hAnsi="Times New Roman" w:cs="Times New Roman"/>
          <w:sz w:val="24"/>
          <w:szCs w:val="24"/>
        </w:rPr>
      </w:pPr>
      <w:r w:rsidRPr="00B1588D">
        <w:rPr>
          <w:rFonts w:ascii="Times New Roman" w:hAnsi="Times New Roman" w:cs="Times New Roman"/>
          <w:sz w:val="24"/>
          <w:szCs w:val="24"/>
        </w:rPr>
        <w:t xml:space="preserve">(Cinco Días - </w:t>
      </w:r>
      <w:r w:rsidRPr="00BC6A9D">
        <w:rPr>
          <w:rFonts w:ascii="Times New Roman" w:hAnsi="Times New Roman" w:cs="Times New Roman"/>
          <w:b/>
          <w:sz w:val="24"/>
          <w:szCs w:val="24"/>
        </w:rPr>
        <w:t>4/8/22</w:t>
      </w:r>
      <w:r w:rsidRPr="00B1588D">
        <w:rPr>
          <w:rFonts w:ascii="Times New Roman" w:hAnsi="Times New Roman" w:cs="Times New Roman"/>
          <w:sz w:val="24"/>
          <w:szCs w:val="24"/>
        </w:rPr>
        <w:t>)</w:t>
      </w:r>
    </w:p>
    <w:p w:rsidR="00EF5FA4" w:rsidRPr="00BC7127" w:rsidRDefault="00EF5FA4" w:rsidP="00EF5FA4">
      <w:pPr>
        <w:spacing w:line="240" w:lineRule="auto"/>
        <w:jc w:val="both"/>
        <w:rPr>
          <w:rFonts w:ascii="Times New Roman" w:hAnsi="Times New Roman" w:cs="Times New Roman"/>
          <w:sz w:val="24"/>
          <w:szCs w:val="24"/>
        </w:rPr>
      </w:pPr>
      <w:r w:rsidRPr="00660E3C">
        <w:rPr>
          <w:rFonts w:ascii="Times New Roman" w:hAnsi="Times New Roman" w:cs="Times New Roman"/>
          <w:color w:val="FF0000"/>
          <w:sz w:val="24"/>
          <w:szCs w:val="24"/>
          <w:u w:val="single"/>
        </w:rPr>
        <w:t>Los ingresos de los hogares europeos se diluyen con cada repunte de la inflación. Las familias sufrirán un aumento de alrededor del 7% en su coste de vida este año como consecuencia del coste de la energía y su traspaso a otros bienes y servicios. Así lo advierte el Fondo Monetario Internacional en un informe publicado la semana pasada</w:t>
      </w:r>
      <w:r w:rsidRPr="00BC7127">
        <w:rPr>
          <w:rFonts w:ascii="Times New Roman" w:hAnsi="Times New Roman" w:cs="Times New Roman"/>
          <w:sz w:val="24"/>
          <w:szCs w:val="24"/>
        </w:rPr>
        <w:t>. El documento corrobora que la dependencia europea del petróleo y gas natural ruso ha hecho que el continente sea especialmente vulnerable a los altos precios y a la escasez de combustible. De hecho, advierte de un escenario aún peor en caso de que Moscú decidiera cor</w:t>
      </w:r>
      <w:r>
        <w:rPr>
          <w:rFonts w:ascii="Times New Roman" w:hAnsi="Times New Roman" w:cs="Times New Roman"/>
          <w:sz w:val="24"/>
          <w:szCs w:val="24"/>
        </w:rPr>
        <w:t>tar por completo el suministro.</w:t>
      </w:r>
    </w:p>
    <w:p w:rsidR="00EF5FA4" w:rsidRPr="00BC6A9D" w:rsidRDefault="00EF5FA4" w:rsidP="00EF5FA4">
      <w:pPr>
        <w:spacing w:line="240" w:lineRule="auto"/>
        <w:jc w:val="both"/>
        <w:rPr>
          <w:rFonts w:ascii="Times New Roman" w:hAnsi="Times New Roman" w:cs="Times New Roman"/>
          <w:sz w:val="24"/>
          <w:szCs w:val="24"/>
        </w:rPr>
      </w:pPr>
      <w:r w:rsidRPr="00660E3C">
        <w:rPr>
          <w:rFonts w:ascii="Times New Roman" w:hAnsi="Times New Roman" w:cs="Times New Roman"/>
          <w:color w:val="FF0000"/>
          <w:sz w:val="24"/>
          <w:szCs w:val="24"/>
          <w:u w:val="single"/>
        </w:rPr>
        <w:t>Los alimentos son el segundo factor que golpea el bolsillo de los consumidores. Su repunte ha aportado casi un punto porcentual en la inflación general de la zona euro entre septiembre de 2021 y mayo de 2022, según el Banco de España (BdE).</w:t>
      </w:r>
      <w:r w:rsidRPr="00BC7127">
        <w:rPr>
          <w:rFonts w:ascii="Times New Roman" w:hAnsi="Times New Roman" w:cs="Times New Roman"/>
          <w:sz w:val="24"/>
          <w:szCs w:val="24"/>
        </w:rPr>
        <w:t xml:space="preserve"> Además, la escalada que arrastran desde el año pasado las materias primas alimenticias ha repercutido en lo que pagan los hogares por los productos. En consecuencia, el aceite en la Unión Europea es ahora un 34% más caro que hace un año y los cereales valen un 12% más</w:t>
      </w:r>
      <w:r>
        <w:rPr>
          <w:rFonts w:ascii="Times New Roman" w:hAnsi="Times New Roman" w:cs="Times New Roman"/>
          <w:sz w:val="24"/>
          <w:szCs w:val="24"/>
        </w:rPr>
        <w:t>…</w:t>
      </w:r>
    </w:p>
    <w:p w:rsidR="00EF5FA4" w:rsidRDefault="00EF5FA4" w:rsidP="00EF5FA4">
      <w:pPr>
        <w:pStyle w:val="NormalWeb"/>
        <w:spacing w:after="360"/>
        <w:jc w:val="both"/>
      </w:pPr>
      <w:r>
        <w:rPr>
          <w:noProof/>
          <w:lang w:val="en-GB" w:eastAsia="zh-CN"/>
        </w:rPr>
        <w:drawing>
          <wp:inline distT="0" distB="0" distL="0" distR="0">
            <wp:extent cx="5731709" cy="2571750"/>
            <wp:effectExtent l="0" t="0" r="2540" b="0"/>
            <wp:docPr id="87" name="Imagen 87" descr="Previsiones FM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revisiones FMI"/>
                    <pic:cNvPicPr>
                      <a:picLocks noChangeAspect="1" noChangeArrowheads="1"/>
                    </pic:cNvPicPr>
                  </pic:nvPicPr>
                  <pic:blipFill>
                    <a:blip r:embed="rId1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1709" cy="2571750"/>
                    </a:xfrm>
                    <a:prstGeom prst="rect">
                      <a:avLst/>
                    </a:prstGeom>
                    <a:noFill/>
                    <a:ln>
                      <a:noFill/>
                    </a:ln>
                  </pic:spPr>
                </pic:pic>
              </a:graphicData>
            </a:graphic>
          </wp:inline>
        </w:drawing>
      </w:r>
    </w:p>
    <w:p w:rsidR="00EF5FA4" w:rsidRDefault="00EF5FA4" w:rsidP="00EF5FA4">
      <w:pPr>
        <w:spacing w:line="240" w:lineRule="auto"/>
        <w:jc w:val="both"/>
        <w:rPr>
          <w:rFonts w:ascii="Times New Roman" w:hAnsi="Times New Roman" w:cs="Times New Roman"/>
          <w:sz w:val="24"/>
          <w:szCs w:val="24"/>
        </w:rPr>
      </w:pPr>
      <w:r>
        <w:rPr>
          <w:noProof/>
          <w:lang w:val="en-GB" w:eastAsia="zh-CN"/>
        </w:rPr>
        <w:lastRenderedPageBreak/>
        <w:drawing>
          <wp:inline distT="0" distB="0" distL="0" distR="0">
            <wp:extent cx="5729284" cy="8013700"/>
            <wp:effectExtent l="0" t="0" r="5080" b="6350"/>
            <wp:docPr id="2" name="Imagen 2" descr="Fuente. Adecc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Fuente. Adecco"/>
                    <pic:cNvPicPr>
                      <a:picLocks noChangeAspect="1" noChangeArrowheads="1"/>
                    </pic:cNvPicPr>
                  </pic:nvPicPr>
                  <pic:blipFill>
                    <a:blip r:embed="rId1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1510" cy="8016814"/>
                    </a:xfrm>
                    <a:prstGeom prst="rect">
                      <a:avLst/>
                    </a:prstGeom>
                    <a:noFill/>
                    <a:ln>
                      <a:noFill/>
                    </a:ln>
                  </pic:spPr>
                </pic:pic>
              </a:graphicData>
            </a:graphic>
          </wp:inline>
        </w:drawing>
      </w:r>
    </w:p>
    <w:p w:rsidR="00EF5FA4" w:rsidRPr="00D63CBA" w:rsidRDefault="00EF5FA4" w:rsidP="00EF5FA4">
      <w:pPr>
        <w:spacing w:line="240" w:lineRule="auto"/>
        <w:jc w:val="both"/>
        <w:rPr>
          <w:rFonts w:ascii="Times New Roman" w:hAnsi="Times New Roman" w:cs="Times New Roman"/>
          <w:b/>
          <w:sz w:val="24"/>
          <w:szCs w:val="24"/>
        </w:rPr>
      </w:pPr>
      <w:r w:rsidRPr="00D63CBA">
        <w:rPr>
          <w:rFonts w:ascii="Times New Roman" w:hAnsi="Times New Roman" w:cs="Times New Roman"/>
          <w:b/>
          <w:sz w:val="24"/>
          <w:szCs w:val="24"/>
        </w:rPr>
        <w:t>Nota: con</w:t>
      </w:r>
      <w:r>
        <w:rPr>
          <w:rFonts w:ascii="Times New Roman" w:hAnsi="Times New Roman" w:cs="Times New Roman"/>
          <w:b/>
          <w:sz w:val="24"/>
          <w:szCs w:val="24"/>
        </w:rPr>
        <w:t xml:space="preserve"> estos</w:t>
      </w:r>
      <w:r w:rsidRPr="00D63CBA">
        <w:rPr>
          <w:rFonts w:ascii="Times New Roman" w:hAnsi="Times New Roman" w:cs="Times New Roman"/>
          <w:b/>
          <w:sz w:val="24"/>
          <w:szCs w:val="24"/>
        </w:rPr>
        <w:t xml:space="preserve"> datos</w:t>
      </w:r>
      <w:r w:rsidR="00A54B52">
        <w:rPr>
          <w:rFonts w:ascii="Times New Roman" w:hAnsi="Times New Roman" w:cs="Times New Roman"/>
          <w:b/>
          <w:sz w:val="24"/>
          <w:szCs w:val="24"/>
        </w:rPr>
        <w:t>,</w:t>
      </w:r>
      <w:r w:rsidRPr="00D63CBA">
        <w:rPr>
          <w:rFonts w:ascii="Times New Roman" w:hAnsi="Times New Roman" w:cs="Times New Roman"/>
          <w:b/>
          <w:sz w:val="24"/>
          <w:szCs w:val="24"/>
        </w:rPr>
        <w:t xml:space="preserve"> recuperados de la “maldita” hemeroteca se puede componer un “Réquiem para una generación machacada</w:t>
      </w:r>
      <w:r w:rsidR="00A40EDF">
        <w:rPr>
          <w:rFonts w:ascii="Times New Roman" w:hAnsi="Times New Roman" w:cs="Times New Roman"/>
          <w:b/>
          <w:sz w:val="24"/>
          <w:szCs w:val="24"/>
        </w:rPr>
        <w:t>” (abducida por</w:t>
      </w:r>
      <w:r w:rsidRPr="00D63CBA">
        <w:rPr>
          <w:rFonts w:ascii="Times New Roman" w:hAnsi="Times New Roman" w:cs="Times New Roman"/>
          <w:b/>
          <w:sz w:val="24"/>
          <w:szCs w:val="24"/>
        </w:rPr>
        <w:t xml:space="preserve"> la</w:t>
      </w:r>
      <w:r w:rsidR="00A40EDF">
        <w:rPr>
          <w:rFonts w:ascii="Times New Roman" w:hAnsi="Times New Roman" w:cs="Times New Roman"/>
          <w:b/>
          <w:sz w:val="24"/>
          <w:szCs w:val="24"/>
        </w:rPr>
        <w:t>s</w:t>
      </w:r>
      <w:r w:rsidRPr="00D63CBA">
        <w:rPr>
          <w:rFonts w:ascii="Times New Roman" w:hAnsi="Times New Roman" w:cs="Times New Roman"/>
          <w:b/>
          <w:sz w:val="24"/>
          <w:szCs w:val="24"/>
        </w:rPr>
        <w:t xml:space="preserve"> redes s</w:t>
      </w:r>
      <w:r w:rsidR="00A54B52">
        <w:rPr>
          <w:rFonts w:ascii="Times New Roman" w:hAnsi="Times New Roman" w:cs="Times New Roman"/>
          <w:b/>
          <w:sz w:val="24"/>
          <w:szCs w:val="24"/>
        </w:rPr>
        <w:t>ociales, con la aviesa intención</w:t>
      </w:r>
      <w:r w:rsidRPr="00D63CBA">
        <w:rPr>
          <w:rFonts w:ascii="Times New Roman" w:hAnsi="Times New Roman" w:cs="Times New Roman"/>
          <w:b/>
          <w:sz w:val="24"/>
          <w:szCs w:val="24"/>
        </w:rPr>
        <w:t xml:space="preserve"> de transformar lo patético, en una comedia). </w:t>
      </w:r>
    </w:p>
    <w:p w:rsidR="00EF5FA4" w:rsidRPr="00FE4E7F" w:rsidRDefault="00EF5FA4" w:rsidP="00EF5FA4">
      <w:pPr>
        <w:spacing w:line="240" w:lineRule="auto"/>
        <w:jc w:val="both"/>
        <w:rPr>
          <w:rFonts w:ascii="Times New Roman" w:hAnsi="Times New Roman" w:cs="Times New Roman"/>
          <w:b/>
          <w:sz w:val="24"/>
          <w:szCs w:val="24"/>
        </w:rPr>
      </w:pPr>
      <w:r w:rsidRPr="00FE4E7F">
        <w:rPr>
          <w:rFonts w:ascii="Times New Roman" w:hAnsi="Times New Roman" w:cs="Times New Roman"/>
          <w:b/>
          <w:sz w:val="24"/>
          <w:szCs w:val="24"/>
        </w:rPr>
        <w:lastRenderedPageBreak/>
        <w:t xml:space="preserve">De aquellas lluvias, estos lodos </w:t>
      </w:r>
      <w:r>
        <w:rPr>
          <w:rFonts w:ascii="Times New Roman" w:hAnsi="Times New Roman" w:cs="Times New Roman"/>
          <w:b/>
          <w:sz w:val="24"/>
          <w:szCs w:val="24"/>
        </w:rPr>
        <w:t>(</w:t>
      </w:r>
      <w:r w:rsidRPr="00FE4E7F">
        <w:rPr>
          <w:rFonts w:ascii="Times New Roman" w:hAnsi="Times New Roman" w:cs="Times New Roman"/>
          <w:b/>
          <w:sz w:val="24"/>
          <w:szCs w:val="24"/>
        </w:rPr>
        <w:t>“la verdad de la milanesa”)</w:t>
      </w:r>
    </w:p>
    <w:p w:rsidR="00EF5FA4" w:rsidRDefault="00EF5FA4" w:rsidP="00EF5FA4">
      <w:pPr>
        <w:spacing w:line="240" w:lineRule="auto"/>
        <w:jc w:val="both"/>
        <w:rPr>
          <w:rFonts w:ascii="Times New Roman" w:hAnsi="Times New Roman" w:cs="Times New Roman"/>
          <w:b/>
          <w:color w:val="FF0000"/>
          <w:sz w:val="24"/>
          <w:szCs w:val="24"/>
        </w:rPr>
      </w:pPr>
      <w:r w:rsidRPr="00B514A0">
        <w:rPr>
          <w:rFonts w:ascii="Times New Roman" w:hAnsi="Times New Roman" w:cs="Times New Roman"/>
          <w:b/>
          <w:noProof/>
          <w:color w:val="FF0000"/>
          <w:sz w:val="24"/>
          <w:szCs w:val="24"/>
          <w:lang w:val="en-GB" w:eastAsia="zh-CN"/>
        </w:rPr>
        <w:drawing>
          <wp:inline distT="0" distB="0" distL="0" distR="0">
            <wp:extent cx="4825999" cy="4311650"/>
            <wp:effectExtent l="0" t="0" r="0" b="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4824763" cy="4310546"/>
                    </a:xfrm>
                    <a:prstGeom prst="rect">
                      <a:avLst/>
                    </a:prstGeom>
                  </pic:spPr>
                </pic:pic>
              </a:graphicData>
            </a:graphic>
          </wp:inline>
        </w:drawing>
      </w:r>
    </w:p>
    <w:p w:rsidR="00EF5FA4" w:rsidRDefault="00EF5FA4" w:rsidP="00EF5FA4">
      <w:pPr>
        <w:spacing w:line="240" w:lineRule="auto"/>
        <w:jc w:val="both"/>
        <w:rPr>
          <w:rFonts w:ascii="Times New Roman" w:hAnsi="Times New Roman" w:cs="Times New Roman"/>
          <w:sz w:val="24"/>
          <w:szCs w:val="24"/>
        </w:rPr>
      </w:pPr>
      <w:r w:rsidRPr="00B514A0">
        <w:rPr>
          <w:rFonts w:ascii="Times New Roman" w:hAnsi="Times New Roman" w:cs="Times New Roman"/>
          <w:sz w:val="24"/>
          <w:szCs w:val="24"/>
        </w:rPr>
        <w:t>En la mayoría de los países del norte y oeste de Europa, los jóvenes abandonan el hogar parental, de media, a principios o mediados de la veintena, mientras que en los países del sur y del este la edad media se corresponde con el final de la veintena o principios de la treintena. A la cabeza de la lista está Montenegro, donde los jóvenes se independizan a la edad de 33,3 años, mientras que en la parte inferior de la clasificación se sitúa Suecia (17,5 años).</w:t>
      </w:r>
    </w:p>
    <w:p w:rsidR="00EF5FA4" w:rsidRDefault="00EF5FA4" w:rsidP="00EF5FA4">
      <w:pPr>
        <w:spacing w:line="240" w:lineRule="auto"/>
        <w:jc w:val="both"/>
        <w:rPr>
          <w:rFonts w:ascii="Times New Roman" w:hAnsi="Times New Roman" w:cs="Times New Roman"/>
          <w:sz w:val="24"/>
          <w:szCs w:val="24"/>
        </w:rPr>
      </w:pPr>
      <w:r w:rsidRPr="00B514A0">
        <w:rPr>
          <w:rFonts w:ascii="Times New Roman" w:hAnsi="Times New Roman" w:cs="Times New Roman"/>
          <w:sz w:val="24"/>
          <w:szCs w:val="24"/>
        </w:rPr>
        <w:t>La juventud española es de las que más se lo piensa antes de abandonar el hogar familiar, tal y como revelan las cifras de Eurostat. En general, los jóvenes deciden abandonar la casa de sus padres pasados los 29 años, tres por encima de la media europea, que está en 26,4.</w:t>
      </w:r>
    </w:p>
    <w:p w:rsidR="00EF5FA4" w:rsidRDefault="00EF5FA4" w:rsidP="00EF5FA4">
      <w:pPr>
        <w:spacing w:line="240" w:lineRule="auto"/>
        <w:jc w:val="both"/>
        <w:rPr>
          <w:rFonts w:ascii="Times New Roman" w:hAnsi="Times New Roman" w:cs="Times New Roman"/>
          <w:sz w:val="24"/>
          <w:szCs w:val="24"/>
        </w:rPr>
      </w:pPr>
      <w:r w:rsidRPr="00B368F4">
        <w:rPr>
          <w:rFonts w:ascii="Times New Roman" w:hAnsi="Times New Roman" w:cs="Times New Roman"/>
          <w:sz w:val="24"/>
          <w:szCs w:val="24"/>
        </w:rPr>
        <w:t>La crisis</w:t>
      </w:r>
      <w:r>
        <w:rPr>
          <w:rFonts w:ascii="Times New Roman" w:hAnsi="Times New Roman" w:cs="Times New Roman"/>
          <w:sz w:val="24"/>
          <w:szCs w:val="24"/>
        </w:rPr>
        <w:t xml:space="preserve"> los</w:t>
      </w:r>
      <w:r w:rsidRPr="00B368F4">
        <w:rPr>
          <w:rFonts w:ascii="Times New Roman" w:hAnsi="Times New Roman" w:cs="Times New Roman"/>
          <w:sz w:val="24"/>
          <w:szCs w:val="24"/>
        </w:rPr>
        <w:t xml:space="preserve"> o</w:t>
      </w:r>
      <w:r>
        <w:rPr>
          <w:rFonts w:ascii="Times New Roman" w:hAnsi="Times New Roman" w:cs="Times New Roman"/>
          <w:sz w:val="24"/>
          <w:szCs w:val="24"/>
        </w:rPr>
        <w:t xml:space="preserve">bliga </w:t>
      </w:r>
      <w:r w:rsidRPr="00B368F4">
        <w:rPr>
          <w:rFonts w:ascii="Times New Roman" w:hAnsi="Times New Roman" w:cs="Times New Roman"/>
          <w:sz w:val="24"/>
          <w:szCs w:val="24"/>
        </w:rPr>
        <w:t xml:space="preserve">a retrasar todos sus </w:t>
      </w:r>
      <w:r>
        <w:rPr>
          <w:rFonts w:ascii="Times New Roman" w:hAnsi="Times New Roman" w:cs="Times New Roman"/>
          <w:sz w:val="24"/>
          <w:szCs w:val="24"/>
        </w:rPr>
        <w:t>planes, incluido el de formar una familia. L</w:t>
      </w:r>
      <w:r w:rsidRPr="00B368F4">
        <w:rPr>
          <w:rFonts w:ascii="Times New Roman" w:hAnsi="Times New Roman" w:cs="Times New Roman"/>
          <w:sz w:val="24"/>
          <w:szCs w:val="24"/>
        </w:rPr>
        <w:t>as pocas políticas que fomentan y ayudan a los jóvenes a ser padres, unido a la falta de estabilidad laboral y a la dificultad de conciliar la vida personal y profesional</w:t>
      </w:r>
      <w:r>
        <w:rPr>
          <w:rFonts w:ascii="Times New Roman" w:hAnsi="Times New Roman" w:cs="Times New Roman"/>
          <w:sz w:val="24"/>
          <w:szCs w:val="24"/>
        </w:rPr>
        <w:t xml:space="preserve">, hacen que tener hijos sea un lujo que no se pueden permitir… </w:t>
      </w:r>
      <w:r w:rsidRPr="00B368F4">
        <w:rPr>
          <w:rFonts w:ascii="Times New Roman" w:hAnsi="Times New Roman" w:cs="Times New Roman"/>
          <w:sz w:val="24"/>
          <w:szCs w:val="24"/>
        </w:rPr>
        <w:t>Los jóvenes que hoy se enfrentan al paro, la inseguridad vital y la aplastante sensación de que si traen hijos al mundo estos seguramente vivan pe</w:t>
      </w:r>
      <w:r>
        <w:rPr>
          <w:rFonts w:ascii="Times New Roman" w:hAnsi="Times New Roman" w:cs="Times New Roman"/>
          <w:sz w:val="24"/>
          <w:szCs w:val="24"/>
        </w:rPr>
        <w:t xml:space="preserve">or que ellos. </w:t>
      </w:r>
      <w:r w:rsidRPr="00295EA4">
        <w:rPr>
          <w:rFonts w:ascii="Times New Roman" w:hAnsi="Times New Roman" w:cs="Times New Roman"/>
          <w:sz w:val="24"/>
          <w:szCs w:val="24"/>
        </w:rPr>
        <w:t>Entre duelos y quebrantos, mientras pedalean para Glovo, Deliveroo, o Uber Eats, los jóvenes europeos esperan el milagro de un empleo estable y rentable.</w:t>
      </w:r>
    </w:p>
    <w:p w:rsidR="00EF5FA4" w:rsidRDefault="00EF5FA4" w:rsidP="00EF5FA4">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Temas de </w:t>
      </w:r>
      <w:r w:rsidRPr="00295EA4">
        <w:rPr>
          <w:rFonts w:ascii="Times New Roman" w:hAnsi="Times New Roman" w:cs="Times New Roman"/>
          <w:b/>
          <w:sz w:val="24"/>
          <w:szCs w:val="24"/>
        </w:rPr>
        <w:t>debate: ¿Puede existir algún fracaso generacional mayor que unos jóvenes condenados a ser más pobres que sus padres? ¿Puede haber una mayor pérdida de capital social que el deseo insatisfecho de formar una familia? ¿Se podrá rescatar del abismo a la juventud europea?</w:t>
      </w:r>
      <w:r>
        <w:rPr>
          <w:rFonts w:ascii="Times New Roman" w:hAnsi="Times New Roman" w:cs="Times New Roman"/>
          <w:b/>
          <w:sz w:val="24"/>
          <w:szCs w:val="24"/>
        </w:rPr>
        <w:t xml:space="preserve"> ¿Habrá algo que ofrecerle más allá de drogas, alcohol, sexo</w:t>
      </w:r>
      <w:r w:rsidR="00A54B52">
        <w:rPr>
          <w:rFonts w:ascii="Times New Roman" w:hAnsi="Times New Roman" w:cs="Times New Roman"/>
          <w:b/>
          <w:sz w:val="24"/>
          <w:szCs w:val="24"/>
        </w:rPr>
        <w:t>,</w:t>
      </w:r>
      <w:r w:rsidR="00A40EDF">
        <w:rPr>
          <w:rFonts w:ascii="Times New Roman" w:hAnsi="Times New Roman" w:cs="Times New Roman"/>
          <w:b/>
          <w:sz w:val="24"/>
          <w:szCs w:val="24"/>
        </w:rPr>
        <w:t xml:space="preserve"> y redes sociales? ¿Cuánto pueden</w:t>
      </w:r>
      <w:r>
        <w:rPr>
          <w:rFonts w:ascii="Times New Roman" w:hAnsi="Times New Roman" w:cs="Times New Roman"/>
          <w:b/>
          <w:sz w:val="24"/>
          <w:szCs w:val="24"/>
        </w:rPr>
        <w:t xml:space="preserve"> tardar en “despertar”, e iniciar una “rebelión”?</w:t>
      </w:r>
    </w:p>
    <w:p w:rsidR="00EF5FA4" w:rsidRDefault="00EF5FA4" w:rsidP="00EF5FA4">
      <w:pPr>
        <w:rPr>
          <w:rFonts w:ascii="Times New Roman" w:hAnsi="Times New Roman" w:cs="Times New Roman"/>
          <w:b/>
          <w:sz w:val="24"/>
          <w:szCs w:val="24"/>
        </w:rPr>
      </w:pPr>
      <w:r w:rsidRPr="007064C4">
        <w:rPr>
          <w:rFonts w:ascii="Times New Roman" w:hAnsi="Times New Roman" w:cs="Times New Roman"/>
          <w:b/>
          <w:sz w:val="24"/>
          <w:szCs w:val="24"/>
        </w:rPr>
        <w:lastRenderedPageBreak/>
        <w:t>- Acelerado</w:t>
      </w:r>
      <w:r>
        <w:rPr>
          <w:rFonts w:ascii="Times New Roman" w:hAnsi="Times New Roman" w:cs="Times New Roman"/>
          <w:b/>
          <w:sz w:val="24"/>
          <w:szCs w:val="24"/>
        </w:rPr>
        <w:t>,</w:t>
      </w:r>
      <w:r w:rsidRPr="007064C4">
        <w:rPr>
          <w:rFonts w:ascii="Times New Roman" w:hAnsi="Times New Roman" w:cs="Times New Roman"/>
          <w:b/>
          <w:sz w:val="24"/>
          <w:szCs w:val="24"/>
        </w:rPr>
        <w:t xml:space="preserve"> y ruinoso</w:t>
      </w:r>
      <w:r>
        <w:rPr>
          <w:rFonts w:ascii="Times New Roman" w:hAnsi="Times New Roman" w:cs="Times New Roman"/>
          <w:b/>
          <w:sz w:val="24"/>
          <w:szCs w:val="24"/>
        </w:rPr>
        <w:t>,</w:t>
      </w:r>
      <w:r w:rsidRPr="007064C4">
        <w:rPr>
          <w:rFonts w:ascii="Times New Roman" w:hAnsi="Times New Roman" w:cs="Times New Roman"/>
          <w:b/>
          <w:sz w:val="24"/>
          <w:szCs w:val="24"/>
        </w:rPr>
        <w:t xml:space="preserve"> proceso de descapitalización humana (“¡Todo es igual! ¡Nada es mejor¡ Lo mismo un burro que un gran profesor”)</w:t>
      </w:r>
    </w:p>
    <w:p w:rsidR="00EF5FA4" w:rsidRPr="007064C4" w:rsidRDefault="00EF5FA4" w:rsidP="00EF5FA4">
      <w:pPr>
        <w:rPr>
          <w:rFonts w:ascii="Times New Roman" w:hAnsi="Times New Roman" w:cs="Times New Roman"/>
          <w:b/>
          <w:sz w:val="24"/>
          <w:szCs w:val="24"/>
        </w:rPr>
      </w:pPr>
      <w:r>
        <w:rPr>
          <w:noProof/>
          <w:lang w:val="en-GB" w:eastAsia="zh-CN"/>
        </w:rPr>
        <w:drawing>
          <wp:inline distT="0" distB="0" distL="0" distR="0">
            <wp:extent cx="5727656" cy="2895600"/>
            <wp:effectExtent l="0" t="0" r="6985" b="0"/>
            <wp:docPr id="114" name="Imagen 114" descr="Varios ciclistas de Deliveroo y Uber, en Burdeos, durante una concentración./AF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Varios ciclistas de Deliveroo y Uber, en Burdeos, durante una concentración./AFP"/>
                    <pic:cNvPicPr>
                      <a:picLocks noChangeAspect="1" noChangeArrowheads="1"/>
                    </pic:cNvPicPr>
                  </pic:nvPicPr>
                  <pic:blipFill>
                    <a:blip r:embed="rId1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1510" cy="2897548"/>
                    </a:xfrm>
                    <a:prstGeom prst="rect">
                      <a:avLst/>
                    </a:prstGeom>
                    <a:noFill/>
                    <a:ln>
                      <a:noFill/>
                    </a:ln>
                  </pic:spPr>
                </pic:pic>
              </a:graphicData>
            </a:graphic>
          </wp:inline>
        </w:drawing>
      </w:r>
    </w:p>
    <w:p w:rsidR="00EF5FA4" w:rsidRDefault="00EF5FA4" w:rsidP="00EF5FA4">
      <w:pPr>
        <w:spacing w:line="240" w:lineRule="auto"/>
        <w:jc w:val="both"/>
        <w:rPr>
          <w:rFonts w:ascii="Times New Roman" w:hAnsi="Times New Roman" w:cs="Times New Roman"/>
          <w:b/>
          <w:sz w:val="24"/>
          <w:szCs w:val="24"/>
        </w:rPr>
      </w:pPr>
      <w:r w:rsidRPr="0077639E">
        <w:rPr>
          <w:rFonts w:ascii="Times New Roman" w:hAnsi="Times New Roman" w:cs="Times New Roman"/>
          <w:b/>
          <w:sz w:val="24"/>
          <w:szCs w:val="24"/>
        </w:rPr>
        <w:t>Entre riesgos y certezas</w:t>
      </w:r>
      <w:r>
        <w:rPr>
          <w:rFonts w:ascii="Times New Roman" w:hAnsi="Times New Roman" w:cs="Times New Roman"/>
          <w:b/>
          <w:sz w:val="24"/>
          <w:szCs w:val="24"/>
        </w:rPr>
        <w:t xml:space="preserve"> (“</w:t>
      </w:r>
      <w:r w:rsidRPr="00731190">
        <w:rPr>
          <w:rFonts w:ascii="Times New Roman" w:hAnsi="Times New Roman" w:cs="Times New Roman"/>
          <w:b/>
          <w:sz w:val="24"/>
          <w:szCs w:val="24"/>
        </w:rPr>
        <w:t>La reali</w:t>
      </w:r>
      <w:r>
        <w:rPr>
          <w:rFonts w:ascii="Times New Roman" w:hAnsi="Times New Roman" w:cs="Times New Roman"/>
          <w:b/>
          <w:sz w:val="24"/>
          <w:szCs w:val="24"/>
        </w:rPr>
        <w:t>dad es difícil, pesada y vulgar”, recordaba Pla)</w:t>
      </w:r>
    </w:p>
    <w:p w:rsidR="00EF5FA4" w:rsidRPr="0077639E" w:rsidRDefault="00EF5FA4" w:rsidP="00EF5FA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77639E">
        <w:rPr>
          <w:rFonts w:ascii="Times New Roman" w:hAnsi="Times New Roman" w:cs="Times New Roman"/>
          <w:sz w:val="24"/>
          <w:szCs w:val="24"/>
          <w:u w:val="single"/>
        </w:rPr>
        <w:t>Un país sin jóvenes emancipados está condenado a la irrelevancia</w:t>
      </w:r>
      <w:r>
        <w:rPr>
          <w:rFonts w:ascii="Times New Roman" w:hAnsi="Times New Roman" w:cs="Times New Roman"/>
          <w:sz w:val="24"/>
          <w:szCs w:val="24"/>
        </w:rPr>
        <w:t xml:space="preserve"> (Cinco Días - </w:t>
      </w:r>
      <w:r w:rsidRPr="0077639E">
        <w:rPr>
          <w:rFonts w:ascii="Times New Roman" w:hAnsi="Times New Roman" w:cs="Times New Roman"/>
          <w:b/>
          <w:sz w:val="24"/>
          <w:szCs w:val="24"/>
        </w:rPr>
        <w:t>12/8/22</w:t>
      </w:r>
      <w:r>
        <w:rPr>
          <w:rFonts w:ascii="Times New Roman" w:hAnsi="Times New Roman" w:cs="Times New Roman"/>
          <w:sz w:val="24"/>
          <w:szCs w:val="24"/>
        </w:rPr>
        <w:t>)</w:t>
      </w:r>
    </w:p>
    <w:p w:rsidR="00EF5FA4" w:rsidRPr="0077639E" w:rsidRDefault="00EF5FA4" w:rsidP="00EF5FA4">
      <w:pPr>
        <w:spacing w:line="240" w:lineRule="auto"/>
        <w:jc w:val="both"/>
        <w:rPr>
          <w:rFonts w:ascii="Times New Roman" w:hAnsi="Times New Roman" w:cs="Times New Roman"/>
          <w:sz w:val="24"/>
          <w:szCs w:val="24"/>
        </w:rPr>
      </w:pPr>
      <w:r w:rsidRPr="0077639E">
        <w:rPr>
          <w:rFonts w:ascii="Times New Roman" w:hAnsi="Times New Roman" w:cs="Times New Roman"/>
          <w:sz w:val="24"/>
          <w:szCs w:val="24"/>
        </w:rPr>
        <w:t>La dinámica de ayudas como el ingreso mínimo vital no puede resolver este grave problema, que los jóvenes también deben atacar</w:t>
      </w:r>
    </w:p>
    <w:p w:rsidR="00EF5FA4" w:rsidRPr="0077639E" w:rsidRDefault="00EF5FA4" w:rsidP="00EF5FA4">
      <w:pPr>
        <w:spacing w:line="240" w:lineRule="auto"/>
        <w:jc w:val="both"/>
        <w:rPr>
          <w:rFonts w:ascii="Times New Roman" w:hAnsi="Times New Roman" w:cs="Times New Roman"/>
          <w:sz w:val="24"/>
          <w:szCs w:val="24"/>
        </w:rPr>
      </w:pPr>
      <w:r w:rsidRPr="00340437">
        <w:rPr>
          <w:rFonts w:ascii="Times New Roman" w:hAnsi="Times New Roman" w:cs="Times New Roman"/>
          <w:b/>
          <w:color w:val="FF0000"/>
          <w:sz w:val="24"/>
          <w:szCs w:val="24"/>
          <w:u w:val="single"/>
        </w:rPr>
        <w:t>Un país en el que los jóvenes en edad de trabajar se quedan a vivir en casa de sus padres, aunque estén empleados, porque no se pueden emancipar, está condenado al fracaso. Si además están desempleados, la situación empeora.</w:t>
      </w:r>
      <w:r w:rsidRPr="0077639E">
        <w:rPr>
          <w:rFonts w:ascii="Times New Roman" w:hAnsi="Times New Roman" w:cs="Times New Roman"/>
          <w:sz w:val="24"/>
          <w:szCs w:val="24"/>
        </w:rPr>
        <w:t xml:space="preserve"> La fotografía que hace el Observatorio de Emancipación, elaborado por el Consejo de la Juventud de España, se aproxima preocupantemente a este panorama: </w:t>
      </w:r>
      <w:r w:rsidRPr="00340437">
        <w:rPr>
          <w:rFonts w:ascii="Times New Roman" w:hAnsi="Times New Roman" w:cs="Times New Roman"/>
          <w:color w:val="FF0000"/>
          <w:sz w:val="24"/>
          <w:szCs w:val="24"/>
          <w:u w:val="single"/>
        </w:rPr>
        <w:t>solo un 15,6% de los jóvenes españoles de entre 16 y 29 años vivían emancipados en el segundo semestre de 2021, tres puntos menos que antes de la pandemia.</w:t>
      </w:r>
      <w:r w:rsidRPr="0077639E">
        <w:rPr>
          <w:rFonts w:ascii="Times New Roman" w:hAnsi="Times New Roman" w:cs="Times New Roman"/>
          <w:sz w:val="24"/>
          <w:szCs w:val="24"/>
        </w:rPr>
        <w:t xml:space="preserve">Es posible achacar esa caída a la lenta recuperación por el largo periodo de inacción de actividad causado por el Covid, que hizo a muchos jóvenes retornar al hogar familiar, pero sería un error. El mismo que hablar de recuperación por el hecho de que el dato sea un 0,7% superior al del primer semestre y el primer repunte en 15 años. En este caso, porque en ese primer semestre del año pasado del que parte la supuesta recuperación, la emancipación de los jóvenes españoles estaba en mínimos: la cifra más baja del siglo. Y, en cuando a la pandemia como causa, baste decir que el actual porcentaje es aún diez puntos inferior al previo a la anterior </w:t>
      </w:r>
      <w:r>
        <w:rPr>
          <w:rFonts w:ascii="Times New Roman" w:hAnsi="Times New Roman" w:cs="Times New Roman"/>
          <w:sz w:val="24"/>
          <w:szCs w:val="24"/>
        </w:rPr>
        <w:t>crisis económica (26% en 2008).</w:t>
      </w:r>
    </w:p>
    <w:p w:rsidR="00EF5FA4" w:rsidRPr="00340437" w:rsidRDefault="00EF5FA4" w:rsidP="00EF5FA4">
      <w:pPr>
        <w:spacing w:line="240" w:lineRule="auto"/>
        <w:jc w:val="both"/>
        <w:rPr>
          <w:rFonts w:ascii="Times New Roman" w:hAnsi="Times New Roman" w:cs="Times New Roman"/>
          <w:color w:val="FF0000"/>
          <w:sz w:val="24"/>
          <w:szCs w:val="24"/>
          <w:u w:val="single"/>
        </w:rPr>
      </w:pPr>
      <w:r w:rsidRPr="00340437">
        <w:rPr>
          <w:rFonts w:ascii="Times New Roman" w:hAnsi="Times New Roman" w:cs="Times New Roman"/>
          <w:color w:val="FF0000"/>
          <w:sz w:val="24"/>
          <w:szCs w:val="24"/>
          <w:u w:val="single"/>
        </w:rPr>
        <w:t>La lógica recuperación del empleo destruido o aplazado durante lo más crudo de la pandemia tampoco ha servido para incentivar a los jóvenes para que se emancipen. A pesar de la reforma laboral del Gobierno, la tasa de temporalidad y el empleo parcial no deseado, unido a los bajos salarios, pesan en las perspectivas de futuro de los jóvenes en forma de una precariedad que desanima la iniciativa de irse del nido familiar. Y lo hace tanto como el difícil acceso a la vivienda, los dos lastres que más hunden la emancipación.</w:t>
      </w:r>
    </w:p>
    <w:p w:rsidR="00EF5FA4" w:rsidRPr="00340437" w:rsidRDefault="00EF5FA4" w:rsidP="00EF5FA4">
      <w:pPr>
        <w:spacing w:line="240" w:lineRule="auto"/>
        <w:jc w:val="both"/>
        <w:rPr>
          <w:rFonts w:ascii="Times New Roman" w:hAnsi="Times New Roman" w:cs="Times New Roman"/>
          <w:color w:val="FF0000"/>
          <w:sz w:val="24"/>
          <w:szCs w:val="24"/>
          <w:u w:val="single"/>
        </w:rPr>
      </w:pPr>
      <w:r w:rsidRPr="00340437">
        <w:rPr>
          <w:rFonts w:ascii="Times New Roman" w:hAnsi="Times New Roman" w:cs="Times New Roman"/>
          <w:color w:val="FF0000"/>
          <w:sz w:val="24"/>
          <w:szCs w:val="24"/>
          <w:u w:val="single"/>
        </w:rPr>
        <w:t xml:space="preserve">Según el propio Observatorio, la vivienda en propiedad es inalcanzable para la gran mayoría de los jóvenes, y de ahí que predomine el alquiler. Pero el alquiler compartido. Una persona </w:t>
      </w:r>
      <w:r w:rsidRPr="00340437">
        <w:rPr>
          <w:rFonts w:ascii="Times New Roman" w:hAnsi="Times New Roman" w:cs="Times New Roman"/>
          <w:color w:val="FF0000"/>
          <w:sz w:val="24"/>
          <w:szCs w:val="24"/>
          <w:u w:val="single"/>
        </w:rPr>
        <w:lastRenderedPageBreak/>
        <w:t>joven dedicaría casi el 80% del sueldo a la renta si alquila un piso; por eso se ve obligada a compartir la vivienda. El resultado es que una de cada tres personas jóvenes emancipadas comparte piso, una forma incompleta de emancipación.</w:t>
      </w:r>
    </w:p>
    <w:p w:rsidR="00EF5FA4" w:rsidRPr="00340437" w:rsidRDefault="00EF5FA4" w:rsidP="00EF5FA4">
      <w:pPr>
        <w:spacing w:line="240" w:lineRule="auto"/>
        <w:jc w:val="both"/>
        <w:rPr>
          <w:rFonts w:ascii="Times New Roman" w:hAnsi="Times New Roman" w:cs="Times New Roman"/>
          <w:b/>
          <w:color w:val="FF0000"/>
          <w:sz w:val="24"/>
          <w:szCs w:val="24"/>
          <w:u w:val="single"/>
        </w:rPr>
      </w:pPr>
      <w:r w:rsidRPr="0077639E">
        <w:rPr>
          <w:rFonts w:ascii="Times New Roman" w:hAnsi="Times New Roman" w:cs="Times New Roman"/>
          <w:sz w:val="24"/>
          <w:szCs w:val="24"/>
        </w:rPr>
        <w:t xml:space="preserve">No faltan llamadas a un pacto de Estado para impulsar políticas que faciliten a los jóvenes abrir las alas y volar. Bienvenido sea si es consensuado y eficaz. Lo que resulta iluso es creer que la dinámica de ayudas como el ingreso mínimo vital puede resolver este grave problema que los jóvenes también deben atacar. Por ejemplo, perdiendo el miedo a hacer las maletas, aunque sea para ir a trabajar a la provincia de al lado. </w:t>
      </w:r>
      <w:r w:rsidRPr="00340437">
        <w:rPr>
          <w:rFonts w:ascii="Times New Roman" w:hAnsi="Times New Roman" w:cs="Times New Roman"/>
          <w:b/>
          <w:color w:val="FF0000"/>
          <w:sz w:val="24"/>
          <w:szCs w:val="24"/>
          <w:u w:val="single"/>
        </w:rPr>
        <w:t>Si no toman el relevo, crean nuevos hogares y dan impulso a la rueda de la vida, el país estará condenado a la irrelevancia.</w:t>
      </w:r>
    </w:p>
    <w:p w:rsidR="00EF5FA4" w:rsidRDefault="00EF5FA4" w:rsidP="00EF5FA4">
      <w:pPr>
        <w:spacing w:line="240" w:lineRule="auto"/>
        <w:jc w:val="both"/>
        <w:rPr>
          <w:rFonts w:ascii="Times New Roman" w:hAnsi="Times New Roman" w:cs="Times New Roman"/>
          <w:b/>
          <w:sz w:val="24"/>
          <w:szCs w:val="24"/>
        </w:rPr>
      </w:pPr>
      <w:r w:rsidRPr="00191CC0">
        <w:rPr>
          <w:rFonts w:ascii="Times New Roman" w:hAnsi="Times New Roman" w:cs="Times New Roman"/>
          <w:b/>
          <w:sz w:val="24"/>
          <w:szCs w:val="24"/>
        </w:rPr>
        <w:t>Diccionario</w:t>
      </w:r>
      <w:r>
        <w:rPr>
          <w:rFonts w:ascii="Times New Roman" w:hAnsi="Times New Roman" w:cs="Times New Roman"/>
          <w:b/>
          <w:sz w:val="24"/>
          <w:szCs w:val="24"/>
        </w:rPr>
        <w:t xml:space="preserve"> generacional (un “Google Maps” sociológico</w:t>
      </w:r>
      <w:r w:rsidR="00A40EDF">
        <w:rPr>
          <w:rFonts w:ascii="Times New Roman" w:hAnsi="Times New Roman" w:cs="Times New Roman"/>
          <w:b/>
          <w:sz w:val="24"/>
          <w:szCs w:val="24"/>
        </w:rPr>
        <w:t>, en la era de las “taxonomías”</w:t>
      </w:r>
      <w:r>
        <w:rPr>
          <w:rFonts w:ascii="Times New Roman" w:hAnsi="Times New Roman" w:cs="Times New Roman"/>
          <w:b/>
          <w:sz w:val="24"/>
          <w:szCs w:val="24"/>
        </w:rPr>
        <w:t>)</w:t>
      </w:r>
    </w:p>
    <w:p w:rsidR="00EF5FA4" w:rsidRDefault="00EF5FA4" w:rsidP="00EF5FA4">
      <w:pPr>
        <w:spacing w:line="240" w:lineRule="auto"/>
        <w:jc w:val="both"/>
        <w:rPr>
          <w:rFonts w:ascii="Times New Roman" w:hAnsi="Times New Roman" w:cs="Times New Roman"/>
          <w:b/>
          <w:sz w:val="24"/>
          <w:szCs w:val="24"/>
        </w:rPr>
      </w:pPr>
      <w:r>
        <w:rPr>
          <w:noProof/>
          <w:lang w:val="en-GB" w:eastAsia="zh-CN"/>
        </w:rPr>
        <w:drawing>
          <wp:inline distT="0" distB="0" distL="0" distR="0">
            <wp:extent cx="4273550" cy="3752850"/>
            <wp:effectExtent l="0" t="0" r="0" b="0"/>
            <wp:docPr id="123" name="Imagen 123" descr="Vertic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Vertical"/>
                    <pic:cNvPicPr>
                      <a:picLocks noChangeAspect="1" noChangeArrowheads="1"/>
                    </pic:cNvPicPr>
                  </pic:nvPicPr>
                  <pic:blipFill>
                    <a:blip r:embed="rId1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273550" cy="3752850"/>
                    </a:xfrm>
                    <a:prstGeom prst="rect">
                      <a:avLst/>
                    </a:prstGeom>
                    <a:noFill/>
                    <a:ln>
                      <a:noFill/>
                    </a:ln>
                  </pic:spPr>
                </pic:pic>
              </a:graphicData>
            </a:graphic>
          </wp:inline>
        </w:drawing>
      </w:r>
    </w:p>
    <w:p w:rsidR="00EF5FA4" w:rsidRPr="00E5023E" w:rsidRDefault="00EF5FA4" w:rsidP="00EF5FA4">
      <w:pPr>
        <w:spacing w:line="240" w:lineRule="auto"/>
        <w:jc w:val="both"/>
        <w:rPr>
          <w:rFonts w:ascii="Times New Roman" w:hAnsi="Times New Roman" w:cs="Times New Roman"/>
          <w:sz w:val="24"/>
          <w:szCs w:val="24"/>
          <w:u w:val="single"/>
        </w:rPr>
      </w:pPr>
      <w:r w:rsidRPr="00E5023E">
        <w:rPr>
          <w:rFonts w:ascii="Times New Roman" w:hAnsi="Times New Roman" w:cs="Times New Roman"/>
          <w:sz w:val="24"/>
          <w:szCs w:val="24"/>
          <w:u w:val="single"/>
        </w:rPr>
        <w:t>Boomers</w:t>
      </w:r>
    </w:p>
    <w:p w:rsidR="00EF5FA4" w:rsidRPr="00E5023E" w:rsidRDefault="00EF5FA4" w:rsidP="00EF5FA4">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E5023E">
        <w:rPr>
          <w:rFonts w:ascii="Times New Roman" w:hAnsi="Times New Roman" w:cs="Times New Roman"/>
          <w:sz w:val="24"/>
          <w:szCs w:val="24"/>
        </w:rPr>
        <w:t>Baby b</w:t>
      </w:r>
      <w:r>
        <w:rPr>
          <w:rFonts w:ascii="Times New Roman" w:hAnsi="Times New Roman" w:cs="Times New Roman"/>
          <w:sz w:val="24"/>
          <w:szCs w:val="24"/>
        </w:rPr>
        <w:t>oomers”</w:t>
      </w:r>
      <w:r w:rsidRPr="00E5023E">
        <w:rPr>
          <w:rFonts w:ascii="Times New Roman" w:hAnsi="Times New Roman" w:cs="Times New Roman"/>
          <w:sz w:val="24"/>
          <w:szCs w:val="24"/>
        </w:rPr>
        <w:t xml:space="preserve"> (1946-1964): el fin de la II Guerra Mundial y la explosión demográfica que hubo en muchos países dio lugar al nombre de esta generación, nacida en tiempos de paz y bonanza econ</w:t>
      </w:r>
      <w:r>
        <w:rPr>
          <w:rFonts w:ascii="Times New Roman" w:hAnsi="Times New Roman" w:cs="Times New Roman"/>
          <w:sz w:val="24"/>
          <w:szCs w:val="24"/>
        </w:rPr>
        <w:t>ómica. También se les denomina “boomers”</w:t>
      </w:r>
      <w:r w:rsidRPr="00E5023E">
        <w:rPr>
          <w:rFonts w:ascii="Times New Roman" w:hAnsi="Times New Roman" w:cs="Times New Roman"/>
          <w:sz w:val="24"/>
          <w:szCs w:val="24"/>
        </w:rPr>
        <w:t>. Esta generación ha tenido que adaptarse a las nuevas tecnologías y por esa razón son considerados como inmigrantes digitales. Tienen impregnada la cultura del esfuerzo y el sacrificio, poseen gran experiencia, se dice que son fieles y están acostumbrados a trabajar muchos años en la misma empresa, comprometidos y muy bue</w:t>
      </w:r>
      <w:r>
        <w:rPr>
          <w:rFonts w:ascii="Times New Roman" w:hAnsi="Times New Roman" w:cs="Times New Roman"/>
          <w:sz w:val="24"/>
          <w:szCs w:val="24"/>
        </w:rPr>
        <w:t>nos a la hora de crear equipos.</w:t>
      </w:r>
    </w:p>
    <w:p w:rsidR="00EF5FA4" w:rsidRDefault="00EF5FA4" w:rsidP="00EF5FA4">
      <w:pPr>
        <w:spacing w:line="240" w:lineRule="auto"/>
        <w:jc w:val="both"/>
        <w:rPr>
          <w:rFonts w:ascii="Times New Roman" w:hAnsi="Times New Roman" w:cs="Times New Roman"/>
          <w:sz w:val="24"/>
          <w:szCs w:val="24"/>
          <w:u w:val="single"/>
        </w:rPr>
      </w:pPr>
      <w:r w:rsidRPr="00191CC0">
        <w:rPr>
          <w:rFonts w:ascii="Times New Roman" w:hAnsi="Times New Roman" w:cs="Times New Roman"/>
          <w:sz w:val="24"/>
          <w:szCs w:val="24"/>
          <w:u w:val="single"/>
        </w:rPr>
        <w:t>Gen X</w:t>
      </w:r>
    </w:p>
    <w:p w:rsidR="00EF5FA4" w:rsidRPr="00E5023E" w:rsidRDefault="00EF5FA4" w:rsidP="00EF5FA4">
      <w:pPr>
        <w:spacing w:line="240" w:lineRule="auto"/>
        <w:jc w:val="both"/>
        <w:rPr>
          <w:rFonts w:ascii="Times New Roman" w:hAnsi="Times New Roman" w:cs="Times New Roman"/>
          <w:sz w:val="24"/>
          <w:szCs w:val="24"/>
        </w:rPr>
      </w:pPr>
      <w:r w:rsidRPr="00E5023E">
        <w:rPr>
          <w:rFonts w:ascii="Times New Roman" w:hAnsi="Times New Roman" w:cs="Times New Roman"/>
          <w:sz w:val="24"/>
          <w:szCs w:val="24"/>
        </w:rPr>
        <w:t xml:space="preserve">Generación X (1965-1980): o la juventud de los años 80, es considerada como una generación puente y durante los años que comprende esta etapa el capitalismo se arraigó con fuerza y experimentó un gran auge el consumismo, por eso se dice de ellos que son ambiciosos. A las personas de esta época tampoco se les puede considerar como nativos digitales porque la tecnología por aquellos años era limitada y se han adaptado con gran </w:t>
      </w:r>
      <w:r w:rsidRPr="00E5023E">
        <w:rPr>
          <w:rFonts w:ascii="Times New Roman" w:hAnsi="Times New Roman" w:cs="Times New Roman"/>
          <w:sz w:val="24"/>
          <w:szCs w:val="24"/>
        </w:rPr>
        <w:lastRenderedPageBreak/>
        <w:t>facilidad a la llegada de internet a sus vidas y al desarrollo tecnológico posterior. El trabajo en equipo y el fomento de relaciones laborales de confianza también son algunas de sus señas de identidad.</w:t>
      </w:r>
    </w:p>
    <w:p w:rsidR="00EF5FA4" w:rsidRDefault="00EF5FA4" w:rsidP="00EF5FA4">
      <w:pPr>
        <w:spacing w:line="240" w:lineRule="auto"/>
        <w:jc w:val="both"/>
        <w:rPr>
          <w:rFonts w:ascii="Times New Roman" w:hAnsi="Times New Roman" w:cs="Times New Roman"/>
          <w:sz w:val="24"/>
          <w:szCs w:val="24"/>
        </w:rPr>
      </w:pPr>
      <w:r w:rsidRPr="0068342C">
        <w:rPr>
          <w:rFonts w:ascii="Times New Roman" w:hAnsi="Times New Roman" w:cs="Times New Roman"/>
          <w:sz w:val="24"/>
          <w:szCs w:val="24"/>
        </w:rPr>
        <w:t>La generación X (o gen X para abreviar) es la cohorte demográfica que sigue a los baby boome</w:t>
      </w:r>
      <w:r>
        <w:rPr>
          <w:rFonts w:ascii="Times New Roman" w:hAnsi="Times New Roman" w:cs="Times New Roman"/>
          <w:sz w:val="24"/>
          <w:szCs w:val="24"/>
        </w:rPr>
        <w:t>rs y que precede a los millennials</w:t>
      </w:r>
      <w:r w:rsidRPr="0068342C">
        <w:rPr>
          <w:rFonts w:ascii="Times New Roman" w:hAnsi="Times New Roman" w:cs="Times New Roman"/>
          <w:sz w:val="24"/>
          <w:szCs w:val="24"/>
        </w:rPr>
        <w:t>. Los investigadores y los medios de comunicación suelen utilizar los años de nacimiento entre 1965 y 1981 para definir esta generación, aunque algunas fuentes utilizan años de nacimiento que comienzan ya en 1960 y terminan en algún momento entre 1977 y 1985. Algunos consideran que la generación Jones (1954-1965) forma parte de la generación X.1​ La mayoría de los miembros de la generación X son hijos de la generación silenciosa</w:t>
      </w:r>
      <w:r>
        <w:rPr>
          <w:rFonts w:ascii="Times New Roman" w:hAnsi="Times New Roman" w:cs="Times New Roman"/>
          <w:sz w:val="24"/>
          <w:szCs w:val="24"/>
        </w:rPr>
        <w:t xml:space="preserve"> y de los primeros boomers, </w:t>
      </w:r>
      <w:r w:rsidRPr="0068342C">
        <w:rPr>
          <w:rFonts w:ascii="Times New Roman" w:hAnsi="Times New Roman" w:cs="Times New Roman"/>
          <w:sz w:val="24"/>
          <w:szCs w:val="24"/>
        </w:rPr>
        <w:t xml:space="preserve">y suelen </w:t>
      </w:r>
      <w:r>
        <w:rPr>
          <w:rFonts w:ascii="Times New Roman" w:hAnsi="Times New Roman" w:cs="Times New Roman"/>
          <w:sz w:val="24"/>
          <w:szCs w:val="24"/>
        </w:rPr>
        <w:t>ser los padres de los millennials</w:t>
      </w:r>
      <w:r w:rsidRPr="0068342C">
        <w:rPr>
          <w:rFonts w:ascii="Times New Roman" w:hAnsi="Times New Roman" w:cs="Times New Roman"/>
          <w:sz w:val="24"/>
          <w:szCs w:val="24"/>
        </w:rPr>
        <w:t>​</w:t>
      </w:r>
      <w:r>
        <w:rPr>
          <w:rFonts w:ascii="Times New Roman" w:hAnsi="Times New Roman" w:cs="Times New Roman"/>
          <w:sz w:val="24"/>
          <w:szCs w:val="24"/>
        </w:rPr>
        <w:t xml:space="preserve"> y de la generación Z.</w:t>
      </w:r>
      <w:r w:rsidRPr="0068342C">
        <w:rPr>
          <w:rFonts w:ascii="Times New Roman" w:hAnsi="Times New Roman" w:cs="Times New Roman"/>
          <w:sz w:val="24"/>
          <w:szCs w:val="24"/>
        </w:rPr>
        <w:t>​</w:t>
      </w:r>
    </w:p>
    <w:p w:rsidR="00EF5FA4" w:rsidRDefault="00EF5FA4" w:rsidP="00EF5FA4">
      <w:pPr>
        <w:spacing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t xml:space="preserve">Gen Y - </w:t>
      </w:r>
      <w:r w:rsidRPr="00191CC0">
        <w:rPr>
          <w:rFonts w:ascii="Times New Roman" w:hAnsi="Times New Roman" w:cs="Times New Roman"/>
          <w:sz w:val="24"/>
          <w:szCs w:val="24"/>
          <w:u w:val="single"/>
        </w:rPr>
        <w:t>Millennials</w:t>
      </w:r>
    </w:p>
    <w:p w:rsidR="00EF5FA4" w:rsidRPr="00E5023E" w:rsidRDefault="00EF5FA4" w:rsidP="00EF5FA4">
      <w:pPr>
        <w:spacing w:line="240" w:lineRule="auto"/>
        <w:jc w:val="both"/>
        <w:rPr>
          <w:rFonts w:ascii="Times New Roman" w:hAnsi="Times New Roman" w:cs="Times New Roman"/>
          <w:sz w:val="24"/>
          <w:szCs w:val="24"/>
        </w:rPr>
      </w:pPr>
      <w:r>
        <w:rPr>
          <w:rFonts w:ascii="Times New Roman" w:hAnsi="Times New Roman" w:cs="Times New Roman"/>
          <w:sz w:val="24"/>
          <w:szCs w:val="24"/>
        </w:rPr>
        <w:t>“Millennials”</w:t>
      </w:r>
      <w:r w:rsidRPr="00E5023E">
        <w:rPr>
          <w:rFonts w:ascii="Times New Roman" w:hAnsi="Times New Roman" w:cs="Times New Roman"/>
          <w:sz w:val="24"/>
          <w:szCs w:val="24"/>
        </w:rPr>
        <w:t xml:space="preserve"> o generación Y (1981-1996): sin duda la más popular, llamados nativos digitales y la primera generación que es realmente global por compartir los mismos valores en todos los países gracias a la globalización y a la conexión a través de Internet. Les gusta aprender y emprender. Vivieron la crisis del 2008 y por eso se consideran tolerantes a la frustración, tienen autoconfianza y mucho compromiso pero no les asusta cambiar de trabajo, no conciben la vida sin tecnología y son rápidos en adapt</w:t>
      </w:r>
      <w:r>
        <w:rPr>
          <w:rFonts w:ascii="Times New Roman" w:hAnsi="Times New Roman" w:cs="Times New Roman"/>
          <w:sz w:val="24"/>
          <w:szCs w:val="24"/>
        </w:rPr>
        <w:t>arse a las novedades.</w:t>
      </w:r>
    </w:p>
    <w:p w:rsidR="00EF5FA4" w:rsidRPr="00191CC0" w:rsidRDefault="00EF5FA4" w:rsidP="00EF5FA4">
      <w:pPr>
        <w:spacing w:line="240" w:lineRule="auto"/>
        <w:jc w:val="both"/>
        <w:rPr>
          <w:rFonts w:ascii="Times New Roman" w:hAnsi="Times New Roman" w:cs="Times New Roman"/>
          <w:sz w:val="24"/>
          <w:szCs w:val="24"/>
        </w:rPr>
      </w:pPr>
      <w:r w:rsidRPr="00191CC0">
        <w:rPr>
          <w:rFonts w:ascii="Times New Roman" w:hAnsi="Times New Roman" w:cs="Times New Roman"/>
          <w:sz w:val="24"/>
          <w:szCs w:val="24"/>
        </w:rPr>
        <w:t>Definir a un secto</w:t>
      </w:r>
      <w:r>
        <w:rPr>
          <w:rFonts w:ascii="Times New Roman" w:hAnsi="Times New Roman" w:cs="Times New Roman"/>
          <w:sz w:val="24"/>
          <w:szCs w:val="24"/>
        </w:rPr>
        <w:t>r de la población como son los “millennials”</w:t>
      </w:r>
      <w:r w:rsidRPr="00191CC0">
        <w:rPr>
          <w:rFonts w:ascii="Times New Roman" w:hAnsi="Times New Roman" w:cs="Times New Roman"/>
          <w:sz w:val="24"/>
          <w:szCs w:val="24"/>
        </w:rPr>
        <w:t xml:space="preserve"> no es tarea fácil, pero la mayoría de los medios coinciden en algo: estos jóvenes nacidos a partir de los 80 son una generación digital, hiperconectada y con altos valores sociales y éticos. Todo esto y más les hace dif</w:t>
      </w:r>
      <w:r>
        <w:rPr>
          <w:rFonts w:ascii="Times New Roman" w:hAnsi="Times New Roman" w:cs="Times New Roman"/>
          <w:sz w:val="24"/>
          <w:szCs w:val="24"/>
        </w:rPr>
        <w:t>erentes a generaciones pasadas.</w:t>
      </w:r>
    </w:p>
    <w:p w:rsidR="00EF5FA4" w:rsidRDefault="00EF5FA4" w:rsidP="00EF5FA4">
      <w:pPr>
        <w:spacing w:line="240" w:lineRule="auto"/>
        <w:jc w:val="both"/>
        <w:rPr>
          <w:rFonts w:ascii="Times New Roman" w:hAnsi="Times New Roman" w:cs="Times New Roman"/>
          <w:sz w:val="24"/>
          <w:szCs w:val="24"/>
        </w:rPr>
      </w:pPr>
      <w:r>
        <w:rPr>
          <w:rFonts w:ascii="Times New Roman" w:hAnsi="Times New Roman" w:cs="Times New Roman"/>
          <w:sz w:val="24"/>
          <w:szCs w:val="24"/>
        </w:rPr>
        <w:t>Algunos son “hípsters” y otros son más del lado “mainstream”</w:t>
      </w:r>
      <w:r w:rsidRPr="00191CC0">
        <w:rPr>
          <w:rFonts w:ascii="Times New Roman" w:hAnsi="Times New Roman" w:cs="Times New Roman"/>
          <w:sz w:val="24"/>
          <w:szCs w:val="24"/>
        </w:rPr>
        <w:t>. Pueden abrazar nuevos va</w:t>
      </w:r>
      <w:r>
        <w:rPr>
          <w:rFonts w:ascii="Times New Roman" w:hAnsi="Times New Roman" w:cs="Times New Roman"/>
          <w:sz w:val="24"/>
          <w:szCs w:val="24"/>
        </w:rPr>
        <w:t>lores y también ser fans de lo “vintage” y lo “retro”</w:t>
      </w:r>
      <w:r w:rsidRPr="00191CC0">
        <w:rPr>
          <w:rFonts w:ascii="Times New Roman" w:hAnsi="Times New Roman" w:cs="Times New Roman"/>
          <w:sz w:val="24"/>
          <w:szCs w:val="24"/>
        </w:rPr>
        <w:t>. Esta generación supone un 24% de la población, son el público que se resiste a las empresas, reta al sector bancario para que les conquiste y son creadores de contenido e influyentes entre su público. ¿Qué otras características comparte la generación del milenio?</w:t>
      </w:r>
    </w:p>
    <w:p w:rsidR="00EF5FA4" w:rsidRDefault="00EF5FA4" w:rsidP="00EF5FA4">
      <w:pPr>
        <w:spacing w:line="240" w:lineRule="auto"/>
        <w:jc w:val="both"/>
        <w:rPr>
          <w:rFonts w:ascii="Times New Roman" w:hAnsi="Times New Roman" w:cs="Times New Roman"/>
          <w:sz w:val="24"/>
          <w:szCs w:val="24"/>
        </w:rPr>
      </w:pPr>
      <w:r w:rsidRPr="00191CC0">
        <w:rPr>
          <w:rFonts w:ascii="Times New Roman" w:hAnsi="Times New Roman" w:cs="Times New Roman"/>
          <w:sz w:val="24"/>
          <w:szCs w:val="24"/>
        </w:rPr>
        <w:t>Es la primera generación que puede considerarse global. A diferencia de las anteriores, en esta no existen diferencias entre países y todos los jóvenes occidentales pueden identificarse con los mismos valores.</w:t>
      </w:r>
    </w:p>
    <w:p w:rsidR="00EF5FA4" w:rsidRDefault="00EF5FA4" w:rsidP="00EF5FA4">
      <w:pPr>
        <w:spacing w:line="240" w:lineRule="auto"/>
        <w:jc w:val="both"/>
        <w:rPr>
          <w:rFonts w:ascii="Times New Roman" w:hAnsi="Times New Roman" w:cs="Times New Roman"/>
          <w:sz w:val="24"/>
          <w:szCs w:val="24"/>
        </w:rPr>
      </w:pPr>
      <w:r w:rsidRPr="00191CC0">
        <w:rPr>
          <w:rFonts w:ascii="Times New Roman" w:hAnsi="Times New Roman" w:cs="Times New Roman"/>
          <w:sz w:val="24"/>
          <w:szCs w:val="24"/>
        </w:rPr>
        <w:t>Han crecido con los inicios de la digitalización y su acceso al mercado laboral estuvo marcado por la crisis económica. Será interesante ver cómo a</w:t>
      </w:r>
      <w:r>
        <w:rPr>
          <w:rFonts w:ascii="Times New Roman" w:hAnsi="Times New Roman" w:cs="Times New Roman"/>
          <w:sz w:val="24"/>
          <w:szCs w:val="24"/>
        </w:rPr>
        <w:t>fecta en su futuro este inicio “lento”</w:t>
      </w:r>
      <w:r w:rsidRPr="00191CC0">
        <w:rPr>
          <w:rFonts w:ascii="Times New Roman" w:hAnsi="Times New Roman" w:cs="Times New Roman"/>
          <w:sz w:val="24"/>
          <w:szCs w:val="24"/>
        </w:rPr>
        <w:t xml:space="preserve"> que han tenido</w:t>
      </w:r>
      <w:r>
        <w:rPr>
          <w:rFonts w:ascii="Times New Roman" w:hAnsi="Times New Roman" w:cs="Times New Roman"/>
          <w:sz w:val="24"/>
          <w:szCs w:val="24"/>
        </w:rPr>
        <w:t xml:space="preserve"> en sus carreras profesionales.</w:t>
      </w:r>
    </w:p>
    <w:p w:rsidR="00EF5FA4" w:rsidRDefault="00EF5FA4" w:rsidP="00EF5FA4">
      <w:pPr>
        <w:spacing w:line="240" w:lineRule="auto"/>
        <w:jc w:val="both"/>
        <w:rPr>
          <w:rFonts w:ascii="Times New Roman" w:hAnsi="Times New Roman" w:cs="Times New Roman"/>
          <w:sz w:val="24"/>
          <w:szCs w:val="24"/>
        </w:rPr>
      </w:pPr>
      <w:r>
        <w:rPr>
          <w:rFonts w:ascii="Times New Roman" w:hAnsi="Times New Roman" w:cs="Times New Roman"/>
          <w:sz w:val="24"/>
          <w:szCs w:val="24"/>
        </w:rPr>
        <w:t>Algunos miembros de su generación son c</w:t>
      </w:r>
      <w:r w:rsidRPr="00191CC0">
        <w:rPr>
          <w:rFonts w:ascii="Times New Roman" w:hAnsi="Times New Roman" w:cs="Times New Roman"/>
          <w:sz w:val="24"/>
          <w:szCs w:val="24"/>
        </w:rPr>
        <w:t>onocidos también como ‘ninis’, es una generación estigmatizada que ha sido descrita como perezosa, individualista, aburguesada… pero también son estos jóvenes los que impulsaron la vida sana, la alimentación saludable o el ecologismo.</w:t>
      </w:r>
    </w:p>
    <w:p w:rsidR="00EF5FA4" w:rsidRDefault="00EF5FA4" w:rsidP="00EF5FA4">
      <w:pPr>
        <w:spacing w:line="240" w:lineRule="auto"/>
        <w:jc w:val="both"/>
        <w:rPr>
          <w:rFonts w:ascii="Times New Roman" w:hAnsi="Times New Roman" w:cs="Times New Roman"/>
          <w:sz w:val="24"/>
          <w:szCs w:val="24"/>
          <w:u w:val="single"/>
        </w:rPr>
      </w:pPr>
      <w:r w:rsidRPr="006901AA">
        <w:rPr>
          <w:rFonts w:ascii="Times New Roman" w:hAnsi="Times New Roman" w:cs="Times New Roman"/>
          <w:sz w:val="24"/>
          <w:szCs w:val="24"/>
          <w:u w:val="single"/>
        </w:rPr>
        <w:t>Gen Z</w:t>
      </w:r>
      <w:r>
        <w:rPr>
          <w:rFonts w:ascii="Times New Roman" w:hAnsi="Times New Roman" w:cs="Times New Roman"/>
          <w:sz w:val="24"/>
          <w:szCs w:val="24"/>
          <w:u w:val="single"/>
        </w:rPr>
        <w:t xml:space="preserve"> - Centennials</w:t>
      </w:r>
    </w:p>
    <w:p w:rsidR="00EF5FA4" w:rsidRPr="00E5023E" w:rsidRDefault="00EF5FA4" w:rsidP="00EF5FA4">
      <w:pPr>
        <w:spacing w:line="240" w:lineRule="auto"/>
        <w:jc w:val="both"/>
        <w:rPr>
          <w:rFonts w:ascii="Times New Roman" w:hAnsi="Times New Roman" w:cs="Times New Roman"/>
          <w:sz w:val="24"/>
          <w:szCs w:val="24"/>
        </w:rPr>
      </w:pPr>
      <w:r>
        <w:rPr>
          <w:rFonts w:ascii="Times New Roman" w:hAnsi="Times New Roman" w:cs="Times New Roman"/>
          <w:sz w:val="24"/>
          <w:szCs w:val="24"/>
        </w:rPr>
        <w:t>“Centennials”</w:t>
      </w:r>
      <w:r w:rsidRPr="00E5023E">
        <w:rPr>
          <w:rFonts w:ascii="Times New Roman" w:hAnsi="Times New Roman" w:cs="Times New Roman"/>
          <w:sz w:val="24"/>
          <w:szCs w:val="24"/>
        </w:rPr>
        <w:t xml:space="preserve"> o generación Z (1997-2010): son los más jóvenes dentro del mercado laboral  y si por algo se les caracteriza es por vivir inmersos en la sociedad de Internet y consumir solo formatos digitales, estudian y leen online, son autodidactas y los tutoriales de Youtube son sus grandes aliados, están a la vanguardia de las redes sociales. Son muy creativos, flexibles y </w:t>
      </w:r>
      <w:r w:rsidRPr="00E5023E">
        <w:rPr>
          <w:rFonts w:ascii="Times New Roman" w:hAnsi="Times New Roman" w:cs="Times New Roman"/>
          <w:sz w:val="24"/>
          <w:szCs w:val="24"/>
        </w:rPr>
        <w:lastRenderedPageBreak/>
        <w:t>multitarea, prefieren el trabajo a distancia y tienen un gran espíritu innovador y pragmático. Sin embargo, no son tan fáciles de fidelizar.</w:t>
      </w:r>
    </w:p>
    <w:p w:rsidR="00EF5FA4" w:rsidRDefault="00EF5FA4" w:rsidP="00EF5FA4">
      <w:pPr>
        <w:spacing w:line="240" w:lineRule="auto"/>
        <w:jc w:val="both"/>
        <w:rPr>
          <w:rFonts w:ascii="Times New Roman" w:hAnsi="Times New Roman" w:cs="Times New Roman"/>
          <w:sz w:val="24"/>
          <w:szCs w:val="24"/>
        </w:rPr>
      </w:pPr>
      <w:r w:rsidRPr="006901AA">
        <w:rPr>
          <w:rFonts w:ascii="Times New Roman" w:hAnsi="Times New Roman" w:cs="Times New Roman"/>
          <w:sz w:val="24"/>
          <w:szCs w:val="24"/>
        </w:rPr>
        <w:t>Generación Z, también conocida con</w:t>
      </w:r>
      <w:r>
        <w:rPr>
          <w:rFonts w:ascii="Times New Roman" w:hAnsi="Times New Roman" w:cs="Times New Roman"/>
          <w:sz w:val="24"/>
          <w:szCs w:val="24"/>
        </w:rPr>
        <w:t xml:space="preserve"> otros nombres como posmilénica</w:t>
      </w:r>
      <w:r w:rsidRPr="006901AA">
        <w:rPr>
          <w:rFonts w:ascii="Times New Roman" w:hAnsi="Times New Roman" w:cs="Times New Roman"/>
          <w:sz w:val="24"/>
          <w:szCs w:val="24"/>
        </w:rPr>
        <w:t>​ o cen</w:t>
      </w:r>
      <w:r>
        <w:rPr>
          <w:rFonts w:ascii="Times New Roman" w:hAnsi="Times New Roman" w:cs="Times New Roman"/>
          <w:sz w:val="24"/>
          <w:szCs w:val="24"/>
        </w:rPr>
        <w:t>túrica (del inglés centennial),</w:t>
      </w:r>
      <w:r w:rsidRPr="006901AA">
        <w:rPr>
          <w:rFonts w:ascii="Times New Roman" w:hAnsi="Times New Roman" w:cs="Times New Roman"/>
          <w:sz w:val="24"/>
          <w:szCs w:val="24"/>
        </w:rPr>
        <w:t>​ es la cohorte demográfica que sigue a la generación milénica y precede a la generación Alfa. Los demógrafos e investigadores suelen señalar desde</w:t>
      </w:r>
      <w:r>
        <w:rPr>
          <w:rFonts w:ascii="Times New Roman" w:hAnsi="Times New Roman" w:cs="Times New Roman"/>
          <w:sz w:val="24"/>
          <w:szCs w:val="24"/>
        </w:rPr>
        <w:t xml:space="preserve"> la mitad de la década de 1990</w:t>
      </w:r>
      <w:r w:rsidRPr="006901AA">
        <w:rPr>
          <w:rFonts w:ascii="Times New Roman" w:hAnsi="Times New Roman" w:cs="Times New Roman"/>
          <w:sz w:val="24"/>
          <w:szCs w:val="24"/>
        </w:rPr>
        <w:t xml:space="preserve"> a</w:t>
      </w:r>
      <w:r>
        <w:rPr>
          <w:rFonts w:ascii="Times New Roman" w:hAnsi="Times New Roman" w:cs="Times New Roman"/>
          <w:sz w:val="24"/>
          <w:szCs w:val="24"/>
        </w:rPr>
        <w:t xml:space="preserve"> mediados de la década de 2000</w:t>
      </w:r>
      <w:r w:rsidRPr="006901AA">
        <w:rPr>
          <w:rFonts w:ascii="Times New Roman" w:hAnsi="Times New Roman" w:cs="Times New Roman"/>
          <w:sz w:val="24"/>
          <w:szCs w:val="24"/>
        </w:rPr>
        <w:t xml:space="preserve"> como el comienzo de los años de nacimiento de la generación, mientras que hay poco consenso con respecto a su terminación. La mayoría de personas pertenecientes a la generación Z ha utilizado internet desde muy joven y se siente cómoda con la tecnología y los medios sociales. Se estima que las personas de la generación Z corresponden al 2</w:t>
      </w:r>
      <w:r>
        <w:rPr>
          <w:rFonts w:ascii="Times New Roman" w:hAnsi="Times New Roman" w:cs="Times New Roman"/>
          <w:sz w:val="24"/>
          <w:szCs w:val="24"/>
        </w:rPr>
        <w:t>3,7 % de la población mundial.</w:t>
      </w:r>
      <w:r w:rsidRPr="006901AA">
        <w:rPr>
          <w:rFonts w:ascii="Times New Roman" w:hAnsi="Times New Roman" w:cs="Times New Roman"/>
          <w:sz w:val="24"/>
          <w:szCs w:val="24"/>
        </w:rPr>
        <w:t>​</w:t>
      </w:r>
    </w:p>
    <w:p w:rsidR="00EF5FA4" w:rsidRPr="006661EA" w:rsidRDefault="00EF5FA4" w:rsidP="00EF5FA4">
      <w:pPr>
        <w:spacing w:line="240" w:lineRule="auto"/>
        <w:jc w:val="both"/>
        <w:rPr>
          <w:rFonts w:ascii="Times New Roman" w:hAnsi="Times New Roman" w:cs="Times New Roman"/>
          <w:sz w:val="24"/>
          <w:szCs w:val="24"/>
        </w:rPr>
      </w:pPr>
      <w:r w:rsidRPr="006661EA">
        <w:rPr>
          <w:rFonts w:ascii="Times New Roman" w:hAnsi="Times New Roman" w:cs="Times New Roman"/>
          <w:sz w:val="24"/>
          <w:szCs w:val="24"/>
        </w:rPr>
        <w:t>Es la generación que ha cogido el relevo a los millennials. Tienen como mucho 23 años y superan en número a sus predecesores. En España hay 7.800.000 de chicos y chicas que pertenecen a e</w:t>
      </w:r>
      <w:r>
        <w:rPr>
          <w:rFonts w:ascii="Times New Roman" w:hAnsi="Times New Roman" w:cs="Times New Roman"/>
          <w:sz w:val="24"/>
          <w:szCs w:val="24"/>
        </w:rPr>
        <w:t>sta generación post-millennial.</w:t>
      </w:r>
    </w:p>
    <w:p w:rsidR="00EF5FA4" w:rsidRDefault="00EF5FA4" w:rsidP="00EF5FA4">
      <w:pPr>
        <w:spacing w:line="240" w:lineRule="auto"/>
        <w:jc w:val="both"/>
        <w:rPr>
          <w:rFonts w:ascii="Times New Roman" w:hAnsi="Times New Roman" w:cs="Times New Roman"/>
          <w:sz w:val="24"/>
          <w:szCs w:val="24"/>
        </w:rPr>
      </w:pPr>
      <w:r w:rsidRPr="006661EA">
        <w:rPr>
          <w:rFonts w:ascii="Times New Roman" w:hAnsi="Times New Roman" w:cs="Times New Roman"/>
          <w:sz w:val="24"/>
          <w:szCs w:val="24"/>
        </w:rPr>
        <w:t>Son más emprendedores que los millennials. Aprenden rápido y de forma autodidacta, ello los convierte en unos jóvenes mucho más irreverentes que sus compañeros los millennials, educados con sistemas mucho más rígidos.</w:t>
      </w:r>
    </w:p>
    <w:p w:rsidR="00EF5FA4" w:rsidRPr="006661EA" w:rsidRDefault="00EF5FA4" w:rsidP="00EF5FA4">
      <w:pPr>
        <w:spacing w:line="240" w:lineRule="auto"/>
        <w:jc w:val="both"/>
        <w:rPr>
          <w:rFonts w:ascii="Times New Roman" w:hAnsi="Times New Roman" w:cs="Times New Roman"/>
          <w:sz w:val="24"/>
          <w:szCs w:val="24"/>
        </w:rPr>
      </w:pPr>
      <w:r w:rsidRPr="006661EA">
        <w:rPr>
          <w:rFonts w:ascii="Times New Roman" w:hAnsi="Times New Roman" w:cs="Times New Roman"/>
          <w:sz w:val="24"/>
          <w:szCs w:val="24"/>
        </w:rPr>
        <w:t>Si la situación de los millennials no era muy prometedora en su incursión en el mercado laboral, la generación Z sufre tasas de paro aún más elevadas, que superan el 25% y seguramente por ello también son la generación más emprendedora.</w:t>
      </w:r>
    </w:p>
    <w:p w:rsidR="00EF5FA4" w:rsidRPr="006661EA" w:rsidRDefault="00EF5FA4" w:rsidP="00EF5FA4">
      <w:pPr>
        <w:spacing w:line="240" w:lineRule="auto"/>
        <w:jc w:val="both"/>
        <w:rPr>
          <w:rFonts w:ascii="Times New Roman" w:hAnsi="Times New Roman" w:cs="Times New Roman"/>
          <w:sz w:val="24"/>
          <w:szCs w:val="24"/>
        </w:rPr>
      </w:pPr>
      <w:r w:rsidRPr="006661EA">
        <w:rPr>
          <w:rFonts w:ascii="Times New Roman" w:hAnsi="Times New Roman" w:cs="Times New Roman"/>
          <w:sz w:val="24"/>
          <w:szCs w:val="24"/>
        </w:rPr>
        <w:t>¿Cómo es la generación Z?</w:t>
      </w:r>
    </w:p>
    <w:p w:rsidR="00EF5FA4" w:rsidRPr="006661EA" w:rsidRDefault="00EF5FA4" w:rsidP="00EF5FA4">
      <w:pPr>
        <w:spacing w:line="240" w:lineRule="auto"/>
        <w:jc w:val="both"/>
        <w:rPr>
          <w:rFonts w:ascii="Times New Roman" w:hAnsi="Times New Roman" w:cs="Times New Roman"/>
          <w:sz w:val="24"/>
          <w:szCs w:val="24"/>
        </w:rPr>
      </w:pPr>
      <w:r w:rsidRPr="006661EA">
        <w:rPr>
          <w:rFonts w:ascii="Times New Roman" w:hAnsi="Times New Roman" w:cs="Times New Roman"/>
          <w:sz w:val="24"/>
          <w:szCs w:val="24"/>
        </w:rPr>
        <w:t>A diferencia de los millennials, se ha escrito poco sobre estos jóvenes del futuro. En el libro Generación Z, Núria Vilanova e Iñaki Ortega repasan a fondo qué mueve a estos jóvenes, cuáles son sus motivaciones, sus debilida</w:t>
      </w:r>
      <w:r>
        <w:rPr>
          <w:rFonts w:ascii="Times New Roman" w:hAnsi="Times New Roman" w:cs="Times New Roman"/>
          <w:sz w:val="24"/>
          <w:szCs w:val="24"/>
        </w:rPr>
        <w:t>des y el entorno que los rodea.</w:t>
      </w:r>
    </w:p>
    <w:p w:rsidR="00EF5FA4" w:rsidRPr="006661EA" w:rsidRDefault="00EF5FA4" w:rsidP="00EF5FA4">
      <w:pPr>
        <w:spacing w:line="240" w:lineRule="auto"/>
        <w:jc w:val="both"/>
        <w:rPr>
          <w:rFonts w:ascii="Times New Roman" w:hAnsi="Times New Roman" w:cs="Times New Roman"/>
          <w:sz w:val="24"/>
          <w:szCs w:val="24"/>
        </w:rPr>
      </w:pPr>
      <w:r w:rsidRPr="006661EA">
        <w:rPr>
          <w:rFonts w:ascii="Times New Roman" w:hAnsi="Times New Roman" w:cs="Times New Roman"/>
          <w:sz w:val="24"/>
          <w:szCs w:val="24"/>
        </w:rPr>
        <w:t>La generación Z experimenta la democratización del acceso a las oportunidades. Ya no importa quién es tu padre o dónde has nacido. Solo cuenta tu talento. Son nativos digitales y aprovechan esta ventaja para buscar nuevas salidas profesionales en un mercado labora</w:t>
      </w:r>
      <w:r>
        <w:rPr>
          <w:rFonts w:ascii="Times New Roman" w:hAnsi="Times New Roman" w:cs="Times New Roman"/>
          <w:sz w:val="24"/>
          <w:szCs w:val="24"/>
        </w:rPr>
        <w:t>l cada vez más cambiante.</w:t>
      </w:r>
    </w:p>
    <w:p w:rsidR="00EF5FA4" w:rsidRPr="006661EA" w:rsidRDefault="00EF5FA4" w:rsidP="00EF5FA4">
      <w:pPr>
        <w:spacing w:line="240" w:lineRule="auto"/>
        <w:jc w:val="both"/>
        <w:rPr>
          <w:rFonts w:ascii="Times New Roman" w:hAnsi="Times New Roman" w:cs="Times New Roman"/>
          <w:sz w:val="24"/>
          <w:szCs w:val="24"/>
        </w:rPr>
      </w:pPr>
      <w:r w:rsidRPr="006661EA">
        <w:rPr>
          <w:rFonts w:ascii="Times New Roman" w:hAnsi="Times New Roman" w:cs="Times New Roman"/>
          <w:sz w:val="24"/>
          <w:szCs w:val="24"/>
        </w:rPr>
        <w:t>Son jóvenes muy creativos, con una alta adaptabilidad a nuevos entornos. Saben que tendrán que adaptarse muchas veces a nuevas realidades laborales y tener mucha movilidad geográfica en un mundo cada vez más global. Vilanova y Ortega, de hecho, aseguran en su libro que estos jóvenes “ya están i</w:t>
      </w:r>
      <w:r>
        <w:rPr>
          <w:rFonts w:ascii="Times New Roman" w:hAnsi="Times New Roman" w:cs="Times New Roman"/>
          <w:sz w:val="24"/>
          <w:szCs w:val="24"/>
        </w:rPr>
        <w:t>nventando sus propios empleos”.</w:t>
      </w:r>
    </w:p>
    <w:p w:rsidR="00EF5FA4" w:rsidRPr="006661EA" w:rsidRDefault="00EF5FA4" w:rsidP="00EF5FA4">
      <w:pPr>
        <w:spacing w:line="240" w:lineRule="auto"/>
        <w:jc w:val="both"/>
        <w:rPr>
          <w:rFonts w:ascii="Times New Roman" w:hAnsi="Times New Roman" w:cs="Times New Roman"/>
          <w:sz w:val="24"/>
          <w:szCs w:val="24"/>
        </w:rPr>
      </w:pPr>
      <w:r w:rsidRPr="006661EA">
        <w:rPr>
          <w:rFonts w:ascii="Times New Roman" w:hAnsi="Times New Roman" w:cs="Times New Roman"/>
          <w:sz w:val="24"/>
          <w:szCs w:val="24"/>
        </w:rPr>
        <w:t>Binomio juventud y tecnología</w:t>
      </w:r>
    </w:p>
    <w:p w:rsidR="00EF5FA4" w:rsidRPr="006661EA" w:rsidRDefault="00EF5FA4" w:rsidP="00EF5FA4">
      <w:pPr>
        <w:spacing w:line="240" w:lineRule="auto"/>
        <w:jc w:val="both"/>
        <w:rPr>
          <w:rFonts w:ascii="Times New Roman" w:hAnsi="Times New Roman" w:cs="Times New Roman"/>
          <w:sz w:val="24"/>
          <w:szCs w:val="24"/>
        </w:rPr>
      </w:pPr>
      <w:r w:rsidRPr="006661EA">
        <w:rPr>
          <w:rFonts w:ascii="Times New Roman" w:hAnsi="Times New Roman" w:cs="Times New Roman"/>
          <w:sz w:val="24"/>
          <w:szCs w:val="24"/>
        </w:rPr>
        <w:t xml:space="preserve">Esta generación es la primera en nacer en la era digital. Su dominio de las nuevas tecnologías innato y, de hecho, casi la mitad de ellos pasan entre 6 y 10 </w:t>
      </w:r>
      <w:r>
        <w:rPr>
          <w:rFonts w:ascii="Times New Roman" w:hAnsi="Times New Roman" w:cs="Times New Roman"/>
          <w:sz w:val="24"/>
          <w:szCs w:val="24"/>
        </w:rPr>
        <w:t>horas conectados a sus móviles.</w:t>
      </w:r>
    </w:p>
    <w:p w:rsidR="00EF5FA4" w:rsidRPr="006661EA" w:rsidRDefault="00EF5FA4" w:rsidP="00EF5FA4">
      <w:pPr>
        <w:spacing w:line="240" w:lineRule="auto"/>
        <w:jc w:val="both"/>
        <w:rPr>
          <w:rFonts w:ascii="Times New Roman" w:hAnsi="Times New Roman" w:cs="Times New Roman"/>
          <w:sz w:val="24"/>
          <w:szCs w:val="24"/>
        </w:rPr>
      </w:pPr>
      <w:r w:rsidRPr="006661EA">
        <w:rPr>
          <w:rFonts w:ascii="Times New Roman" w:hAnsi="Times New Roman" w:cs="Times New Roman"/>
          <w:sz w:val="24"/>
          <w:szCs w:val="24"/>
        </w:rPr>
        <w:t>Desconfían del sistema educativo tradicional, parque en muchos casos ellos mismos tienen acceso a la información de manera directa y más rápida que sus profesores. Su actitud es irreverente en el sentido de que se</w:t>
      </w:r>
      <w:r>
        <w:rPr>
          <w:rFonts w:ascii="Times New Roman" w:hAnsi="Times New Roman" w:cs="Times New Roman"/>
          <w:sz w:val="24"/>
          <w:szCs w:val="24"/>
        </w:rPr>
        <w:t xml:space="preserve"> cuestionan absolutamente todo.</w:t>
      </w:r>
    </w:p>
    <w:p w:rsidR="00EF5FA4" w:rsidRPr="006661EA" w:rsidRDefault="00EF5FA4" w:rsidP="00EF5FA4">
      <w:pPr>
        <w:spacing w:line="240" w:lineRule="auto"/>
        <w:jc w:val="both"/>
        <w:rPr>
          <w:rFonts w:ascii="Times New Roman" w:hAnsi="Times New Roman" w:cs="Times New Roman"/>
          <w:sz w:val="24"/>
          <w:szCs w:val="24"/>
        </w:rPr>
      </w:pPr>
      <w:r w:rsidRPr="006661EA">
        <w:rPr>
          <w:rFonts w:ascii="Times New Roman" w:hAnsi="Times New Roman" w:cs="Times New Roman"/>
          <w:sz w:val="24"/>
          <w:szCs w:val="24"/>
        </w:rPr>
        <w:t>Son mucho más críticos que sus predecesores y esta actitud les permite avanzar y no quedarse anclados. De hecho, la titulación universitaria con nota de entrada más alta este año en España ha sido la doble titula</w:t>
      </w:r>
      <w:r>
        <w:rPr>
          <w:rFonts w:ascii="Times New Roman" w:hAnsi="Times New Roman" w:cs="Times New Roman"/>
          <w:sz w:val="24"/>
          <w:szCs w:val="24"/>
        </w:rPr>
        <w:t>ción de Matemáticas con Física.</w:t>
      </w:r>
    </w:p>
    <w:p w:rsidR="00EF5FA4" w:rsidRPr="006661EA" w:rsidRDefault="00EF5FA4" w:rsidP="00EF5FA4">
      <w:pPr>
        <w:spacing w:line="240" w:lineRule="auto"/>
        <w:jc w:val="both"/>
        <w:rPr>
          <w:rFonts w:ascii="Times New Roman" w:hAnsi="Times New Roman" w:cs="Times New Roman"/>
          <w:sz w:val="24"/>
          <w:szCs w:val="24"/>
        </w:rPr>
      </w:pPr>
      <w:r w:rsidRPr="006661EA">
        <w:rPr>
          <w:rFonts w:ascii="Times New Roman" w:hAnsi="Times New Roman" w:cs="Times New Roman"/>
          <w:sz w:val="24"/>
          <w:szCs w:val="24"/>
        </w:rPr>
        <w:t>Debilidades</w:t>
      </w:r>
    </w:p>
    <w:p w:rsidR="00EF5FA4" w:rsidRPr="006661EA" w:rsidRDefault="00EF5FA4" w:rsidP="00EF5FA4">
      <w:pPr>
        <w:spacing w:line="240" w:lineRule="auto"/>
        <w:jc w:val="both"/>
        <w:rPr>
          <w:rFonts w:ascii="Times New Roman" w:hAnsi="Times New Roman" w:cs="Times New Roman"/>
          <w:sz w:val="24"/>
          <w:szCs w:val="24"/>
        </w:rPr>
      </w:pPr>
      <w:r w:rsidRPr="006661EA">
        <w:rPr>
          <w:rFonts w:ascii="Times New Roman" w:hAnsi="Times New Roman" w:cs="Times New Roman"/>
          <w:sz w:val="24"/>
          <w:szCs w:val="24"/>
        </w:rPr>
        <w:lastRenderedPageBreak/>
        <w:t>La inmediatez es también una característica innata en ellos. Están acostumbrados a descargar veloces y a mantener multitud de conversaciones a la vez en sus redes sociales. Pero esta cualidad, puede ser a</w:t>
      </w:r>
      <w:r>
        <w:rPr>
          <w:rFonts w:ascii="Times New Roman" w:hAnsi="Times New Roman" w:cs="Times New Roman"/>
          <w:sz w:val="24"/>
          <w:szCs w:val="24"/>
        </w:rPr>
        <w:t xml:space="preserve"> la vez una de sus debilidades.</w:t>
      </w:r>
    </w:p>
    <w:p w:rsidR="00EF5FA4" w:rsidRPr="006661EA" w:rsidRDefault="00EF5FA4" w:rsidP="00EF5FA4">
      <w:pPr>
        <w:spacing w:line="240" w:lineRule="auto"/>
        <w:jc w:val="both"/>
        <w:rPr>
          <w:rFonts w:ascii="Times New Roman" w:hAnsi="Times New Roman" w:cs="Times New Roman"/>
          <w:sz w:val="24"/>
          <w:szCs w:val="24"/>
        </w:rPr>
      </w:pPr>
      <w:r w:rsidRPr="006661EA">
        <w:rPr>
          <w:rFonts w:ascii="Times New Roman" w:hAnsi="Times New Roman" w:cs="Times New Roman"/>
          <w:sz w:val="24"/>
          <w:szCs w:val="24"/>
        </w:rPr>
        <w:t>Tienen menor capacidad de conservar la atención en todo aquello que no otorgue resultados inmediatos y muestras importantes lagun</w:t>
      </w:r>
      <w:r>
        <w:rPr>
          <w:rFonts w:ascii="Times New Roman" w:hAnsi="Times New Roman" w:cs="Times New Roman"/>
          <w:sz w:val="24"/>
          <w:szCs w:val="24"/>
        </w:rPr>
        <w:t>as en expresión oral y escrita.</w:t>
      </w:r>
    </w:p>
    <w:p w:rsidR="00EF5FA4" w:rsidRPr="006661EA" w:rsidRDefault="00EF5FA4" w:rsidP="00EF5FA4">
      <w:pPr>
        <w:spacing w:line="240" w:lineRule="auto"/>
        <w:jc w:val="both"/>
        <w:rPr>
          <w:rFonts w:ascii="Times New Roman" w:hAnsi="Times New Roman" w:cs="Times New Roman"/>
          <w:sz w:val="24"/>
          <w:szCs w:val="24"/>
        </w:rPr>
      </w:pPr>
      <w:r w:rsidRPr="006661EA">
        <w:rPr>
          <w:rFonts w:ascii="Times New Roman" w:hAnsi="Times New Roman" w:cs="Times New Roman"/>
          <w:sz w:val="24"/>
          <w:szCs w:val="24"/>
        </w:rPr>
        <w:t>Tienen fama de ser muy individualistas y sí que son muy egocéntricos colgando selfies todo el tiempo en sus redes sociales, pero también son muy solidarios. El compromiso social es un elemento muy presente no solo en estos jóvenes, sino en las nuevas em</w:t>
      </w:r>
      <w:r>
        <w:rPr>
          <w:rFonts w:ascii="Times New Roman" w:hAnsi="Times New Roman" w:cs="Times New Roman"/>
          <w:sz w:val="24"/>
          <w:szCs w:val="24"/>
        </w:rPr>
        <w:t>presas que nacen bajo su brazo.</w:t>
      </w:r>
    </w:p>
    <w:p w:rsidR="00EF5FA4" w:rsidRPr="006661EA" w:rsidRDefault="00EF5FA4" w:rsidP="00EF5FA4">
      <w:pPr>
        <w:spacing w:line="240" w:lineRule="auto"/>
        <w:jc w:val="both"/>
        <w:rPr>
          <w:rFonts w:ascii="Times New Roman" w:hAnsi="Times New Roman" w:cs="Times New Roman"/>
          <w:sz w:val="24"/>
          <w:szCs w:val="24"/>
        </w:rPr>
      </w:pPr>
      <w:r w:rsidRPr="006661EA">
        <w:rPr>
          <w:rFonts w:ascii="Times New Roman" w:hAnsi="Times New Roman" w:cs="Times New Roman"/>
          <w:sz w:val="24"/>
          <w:szCs w:val="24"/>
        </w:rPr>
        <w:t>También son inconformistas. Ya no se conforman con una casa, un buen trabajo y formar una familia. Quieren transformar el mundo. Esto los lleva a ser mucho más emprendedores. De hecho, la edad media para montar una empresa se ha reducido de los 35 a los 24 años en esta generación.</w:t>
      </w:r>
    </w:p>
    <w:p w:rsidR="00EF5FA4" w:rsidRDefault="00EF5FA4" w:rsidP="00EF5FA4">
      <w:pPr>
        <w:spacing w:line="240" w:lineRule="auto"/>
        <w:jc w:val="both"/>
        <w:rPr>
          <w:rFonts w:ascii="Times New Roman" w:hAnsi="Times New Roman" w:cs="Times New Roman"/>
          <w:sz w:val="24"/>
          <w:szCs w:val="24"/>
        </w:rPr>
      </w:pPr>
      <w:r w:rsidRPr="006661EA">
        <w:rPr>
          <w:rFonts w:ascii="Times New Roman" w:hAnsi="Times New Roman" w:cs="Times New Roman"/>
          <w:sz w:val="24"/>
          <w:szCs w:val="24"/>
        </w:rPr>
        <w:t>Cada vez más globales</w:t>
      </w:r>
    </w:p>
    <w:p w:rsidR="00EF5FA4" w:rsidRPr="006661EA" w:rsidRDefault="00EF5FA4" w:rsidP="00EF5FA4">
      <w:pPr>
        <w:spacing w:line="240" w:lineRule="auto"/>
        <w:jc w:val="both"/>
        <w:rPr>
          <w:rFonts w:ascii="Times New Roman" w:hAnsi="Times New Roman" w:cs="Times New Roman"/>
          <w:sz w:val="24"/>
          <w:szCs w:val="24"/>
        </w:rPr>
      </w:pPr>
      <w:r w:rsidRPr="006661EA">
        <w:rPr>
          <w:rFonts w:ascii="Times New Roman" w:hAnsi="Times New Roman" w:cs="Times New Roman"/>
          <w:sz w:val="24"/>
          <w:szCs w:val="24"/>
        </w:rPr>
        <w:t>Las generaciones cada vez son más globales, más tecnológicas e interraciales. La población extranjera era de 923.879 personas en la época de los millennials. La generación Z, en cambio es mucho más internacional, con más de cinco millo</w:t>
      </w:r>
      <w:r>
        <w:rPr>
          <w:rFonts w:ascii="Times New Roman" w:hAnsi="Times New Roman" w:cs="Times New Roman"/>
          <w:sz w:val="24"/>
          <w:szCs w:val="24"/>
        </w:rPr>
        <w:t>nes de inmigrantes (5.023.487).</w:t>
      </w:r>
    </w:p>
    <w:p w:rsidR="00EF5FA4" w:rsidRDefault="00EF5FA4" w:rsidP="00EF5FA4">
      <w:pPr>
        <w:spacing w:line="240" w:lineRule="auto"/>
        <w:jc w:val="both"/>
        <w:rPr>
          <w:rFonts w:ascii="Times New Roman" w:hAnsi="Times New Roman" w:cs="Times New Roman"/>
          <w:sz w:val="24"/>
          <w:szCs w:val="24"/>
        </w:rPr>
      </w:pPr>
      <w:r w:rsidRPr="006661EA">
        <w:rPr>
          <w:rFonts w:ascii="Times New Roman" w:hAnsi="Times New Roman" w:cs="Times New Roman"/>
          <w:sz w:val="24"/>
          <w:szCs w:val="24"/>
        </w:rPr>
        <w:t>En manos de esta generación está nuestro futuro. Una generación digital, emprendedora e inconformista, capaz de trasformar el mundo a la misma velocidad en la que se transforman nuestras sociedades.</w:t>
      </w:r>
    </w:p>
    <w:p w:rsidR="00EF5FA4" w:rsidRPr="00DA0821" w:rsidRDefault="00EF5FA4" w:rsidP="00EF5FA4">
      <w:pPr>
        <w:spacing w:line="240" w:lineRule="auto"/>
        <w:jc w:val="both"/>
        <w:rPr>
          <w:rFonts w:ascii="Times New Roman" w:hAnsi="Times New Roman" w:cs="Times New Roman"/>
          <w:b/>
          <w:sz w:val="24"/>
          <w:szCs w:val="24"/>
        </w:rPr>
      </w:pPr>
      <w:r w:rsidRPr="00DA0821">
        <w:rPr>
          <w:rFonts w:ascii="Times New Roman" w:hAnsi="Times New Roman" w:cs="Times New Roman"/>
          <w:b/>
          <w:sz w:val="24"/>
          <w:szCs w:val="24"/>
        </w:rPr>
        <w:t xml:space="preserve">“Si me ves, llora”: las "piedras del hambre" que la sequía de los principales ríos de Europa </w:t>
      </w:r>
      <w:r>
        <w:rPr>
          <w:rFonts w:ascii="Times New Roman" w:hAnsi="Times New Roman" w:cs="Times New Roman"/>
          <w:b/>
          <w:sz w:val="24"/>
          <w:szCs w:val="24"/>
        </w:rPr>
        <w:t xml:space="preserve">pone al descubierto </w:t>
      </w:r>
    </w:p>
    <w:p w:rsidR="00EF5FA4" w:rsidRPr="0006618D" w:rsidRDefault="00EF5FA4" w:rsidP="00EF5FA4">
      <w:pPr>
        <w:spacing w:line="240" w:lineRule="auto"/>
        <w:jc w:val="both"/>
        <w:rPr>
          <w:rFonts w:ascii="Times New Roman" w:hAnsi="Times New Roman" w:cs="Times New Roman"/>
          <w:b/>
          <w:sz w:val="24"/>
          <w:szCs w:val="24"/>
        </w:rPr>
      </w:pPr>
      <w:r w:rsidRPr="00726C45">
        <w:rPr>
          <w:rFonts w:ascii="Times New Roman" w:hAnsi="Times New Roman" w:cs="Times New Roman"/>
          <w:sz w:val="24"/>
          <w:szCs w:val="24"/>
        </w:rPr>
        <w:t>La sequía que sufre Europa está dejando al descubierto una siniestra advertencia de nuestros antepasados presagiando periodos de miseria.</w:t>
      </w:r>
      <w:r w:rsidR="0006618D">
        <w:rPr>
          <w:rFonts w:ascii="Times New Roman" w:hAnsi="Times New Roman" w:cs="Times New Roman"/>
          <w:sz w:val="24"/>
          <w:szCs w:val="24"/>
        </w:rPr>
        <w:t xml:space="preserve"> (</w:t>
      </w:r>
      <w:r w:rsidR="0006618D" w:rsidRPr="00726C45">
        <w:rPr>
          <w:rFonts w:ascii="Times New Roman" w:hAnsi="Times New Roman" w:cs="Times New Roman"/>
          <w:sz w:val="24"/>
          <w:szCs w:val="24"/>
        </w:rPr>
        <w:t>BBC News Mundo</w:t>
      </w:r>
      <w:r w:rsidR="0006618D">
        <w:rPr>
          <w:rFonts w:ascii="Times New Roman" w:hAnsi="Times New Roman" w:cs="Times New Roman"/>
          <w:b/>
          <w:sz w:val="24"/>
          <w:szCs w:val="24"/>
        </w:rPr>
        <w:t xml:space="preserve"> - 10/8/</w:t>
      </w:r>
      <w:r w:rsidR="0006618D" w:rsidRPr="00DA0821">
        <w:rPr>
          <w:rFonts w:ascii="Times New Roman" w:hAnsi="Times New Roman" w:cs="Times New Roman"/>
          <w:b/>
          <w:sz w:val="24"/>
          <w:szCs w:val="24"/>
        </w:rPr>
        <w:t>22</w:t>
      </w:r>
      <w:r w:rsidR="0006618D">
        <w:rPr>
          <w:rFonts w:ascii="Times New Roman" w:hAnsi="Times New Roman" w:cs="Times New Roman"/>
          <w:b/>
          <w:sz w:val="24"/>
          <w:szCs w:val="24"/>
        </w:rPr>
        <w:t>)</w:t>
      </w:r>
    </w:p>
    <w:p w:rsidR="00EF5FA4" w:rsidRPr="00726C45" w:rsidRDefault="00EF5FA4" w:rsidP="00EF5FA4">
      <w:pPr>
        <w:spacing w:line="240" w:lineRule="auto"/>
        <w:jc w:val="both"/>
        <w:rPr>
          <w:rFonts w:ascii="Times New Roman" w:hAnsi="Times New Roman" w:cs="Times New Roman"/>
          <w:sz w:val="24"/>
          <w:szCs w:val="24"/>
        </w:rPr>
      </w:pPr>
      <w:r>
        <w:rPr>
          <w:rFonts w:ascii="Times New Roman" w:hAnsi="Times New Roman" w:cs="Times New Roman"/>
          <w:sz w:val="24"/>
          <w:szCs w:val="24"/>
        </w:rPr>
        <w:t>Las conocidas como “</w:t>
      </w:r>
      <w:r w:rsidRPr="00726C45">
        <w:rPr>
          <w:rFonts w:ascii="Times New Roman" w:hAnsi="Times New Roman" w:cs="Times New Roman"/>
          <w:sz w:val="24"/>
          <w:szCs w:val="24"/>
        </w:rPr>
        <w:t>piedr</w:t>
      </w:r>
      <w:r>
        <w:rPr>
          <w:rFonts w:ascii="Times New Roman" w:hAnsi="Times New Roman" w:cs="Times New Roman"/>
          <w:sz w:val="24"/>
          <w:szCs w:val="24"/>
        </w:rPr>
        <w:t>as del hambre”</w:t>
      </w:r>
      <w:r w:rsidRPr="00726C45">
        <w:rPr>
          <w:rFonts w:ascii="Times New Roman" w:hAnsi="Times New Roman" w:cs="Times New Roman"/>
          <w:sz w:val="24"/>
          <w:szCs w:val="24"/>
        </w:rPr>
        <w:t xml:space="preserve"> son rocas en el lecho de los ríos que solo son visibles cuando los niveles del agua son extremadamente bajos.</w:t>
      </w:r>
    </w:p>
    <w:p w:rsidR="00EF5FA4" w:rsidRPr="00726C45" w:rsidRDefault="00EF5FA4" w:rsidP="00EF5FA4">
      <w:pPr>
        <w:spacing w:line="240" w:lineRule="auto"/>
        <w:jc w:val="both"/>
        <w:rPr>
          <w:rFonts w:ascii="Times New Roman" w:hAnsi="Times New Roman" w:cs="Times New Roman"/>
          <w:sz w:val="24"/>
          <w:szCs w:val="24"/>
        </w:rPr>
      </w:pPr>
      <w:r w:rsidRPr="00726C45">
        <w:rPr>
          <w:rFonts w:ascii="Times New Roman" w:hAnsi="Times New Roman" w:cs="Times New Roman"/>
          <w:sz w:val="24"/>
          <w:szCs w:val="24"/>
        </w:rPr>
        <w:t>Esculpidos en ellas, antiguos pueblos dejaron mensajes sobre las catástrofes desencadenadas por la falta de agua y recordatorios de las dificultades sufridas durante las sequías.</w:t>
      </w:r>
    </w:p>
    <w:p w:rsidR="00EF5FA4" w:rsidRPr="00726C45" w:rsidRDefault="00EF5FA4" w:rsidP="00EF5FA4">
      <w:pPr>
        <w:spacing w:line="240" w:lineRule="auto"/>
        <w:jc w:val="both"/>
        <w:rPr>
          <w:rFonts w:ascii="Times New Roman" w:hAnsi="Times New Roman" w:cs="Times New Roman"/>
          <w:sz w:val="24"/>
          <w:szCs w:val="24"/>
        </w:rPr>
      </w:pPr>
      <w:r w:rsidRPr="00726C45">
        <w:rPr>
          <w:rFonts w:ascii="Times New Roman" w:hAnsi="Times New Roman" w:cs="Times New Roman"/>
          <w:sz w:val="24"/>
          <w:szCs w:val="24"/>
        </w:rPr>
        <w:t>Las inscripciones se remontan a décadas y siglos atrás, explicó el usuario @Batallitass en un hilo de tuiter que se ha hecho viral estos días.</w:t>
      </w:r>
    </w:p>
    <w:p w:rsidR="00EF5FA4" w:rsidRPr="00726C45" w:rsidRDefault="00EF5FA4" w:rsidP="00EF5FA4">
      <w:pPr>
        <w:spacing w:line="240" w:lineRule="auto"/>
        <w:jc w:val="both"/>
        <w:rPr>
          <w:rFonts w:ascii="Times New Roman" w:hAnsi="Times New Roman" w:cs="Times New Roman"/>
          <w:sz w:val="24"/>
          <w:szCs w:val="24"/>
        </w:rPr>
      </w:pPr>
      <w:r w:rsidRPr="00726C45">
        <w:rPr>
          <w:rFonts w:ascii="Times New Roman" w:hAnsi="Times New Roman" w:cs="Times New Roman"/>
          <w:sz w:val="24"/>
          <w:szCs w:val="24"/>
        </w:rPr>
        <w:t xml:space="preserve">La inscripción más antigua encontrada en la cuenca del río Elba data de 1616 y está en alemán. </w:t>
      </w:r>
      <w:r>
        <w:rPr>
          <w:rFonts w:ascii="Times New Roman" w:hAnsi="Times New Roman" w:cs="Times New Roman"/>
          <w:sz w:val="24"/>
          <w:szCs w:val="24"/>
        </w:rPr>
        <w:t>Su traducción es “Si me ves, llora”</w:t>
      </w:r>
      <w:r w:rsidRPr="00726C45">
        <w:rPr>
          <w:rFonts w:ascii="Times New Roman" w:hAnsi="Times New Roman" w:cs="Times New Roman"/>
          <w:sz w:val="24"/>
          <w:szCs w:val="24"/>
        </w:rPr>
        <w:t>.</w:t>
      </w:r>
    </w:p>
    <w:p w:rsidR="00EF5FA4" w:rsidRDefault="00EF5FA4" w:rsidP="00EF5FA4">
      <w:pPr>
        <w:spacing w:line="240" w:lineRule="auto"/>
        <w:jc w:val="both"/>
        <w:rPr>
          <w:rFonts w:ascii="Times New Roman" w:hAnsi="Times New Roman" w:cs="Times New Roman"/>
          <w:b/>
          <w:sz w:val="24"/>
          <w:szCs w:val="24"/>
        </w:rPr>
      </w:pPr>
      <w:r w:rsidRPr="00D23073">
        <w:rPr>
          <w:rFonts w:ascii="Times New Roman" w:hAnsi="Times New Roman" w:cs="Times New Roman"/>
          <w:b/>
          <w:sz w:val="24"/>
          <w:szCs w:val="24"/>
        </w:rPr>
        <w:t>Nota: Tal vez, los “riders” del presente, deberían llevar en sus bicicletas, o ciclomotores, un mensaje similar, para que tengan en consideración los historiadores del futuro. “Las bicis del hambre”: “Si me ves, llora”. Un duro testimonio de la (nueva) Edad Media 5.0.</w:t>
      </w:r>
    </w:p>
    <w:p w:rsidR="00EF5FA4" w:rsidRPr="00D23073" w:rsidRDefault="00EF5FA4" w:rsidP="00EF5FA4">
      <w:pPr>
        <w:spacing w:line="240" w:lineRule="auto"/>
        <w:jc w:val="both"/>
        <w:rPr>
          <w:rFonts w:ascii="Times New Roman" w:hAnsi="Times New Roman" w:cs="Times New Roman"/>
          <w:b/>
          <w:sz w:val="24"/>
          <w:szCs w:val="24"/>
        </w:rPr>
      </w:pPr>
      <w:r>
        <w:rPr>
          <w:rFonts w:ascii="Times New Roman" w:hAnsi="Times New Roman" w:cs="Times New Roman"/>
          <w:b/>
          <w:sz w:val="24"/>
          <w:szCs w:val="24"/>
        </w:rPr>
        <w:t>A piñón fijo: Ciclistas de último recurso, falsos autónomos, atrapados entre la avaricia empresarial y la miseria propia, con un “chip” en el culo, para poder estar “siempre local</w:t>
      </w:r>
      <w:r w:rsidR="0006618D">
        <w:rPr>
          <w:rFonts w:ascii="Times New Roman" w:hAnsi="Times New Roman" w:cs="Times New Roman"/>
          <w:b/>
          <w:sz w:val="24"/>
          <w:szCs w:val="24"/>
        </w:rPr>
        <w:t>izables”, “siempre listos”, para ser</w:t>
      </w:r>
      <w:r>
        <w:rPr>
          <w:rFonts w:ascii="Times New Roman" w:hAnsi="Times New Roman" w:cs="Times New Roman"/>
          <w:b/>
          <w:sz w:val="24"/>
          <w:szCs w:val="24"/>
        </w:rPr>
        <w:t xml:space="preserve"> víctimas propiciatorias de la “gig ecomony”.  </w:t>
      </w:r>
    </w:p>
    <w:p w:rsidR="00EF5FA4" w:rsidRDefault="00EF5FA4" w:rsidP="00EF5FA4">
      <w:pPr>
        <w:spacing w:line="240" w:lineRule="auto"/>
        <w:jc w:val="both"/>
        <w:rPr>
          <w:rFonts w:ascii="Times New Roman" w:hAnsi="Times New Roman" w:cs="Times New Roman"/>
          <w:b/>
          <w:sz w:val="24"/>
          <w:szCs w:val="24"/>
        </w:rPr>
      </w:pPr>
      <w:r w:rsidRPr="00BB1D7A">
        <w:rPr>
          <w:rFonts w:ascii="Times New Roman" w:hAnsi="Times New Roman" w:cs="Times New Roman"/>
          <w:b/>
          <w:sz w:val="24"/>
          <w:szCs w:val="24"/>
        </w:rPr>
        <w:lastRenderedPageBreak/>
        <w:t>Los “millennials”: una generación que se soñaba “traders” o “bankers” de Wall Street</w:t>
      </w:r>
      <w:r w:rsidR="00A54B52">
        <w:rPr>
          <w:rFonts w:ascii="Times New Roman" w:hAnsi="Times New Roman" w:cs="Times New Roman"/>
          <w:b/>
          <w:sz w:val="24"/>
          <w:szCs w:val="24"/>
        </w:rPr>
        <w:t>,</w:t>
      </w:r>
      <w:r w:rsidRPr="00BB1D7A">
        <w:rPr>
          <w:rFonts w:ascii="Times New Roman" w:hAnsi="Times New Roman" w:cs="Times New Roman"/>
          <w:b/>
          <w:sz w:val="24"/>
          <w:szCs w:val="24"/>
        </w:rPr>
        <w:t xml:space="preserve"> y terminó siendo “riders” de Uber Eats, Glovo o Deliveroo</w:t>
      </w:r>
    </w:p>
    <w:p w:rsidR="00EF5FA4" w:rsidRDefault="00EF5FA4" w:rsidP="00EF5FA4">
      <w:pPr>
        <w:spacing w:line="240" w:lineRule="auto"/>
        <w:jc w:val="both"/>
        <w:rPr>
          <w:rFonts w:ascii="Times New Roman" w:hAnsi="Times New Roman" w:cs="Times New Roman"/>
          <w:sz w:val="24"/>
          <w:szCs w:val="24"/>
        </w:rPr>
      </w:pPr>
      <w:r>
        <w:rPr>
          <w:rFonts w:ascii="Times New Roman" w:hAnsi="Times New Roman" w:cs="Times New Roman"/>
          <w:sz w:val="24"/>
          <w:szCs w:val="24"/>
        </w:rPr>
        <w:t>S</w:t>
      </w:r>
      <w:r w:rsidRPr="00BB1D7A">
        <w:rPr>
          <w:rFonts w:ascii="Times New Roman" w:hAnsi="Times New Roman" w:cs="Times New Roman"/>
          <w:sz w:val="24"/>
          <w:szCs w:val="24"/>
        </w:rPr>
        <w:t>on los hijos de la crisis, se les conoce como la generación mejor preparada de la historia y, sin embargo, es la más vulnerable. La que, por primera vez en mucho tiempo, vive peor que sus padres.</w:t>
      </w:r>
    </w:p>
    <w:p w:rsidR="00EF5FA4" w:rsidRDefault="00EF5FA4" w:rsidP="00EF5FA4">
      <w:pPr>
        <w:spacing w:line="240" w:lineRule="auto"/>
        <w:jc w:val="both"/>
        <w:rPr>
          <w:rFonts w:ascii="Times New Roman" w:hAnsi="Times New Roman" w:cs="Times New Roman"/>
          <w:sz w:val="24"/>
          <w:szCs w:val="24"/>
        </w:rPr>
      </w:pPr>
      <w:r>
        <w:rPr>
          <w:rFonts w:ascii="Times New Roman" w:hAnsi="Times New Roman" w:cs="Times New Roman"/>
          <w:sz w:val="24"/>
          <w:szCs w:val="24"/>
        </w:rPr>
        <w:t>Los jóvenes europeos</w:t>
      </w:r>
      <w:r w:rsidRPr="00BB1D7A">
        <w:rPr>
          <w:rFonts w:ascii="Times New Roman" w:hAnsi="Times New Roman" w:cs="Times New Roman"/>
          <w:sz w:val="24"/>
          <w:szCs w:val="24"/>
        </w:rPr>
        <w:t xml:space="preserve"> nacidos entre los años 80 y los 2000 ya llevan dos crisis a cuestas. Cuando parecía que salían a flote tras el shock de 2008, la ola del COVID-19 les ha vuelto a hundir. A día de hoy</w:t>
      </w:r>
      <w:r>
        <w:rPr>
          <w:rFonts w:ascii="Times New Roman" w:hAnsi="Times New Roman" w:cs="Times New Roman"/>
          <w:sz w:val="24"/>
          <w:szCs w:val="24"/>
        </w:rPr>
        <w:t xml:space="preserve"> (invasión de Ucrania, desabastecimiento, inflación…),</w:t>
      </w:r>
      <w:r w:rsidRPr="00BB1D7A">
        <w:rPr>
          <w:rFonts w:ascii="Times New Roman" w:hAnsi="Times New Roman" w:cs="Times New Roman"/>
          <w:sz w:val="24"/>
          <w:szCs w:val="24"/>
        </w:rPr>
        <w:t xml:space="preserve"> siguen siendo las principales víctimas del mercado laboral.</w:t>
      </w:r>
    </w:p>
    <w:p w:rsidR="00EF5FA4" w:rsidRDefault="00EF5FA4" w:rsidP="00EF5FA4">
      <w:pPr>
        <w:spacing w:line="240" w:lineRule="auto"/>
        <w:jc w:val="both"/>
        <w:rPr>
          <w:rFonts w:ascii="Times New Roman" w:hAnsi="Times New Roman" w:cs="Times New Roman"/>
          <w:sz w:val="24"/>
          <w:szCs w:val="24"/>
        </w:rPr>
      </w:pPr>
      <w:r w:rsidRPr="00BB1D7A">
        <w:rPr>
          <w:rFonts w:ascii="Times New Roman" w:hAnsi="Times New Roman" w:cs="Times New Roman"/>
          <w:sz w:val="24"/>
          <w:szCs w:val="24"/>
        </w:rPr>
        <w:t>Conseguir empleo es una carrera de obstáculos para los jóvenes. Pero no termina ahí. Quien al fin consigue firmar un contrato empieza una nueva: lograr pasar de temporal a fijo.El temporal es el contrato estrella para los jóvenes, y el indefinido, una rara avis.</w:t>
      </w:r>
    </w:p>
    <w:p w:rsidR="00EF5FA4" w:rsidRDefault="00EF5FA4" w:rsidP="00EF5FA4">
      <w:pPr>
        <w:spacing w:line="240" w:lineRule="auto"/>
        <w:jc w:val="both"/>
        <w:rPr>
          <w:rFonts w:ascii="Times New Roman" w:hAnsi="Times New Roman" w:cs="Times New Roman"/>
          <w:sz w:val="24"/>
          <w:szCs w:val="24"/>
        </w:rPr>
      </w:pPr>
      <w:r w:rsidRPr="000E1145">
        <w:rPr>
          <w:rFonts w:ascii="Times New Roman" w:hAnsi="Times New Roman" w:cs="Times New Roman"/>
          <w:sz w:val="24"/>
          <w:szCs w:val="24"/>
        </w:rPr>
        <w:t xml:space="preserve">Desempleo, bajos salarios, inestabilidad en los contratos, pocas posibilidades de promoción y otras carencias laborales, como tener una jornada parcial involuntaria, hacer horas extra no remuneradas o estar sobrecualificado son las variables que miden la precariedad en el empleo, </w:t>
      </w:r>
      <w:r>
        <w:rPr>
          <w:rFonts w:ascii="Times New Roman" w:hAnsi="Times New Roman" w:cs="Times New Roman"/>
          <w:sz w:val="24"/>
          <w:szCs w:val="24"/>
        </w:rPr>
        <w:t xml:space="preserve">y los jóvenes las sufren todas. </w:t>
      </w:r>
      <w:r w:rsidRPr="000E1145">
        <w:rPr>
          <w:rFonts w:ascii="Times New Roman" w:hAnsi="Times New Roman" w:cs="Times New Roman"/>
          <w:sz w:val="24"/>
          <w:szCs w:val="24"/>
        </w:rPr>
        <w:t>Es el colectivo que afronta las peores co</w:t>
      </w:r>
      <w:r>
        <w:rPr>
          <w:rFonts w:ascii="Times New Roman" w:hAnsi="Times New Roman" w:cs="Times New Roman"/>
          <w:sz w:val="24"/>
          <w:szCs w:val="24"/>
        </w:rPr>
        <w:t>ndiciones laborales relativas, y sufre</w:t>
      </w:r>
      <w:r w:rsidRPr="000E1145">
        <w:rPr>
          <w:rFonts w:ascii="Times New Roman" w:hAnsi="Times New Roman" w:cs="Times New Roman"/>
          <w:sz w:val="24"/>
          <w:szCs w:val="24"/>
        </w:rPr>
        <w:t xml:space="preserve"> niveles de prec</w:t>
      </w:r>
      <w:r>
        <w:rPr>
          <w:rFonts w:ascii="Times New Roman" w:hAnsi="Times New Roman" w:cs="Times New Roman"/>
          <w:sz w:val="24"/>
          <w:szCs w:val="24"/>
        </w:rPr>
        <w:t>ariedad insoportablemente altos, según los expertos.</w:t>
      </w:r>
    </w:p>
    <w:p w:rsidR="00EF5FA4" w:rsidRDefault="00EF5FA4" w:rsidP="00EF5FA4">
      <w:pPr>
        <w:spacing w:line="240" w:lineRule="auto"/>
        <w:jc w:val="both"/>
        <w:rPr>
          <w:rFonts w:ascii="Times New Roman" w:hAnsi="Times New Roman" w:cs="Times New Roman"/>
          <w:sz w:val="24"/>
          <w:szCs w:val="24"/>
        </w:rPr>
      </w:pPr>
      <w:r w:rsidRPr="00BB1D7A">
        <w:rPr>
          <w:rFonts w:ascii="Times New Roman" w:hAnsi="Times New Roman" w:cs="Times New Roman"/>
          <w:sz w:val="24"/>
          <w:szCs w:val="24"/>
        </w:rPr>
        <w:t>A la hora de hablar de salarios, los jó</w:t>
      </w:r>
      <w:r>
        <w:rPr>
          <w:rFonts w:ascii="Times New Roman" w:hAnsi="Times New Roman" w:cs="Times New Roman"/>
          <w:sz w:val="24"/>
          <w:szCs w:val="24"/>
        </w:rPr>
        <w:t>venes se llevan la peor parte. En el caso de España, l</w:t>
      </w:r>
      <w:r w:rsidRPr="00BB1D7A">
        <w:rPr>
          <w:rFonts w:ascii="Times New Roman" w:hAnsi="Times New Roman" w:cs="Times New Roman"/>
          <w:sz w:val="24"/>
          <w:szCs w:val="24"/>
        </w:rPr>
        <w:t>os menores de 35 cobran 815 euros al mes menos que los trabajadores de más de 45 años. Casi la mitad.</w:t>
      </w:r>
      <w:r w:rsidRPr="000E1145">
        <w:rPr>
          <w:rFonts w:ascii="Times New Roman" w:hAnsi="Times New Roman" w:cs="Times New Roman"/>
          <w:sz w:val="24"/>
          <w:szCs w:val="24"/>
        </w:rPr>
        <w:t>Los datos del INE sobre salarios evidencian la brecha salarial que sufren los jóvenes: Mientras que el salario medio bruto de los mayores de 45 años se situó en 2.280 euros al mes en 2020, los menores de 35 cobran de media 1.465 euros mensuales, 815 euros al mes menos.</w:t>
      </w:r>
      <w:r>
        <w:rPr>
          <w:rFonts w:ascii="Times New Roman" w:hAnsi="Times New Roman" w:cs="Times New Roman"/>
          <w:sz w:val="24"/>
          <w:szCs w:val="24"/>
        </w:rPr>
        <w:t xml:space="preserve"> (Fuente: Business Insider España - </w:t>
      </w:r>
      <w:r w:rsidRPr="00A02398">
        <w:rPr>
          <w:rFonts w:ascii="Times New Roman" w:hAnsi="Times New Roman" w:cs="Times New Roman"/>
          <w:b/>
          <w:sz w:val="24"/>
          <w:szCs w:val="24"/>
        </w:rPr>
        <w:t>15/1/22</w:t>
      </w:r>
      <w:r>
        <w:rPr>
          <w:rFonts w:ascii="Times New Roman" w:hAnsi="Times New Roman" w:cs="Times New Roman"/>
          <w:sz w:val="24"/>
          <w:szCs w:val="24"/>
        </w:rPr>
        <w:t>)</w:t>
      </w:r>
    </w:p>
    <w:p w:rsidR="00EF5FA4" w:rsidRPr="00D23073" w:rsidRDefault="0006618D" w:rsidP="00EF5FA4">
      <w:pPr>
        <w:spacing w:line="240" w:lineRule="auto"/>
        <w:jc w:val="both"/>
        <w:rPr>
          <w:rFonts w:ascii="Times New Roman" w:hAnsi="Times New Roman" w:cs="Times New Roman"/>
          <w:b/>
          <w:sz w:val="24"/>
          <w:szCs w:val="24"/>
        </w:rPr>
      </w:pPr>
      <w:r>
        <w:rPr>
          <w:rFonts w:ascii="Times New Roman" w:hAnsi="Times New Roman" w:cs="Times New Roman"/>
          <w:b/>
          <w:sz w:val="24"/>
          <w:szCs w:val="24"/>
        </w:rPr>
        <w:t>Crónica de un fracaso anunciado: b</w:t>
      </w:r>
      <w:r w:rsidR="00EF5FA4">
        <w:rPr>
          <w:rFonts w:ascii="Times New Roman" w:hAnsi="Times New Roman" w:cs="Times New Roman"/>
          <w:b/>
          <w:sz w:val="24"/>
          <w:szCs w:val="24"/>
        </w:rPr>
        <w:t>reve recorrido</w:t>
      </w:r>
      <w:r w:rsidR="00EF5FA4" w:rsidRPr="00D23073">
        <w:rPr>
          <w:rFonts w:ascii="Times New Roman" w:hAnsi="Times New Roman" w:cs="Times New Roman"/>
          <w:b/>
          <w:sz w:val="24"/>
          <w:szCs w:val="24"/>
        </w:rPr>
        <w:t xml:space="preserve"> por la “maldita” hemeroteca</w:t>
      </w:r>
    </w:p>
    <w:p w:rsidR="00EF5FA4" w:rsidRPr="00A02398" w:rsidRDefault="00EF5FA4" w:rsidP="00EF5FA4">
      <w:pPr>
        <w:pStyle w:val="Ttulo1"/>
        <w:spacing w:before="0" w:beforeAutospacing="0" w:after="360" w:afterAutospacing="0"/>
        <w:jc w:val="both"/>
        <w:rPr>
          <w:b w:val="0"/>
          <w:bCs w:val="0"/>
          <w:sz w:val="24"/>
          <w:szCs w:val="24"/>
        </w:rPr>
      </w:pPr>
      <w:r>
        <w:rPr>
          <w:b w:val="0"/>
          <w:bCs w:val="0"/>
          <w:sz w:val="24"/>
          <w:szCs w:val="24"/>
        </w:rPr>
        <w:t xml:space="preserve">- </w:t>
      </w:r>
      <w:r w:rsidRPr="00A02398">
        <w:rPr>
          <w:b w:val="0"/>
          <w:bCs w:val="0"/>
          <w:sz w:val="24"/>
          <w:szCs w:val="24"/>
          <w:u w:val="single"/>
        </w:rPr>
        <w:t>Jóvenes entre dos crisis: precariedad laboral y emancipación a los 30</w:t>
      </w:r>
      <w:r>
        <w:rPr>
          <w:b w:val="0"/>
          <w:bCs w:val="0"/>
          <w:sz w:val="24"/>
          <w:szCs w:val="24"/>
        </w:rPr>
        <w:t xml:space="preserve"> (El Confidencial - </w:t>
      </w:r>
      <w:r w:rsidRPr="00A02398">
        <w:rPr>
          <w:bCs w:val="0"/>
          <w:sz w:val="24"/>
          <w:szCs w:val="24"/>
        </w:rPr>
        <w:t>2/3/21</w:t>
      </w:r>
      <w:r>
        <w:rPr>
          <w:b w:val="0"/>
          <w:bCs w:val="0"/>
          <w:sz w:val="24"/>
          <w:szCs w:val="24"/>
        </w:rPr>
        <w:t>)</w:t>
      </w:r>
    </w:p>
    <w:p w:rsidR="00EF5FA4" w:rsidRPr="00A02398" w:rsidRDefault="00EF5FA4" w:rsidP="00EF5FA4">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A02398">
        <w:rPr>
          <w:rFonts w:ascii="Times New Roman" w:hAnsi="Times New Roman" w:cs="Times New Roman"/>
          <w:sz w:val="24"/>
          <w:szCs w:val="24"/>
        </w:rPr>
        <w:t>Por </w:t>
      </w:r>
      <w:hyperlink r:id="rId18" w:history="1">
        <w:r w:rsidRPr="00A54B52">
          <w:rPr>
            <w:rStyle w:val="Hipervnculo"/>
            <w:rFonts w:ascii="Times New Roman" w:hAnsi="Times New Roman" w:cs="Times New Roman"/>
            <w:bCs/>
            <w:color w:val="auto"/>
            <w:sz w:val="24"/>
            <w:szCs w:val="24"/>
            <w:u w:val="none"/>
          </w:rPr>
          <w:t>Rocío Romero</w:t>
        </w:r>
      </w:hyperlink>
      <w:r>
        <w:rPr>
          <w:rFonts w:ascii="Times New Roman" w:hAnsi="Times New Roman" w:cs="Times New Roman"/>
          <w:sz w:val="24"/>
          <w:szCs w:val="24"/>
        </w:rPr>
        <w:t>)</w:t>
      </w:r>
    </w:p>
    <w:p w:rsidR="00EF5FA4" w:rsidRPr="00A02398" w:rsidRDefault="00EF5FA4" w:rsidP="00EF5FA4">
      <w:pPr>
        <w:pStyle w:val="NormalWeb"/>
        <w:spacing w:before="0" w:beforeAutospacing="0" w:after="360" w:afterAutospacing="0"/>
        <w:jc w:val="both"/>
      </w:pPr>
      <w:r w:rsidRPr="00A02398">
        <w:t>Hace 50 años, muchos jóvenes no hubieran contemplado la posibilidad de vivir bajo el techo de sus padres a los 30, tener su primer hijo una vez superados los 35 o pagar una hipoteca durante medio siglo. Hoy, sin embargo, es la realidad de una generación que, si bien ya empezaba a divisar algo de luz </w:t>
      </w:r>
      <w:r w:rsidRPr="00A02398">
        <w:rPr>
          <w:rStyle w:val="Textoennegrita"/>
          <w:b w:val="0"/>
        </w:rPr>
        <w:t>tras la crisis financiera de 2008</w:t>
      </w:r>
      <w:r w:rsidRPr="00A02398">
        <w:t>, ahora tendrá que lidiar con las consecuencias de una pandemia que ha causado fuertes estragos en la sociedad. España cerró 2020 con la peor tasa de desempleo juvenil de toda la Unión Europea: </w:t>
      </w:r>
      <w:r w:rsidRPr="00A02398">
        <w:rPr>
          <w:rStyle w:val="Textoennegrita"/>
          <w:b w:val="0"/>
        </w:rPr>
        <w:t>cuatro de cada 10 personas</w:t>
      </w:r>
      <w:r w:rsidRPr="00A02398">
        <w:t> menores de 25 años están en paro, y el 25% de los comprendidos entre los 25 y los 30 años tampoco tienen trabajo, según la Encuesta de Población Activa (EPA) del INE.</w:t>
      </w:r>
    </w:p>
    <w:p w:rsidR="00EF5FA4" w:rsidRPr="00A02398" w:rsidRDefault="00EF5FA4" w:rsidP="00EF5FA4">
      <w:pPr>
        <w:pStyle w:val="NormalWeb"/>
        <w:spacing w:before="0" w:beforeAutospacing="0" w:after="360" w:afterAutospacing="0"/>
        <w:jc w:val="both"/>
      </w:pPr>
      <w:r w:rsidRPr="00A02398">
        <w:t>En consecuencia, las expectativas de los jóvenes han cambiado. La frustración crece, y los inte</w:t>
      </w:r>
      <w:r>
        <w:t>grantes de estas generaciones (“millennials” y “centennials”</w:t>
      </w:r>
      <w:r w:rsidRPr="00A02398">
        <w:t>) ya no miran la vida con las mismas gafas de futuro que sus padres. ¿Por qué hemos llegado a este punto? ¿Qué responsabilidad tienen las generaciones anteriores? ¿Cómo podemos mejorar la situación? Estas son algunas de las cuestiones que se abordaron en la mesa redonda </w:t>
      </w:r>
      <w:r w:rsidRPr="00A02398">
        <w:rPr>
          <w:rStyle w:val="Textoennegrita"/>
          <w:b w:val="0"/>
        </w:rPr>
        <w:t>‘La crisis continúa</w:t>
      </w:r>
      <w:r w:rsidRPr="00A02398">
        <w:t>’, la primera de un ciclo de cuatro encuentros organizados por El Confidencial de la mano de Fundación la Caixa. En ella participaron </w:t>
      </w:r>
      <w:r w:rsidRPr="00A02398">
        <w:rPr>
          <w:rStyle w:val="Textoennegrita"/>
          <w:b w:val="0"/>
        </w:rPr>
        <w:t>Idoia de Paz</w:t>
      </w:r>
      <w:r w:rsidRPr="00A02398">
        <w:t xml:space="preserve">, directora de Consultoría del área de </w:t>
      </w:r>
      <w:r w:rsidRPr="00A02398">
        <w:lastRenderedPageBreak/>
        <w:t>Human Capital de Deloitte España; </w:t>
      </w:r>
      <w:r w:rsidRPr="00A02398">
        <w:rPr>
          <w:rStyle w:val="Textoennegrita"/>
          <w:b w:val="0"/>
        </w:rPr>
        <w:t>Josep Sala i Cullell</w:t>
      </w:r>
      <w:r>
        <w:t>, autor del libro “La generación tapón”</w:t>
      </w:r>
      <w:r w:rsidRPr="00A02398">
        <w:t>, y </w:t>
      </w:r>
      <w:r w:rsidRPr="00A02398">
        <w:rPr>
          <w:rStyle w:val="Textoennegrita"/>
          <w:b w:val="0"/>
        </w:rPr>
        <w:t>Germán Sánchez</w:t>
      </w:r>
      <w:r w:rsidRPr="00A02398">
        <w:t>, creador de contenidos.</w:t>
      </w:r>
    </w:p>
    <w:p w:rsidR="00EF5FA4" w:rsidRPr="00A02398" w:rsidRDefault="00EF5FA4" w:rsidP="00EF5FA4">
      <w:pPr>
        <w:pStyle w:val="NormalWeb"/>
        <w:spacing w:before="0" w:beforeAutospacing="0" w:after="360" w:afterAutospacing="0"/>
        <w:jc w:val="both"/>
      </w:pPr>
      <w:r w:rsidRPr="00A02398">
        <w:t xml:space="preserve">Las nuevas generaciones han cambiado su forma de actuar y de pensar con respecto a las generaciones anteriores, pero ¿han variado sus preocupaciones? Tras varios años </w:t>
      </w:r>
      <w:r>
        <w:t>estudiando las expectativas de “millennials” (nacidos entre 1981 y 1995) y “centennials”</w:t>
      </w:r>
      <w:r w:rsidRPr="00A02398">
        <w:t xml:space="preserve"> (entre 1996 y 2005), la enc</w:t>
      </w:r>
      <w:r>
        <w:t>uesta “</w:t>
      </w:r>
      <w:hyperlink r:id="rId19" w:tgtFrame="_blank" w:history="1">
        <w:r w:rsidRPr="00E431F8">
          <w:rPr>
            <w:rStyle w:val="Hipervnculo"/>
            <w:bCs/>
            <w:color w:val="auto"/>
            <w:u w:val="none"/>
          </w:rPr>
          <w:t>Global Millennial Survey 2020</w:t>
        </w:r>
      </w:hyperlink>
      <w:r w:rsidRPr="00D23073">
        <w:t>”</w:t>
      </w:r>
      <w:r w:rsidRPr="00A02398">
        <w:t xml:space="preserve"> demuestra que, en el ámbito personal, los jóvenes están preocupados por todo lo relacionado con el trabajo, la carrera, la f</w:t>
      </w:r>
      <w:r>
        <w:t>amilia y las finanzas. Además, “</w:t>
      </w:r>
      <w:r w:rsidRPr="00A02398">
        <w:t>la crisis sanitaria del coronavirus ha jugado un papel fundamental a la hora de dete</w:t>
      </w:r>
      <w:r>
        <w:t>rminar sus inquietudes globales”</w:t>
      </w:r>
      <w:r w:rsidRPr="00A02398">
        <w:t>, explicó </w:t>
      </w:r>
      <w:r w:rsidRPr="00A02398">
        <w:rPr>
          <w:rStyle w:val="Textoennegrita"/>
          <w:b w:val="0"/>
        </w:rPr>
        <w:t>Idoia de Paz</w:t>
      </w:r>
      <w:r w:rsidRPr="00A02398">
        <w:t>, directora de Consultoría del área de Human Capital de Deloitte E</w:t>
      </w:r>
      <w:r>
        <w:t>spaña. “</w:t>
      </w:r>
      <w:r w:rsidRPr="00A02398">
        <w:t>Durante el último año, ha aumentado la preocupación de los jóvenes por </w:t>
      </w:r>
      <w:r w:rsidRPr="00A02398">
        <w:rPr>
          <w:rStyle w:val="Textoennegrita"/>
          <w:b w:val="0"/>
        </w:rPr>
        <w:t>la salud y</w:t>
      </w:r>
      <w:r w:rsidRPr="00A02398">
        <w:t> </w:t>
      </w:r>
      <w:r w:rsidRPr="00A02398">
        <w:rPr>
          <w:rStyle w:val="Textoennegrita"/>
          <w:b w:val="0"/>
        </w:rPr>
        <w:t>el cambio climático</w:t>
      </w:r>
      <w:r w:rsidRPr="00A02398">
        <w:t>. Además, su</w:t>
      </w:r>
      <w:r w:rsidRPr="00A02398">
        <w:rPr>
          <w:rStyle w:val="Textoennegrita"/>
          <w:b w:val="0"/>
        </w:rPr>
        <w:t> lealtad hacia las organizaciones</w:t>
      </w:r>
      <w:r w:rsidRPr="00A02398">
        <w:t> se ha disparado porque, en general, valoran positivamente la gestión que han hecho las empresas de la pandemia”, señaló De Paz. </w:t>
      </w:r>
    </w:p>
    <w:p w:rsidR="00EF5FA4" w:rsidRPr="00A02398" w:rsidRDefault="00EF5FA4" w:rsidP="00EF5FA4">
      <w:pPr>
        <w:pStyle w:val="NormalWeb"/>
        <w:spacing w:before="0" w:beforeAutospacing="0" w:after="360" w:afterAutospacing="0"/>
        <w:jc w:val="both"/>
      </w:pPr>
      <w:r w:rsidRPr="00A02398">
        <w:t>Estudia en la universidad, consigue un trabajo estable, cómprate un piso y trae hijos al mundo. Los jóvenes que pertenecieron a la</w:t>
      </w:r>
      <w:r w:rsidRPr="00A02398">
        <w:rPr>
          <w:rStyle w:val="Textoennegrita"/>
          <w:b w:val="0"/>
        </w:rPr>
        <w:t> generación X</w:t>
      </w:r>
      <w:r w:rsidRPr="00A02398">
        <w:t> (nacidos entre 1966 y 1980), los que constituyen la </w:t>
      </w:r>
      <w:r w:rsidRPr="00A02398">
        <w:rPr>
          <w:rStyle w:val="Textoennegrita"/>
          <w:b w:val="0"/>
        </w:rPr>
        <w:t>generación Y</w:t>
      </w:r>
      <w:r>
        <w:t> (“millennials”</w:t>
      </w:r>
      <w:r w:rsidRPr="00A02398">
        <w:t>) y </w:t>
      </w:r>
      <w:r w:rsidRPr="00A02398">
        <w:rPr>
          <w:rStyle w:val="Textoennegrita"/>
          <w:b w:val="0"/>
        </w:rPr>
        <w:t>la Z </w:t>
      </w:r>
      <w:r>
        <w:t>(“centennials”</w:t>
      </w:r>
      <w:r w:rsidRPr="00A02398">
        <w:t xml:space="preserve">) han crecido escuchando estos consejos de sus mayores, con una única diferencia: la generación X siguió estas lecciones, la Y las puso en duda y la Z ya no confía en nada de esto, según </w:t>
      </w:r>
      <w:r>
        <w:t>Josep Sala i Cullell, autor de “</w:t>
      </w:r>
      <w:r w:rsidRPr="00A02398">
        <w:t>La generación tapón</w:t>
      </w:r>
      <w:r>
        <w:t>”: “La vida de las generaciones “millennial” y “centennial”</w:t>
      </w:r>
      <w:r w:rsidRPr="00A02398">
        <w:t xml:space="preserve"> ha estado condicionada por la crisis de 2008 y la pandemia del coronavirus. Ese discurso no es real para ellos, por eso muchos están </w:t>
      </w:r>
      <w:r w:rsidRPr="00A02398">
        <w:rPr>
          <w:rStyle w:val="Textoennegrita"/>
          <w:b w:val="0"/>
        </w:rPr>
        <w:t>en las calles protestando</w:t>
      </w:r>
      <w:r w:rsidRPr="00A02398">
        <w:t>. Los hemos educado diciéndoles que luchen por sus derechos y es ahora cuando estamos viendo esa lucha”, añadió. </w:t>
      </w:r>
    </w:p>
    <w:p w:rsidR="00EF5FA4" w:rsidRPr="00A02398" w:rsidRDefault="00EF5FA4" w:rsidP="00EF5FA4">
      <w:pPr>
        <w:pStyle w:val="NormalWeb"/>
        <w:spacing w:before="0" w:beforeAutospacing="0" w:after="360" w:afterAutospacing="0"/>
        <w:jc w:val="both"/>
      </w:pPr>
      <w:r w:rsidRPr="00A02398">
        <w:t>Para Sala i Cullel, la responsabilidad de que los jóvenes se vean en esta situación recae sobre los hombros de una ge</w:t>
      </w:r>
      <w:r>
        <w:t>neración previa a la que llama “generación tapón” -</w:t>
      </w:r>
      <w:r w:rsidRPr="00A02398">
        <w:t>nacidos entr</w:t>
      </w:r>
      <w:r>
        <w:t>e 1943 y 1963-</w:t>
      </w:r>
      <w:r w:rsidRPr="00A02398">
        <w:t>, y que, según él, lleva dominando durante años el espectro político, los consejos de administración y los medios de comunicación: “Esta generación considera que nos ha traído la democracia y la modernidad, pero lo cierto es que sus políticas se han enfocado siempre en protegerse a ellos mismos”. El autor del libro con el nombre de esa generación ejemplificó que, durante la crisis de 2008, el Gobierno de</w:t>
      </w:r>
      <w:r w:rsidRPr="00A02398">
        <w:rPr>
          <w:rStyle w:val="Textoennegrita"/>
          <w:b w:val="0"/>
        </w:rPr>
        <w:t> Zapatero</w:t>
      </w:r>
      <w:r w:rsidRPr="00A02398">
        <w:t> recortó las ayudas al alquiler y subió las tasas de las universidades: “Estas medidas afectaron a los jóvenes. Sin embargo</w:t>
      </w:r>
      <w:r w:rsidRPr="00A02398">
        <w:rPr>
          <w:rStyle w:val="Textoennegrita"/>
          <w:b w:val="0"/>
        </w:rPr>
        <w:t> las pensiones </w:t>
      </w:r>
      <w:r w:rsidRPr="00A02398">
        <w:t>no se tocaron”, reflexionó el escritor. ¿Qué pasará entonces? “Que la generación tapón será la única que vivirá plenamente el </w:t>
      </w:r>
      <w:r w:rsidRPr="00A02398">
        <w:rPr>
          <w:rStyle w:val="Textoennegrita"/>
          <w:b w:val="0"/>
        </w:rPr>
        <w:t>estado de bienestar,</w:t>
      </w:r>
      <w:r w:rsidRPr="00A02398">
        <w:t> porque cobrará sus pensiones, que se están pagando con </w:t>
      </w:r>
      <w:r w:rsidRPr="00A02398">
        <w:rPr>
          <w:rStyle w:val="Textoennegrita"/>
          <w:b w:val="0"/>
        </w:rPr>
        <w:t>deuda pública </w:t>
      </w:r>
      <w:r w:rsidRPr="00A02398">
        <w:t>y que las generaciones posteriores seguirán pagando dentro de 40 años”, añadió Sala i Cullel.</w:t>
      </w:r>
    </w:p>
    <w:p w:rsidR="00EF5FA4" w:rsidRPr="00A02398" w:rsidRDefault="00EF5FA4" w:rsidP="00EF5FA4">
      <w:pPr>
        <w:pStyle w:val="Ttulo2"/>
        <w:spacing w:before="240" w:after="240" w:line="240" w:lineRule="auto"/>
        <w:jc w:val="both"/>
        <w:rPr>
          <w:rFonts w:ascii="Times New Roman" w:hAnsi="Times New Roman" w:cs="Times New Roman"/>
          <w:b w:val="0"/>
          <w:color w:val="auto"/>
          <w:sz w:val="24"/>
          <w:szCs w:val="24"/>
        </w:rPr>
      </w:pPr>
      <w:r w:rsidRPr="00A02398">
        <w:rPr>
          <w:rFonts w:ascii="Times New Roman" w:hAnsi="Times New Roman" w:cs="Times New Roman"/>
          <w:b w:val="0"/>
          <w:color w:val="auto"/>
          <w:sz w:val="24"/>
          <w:szCs w:val="24"/>
        </w:rPr>
        <w:t>Más formación, menos empleo y más precari</w:t>
      </w:r>
      <w:r>
        <w:rPr>
          <w:rFonts w:ascii="Times New Roman" w:hAnsi="Times New Roman" w:cs="Times New Roman"/>
          <w:b w:val="0"/>
          <w:color w:val="auto"/>
          <w:sz w:val="24"/>
          <w:szCs w:val="24"/>
        </w:rPr>
        <w:t>e</w:t>
      </w:r>
      <w:r w:rsidRPr="00A02398">
        <w:rPr>
          <w:rFonts w:ascii="Times New Roman" w:hAnsi="Times New Roman" w:cs="Times New Roman"/>
          <w:b w:val="0"/>
          <w:color w:val="auto"/>
          <w:sz w:val="24"/>
          <w:szCs w:val="24"/>
        </w:rPr>
        <w:t>dad</w:t>
      </w:r>
    </w:p>
    <w:p w:rsidR="00EF5FA4" w:rsidRPr="00A02398" w:rsidRDefault="00EF5FA4" w:rsidP="00EF5FA4">
      <w:pPr>
        <w:pStyle w:val="NormalWeb"/>
        <w:spacing w:before="0" w:beforeAutospacing="0" w:after="360" w:afterAutospacing="0"/>
        <w:jc w:val="both"/>
      </w:pPr>
      <w:r w:rsidRPr="00A02398">
        <w:t>Las nuevas generaciones tienen dificultades para encontrar un empleo estable a pesar de contar con estudios superiores. “Somos una generación formada, nos hemos hecho unas expectativas de futuro y</w:t>
      </w:r>
      <w:r>
        <w:t xml:space="preserve"> vemos cómo no se van a cumplir”</w:t>
      </w:r>
      <w:r w:rsidRPr="00A02398">
        <w:t>. Es la visión de</w:t>
      </w:r>
      <w:r w:rsidRPr="00A02398">
        <w:rPr>
          <w:rStyle w:val="Textoennegrita"/>
          <w:b w:val="0"/>
        </w:rPr>
        <w:t> Germán Sánchez</w:t>
      </w:r>
      <w:r w:rsidRPr="00A02398">
        <w:t>, creador de contenidos, que a sus 26 años ya ha vivido en sus propias carnes las dificultades pa</w:t>
      </w:r>
      <w:r>
        <w:t>ra acceder al mundo laboral: “</w:t>
      </w:r>
      <w:r w:rsidRPr="00A02398">
        <w:t>En la actualidad, tener un trabajo estable ya no nos garantiza cubrir nuestras</w:t>
      </w:r>
      <w:r w:rsidRPr="00A02398">
        <w:rPr>
          <w:rStyle w:val="Textoennegrita"/>
          <w:b w:val="0"/>
        </w:rPr>
        <w:t> necesidades básicas</w:t>
      </w:r>
      <w:r w:rsidRPr="00A02398">
        <w:t>. Es frustrante y no vemos una solución a corto plazo”, señaló.</w:t>
      </w:r>
    </w:p>
    <w:p w:rsidR="00EF5FA4" w:rsidRPr="00A02398" w:rsidRDefault="00EF5FA4" w:rsidP="00EF5FA4">
      <w:pPr>
        <w:pStyle w:val="NormalWeb"/>
        <w:spacing w:before="0" w:beforeAutospacing="0" w:after="360" w:afterAutospacing="0"/>
        <w:jc w:val="both"/>
      </w:pPr>
      <w:r w:rsidRPr="00A02398">
        <w:lastRenderedPageBreak/>
        <w:t>La </w:t>
      </w:r>
      <w:r w:rsidRPr="00A02398">
        <w:rPr>
          <w:rStyle w:val="Textoennegrita"/>
          <w:b w:val="0"/>
        </w:rPr>
        <w:t>precariedad laboral </w:t>
      </w:r>
      <w:r w:rsidRPr="00A02398">
        <w:t>es uno de los grandes problemas que definen el panorama actual: más de la mitad de los contratos de los jóvenes </w:t>
      </w:r>
      <w:r w:rsidRPr="00A02398">
        <w:rPr>
          <w:rStyle w:val="Textoennegrita"/>
          <w:b w:val="0"/>
        </w:rPr>
        <w:t>menores de 30 años</w:t>
      </w:r>
      <w:r w:rsidRPr="00A02398">
        <w:t> son temporales, según el INE. ¿Dónde están las soluciones?</w:t>
      </w:r>
      <w:r>
        <w:t xml:space="preserve"> Como miembro de la generación “millennial”</w:t>
      </w:r>
      <w:r w:rsidRPr="00A02398">
        <w:t>, Sánchez consideró que para mejorar esta situación existen muchas opciones, pero “parece que no interesan o se tildan de imposibles cuando, en realidad, no lo son”. En esta línea, puso un ejemplo: “Cuando se habló de </w:t>
      </w:r>
      <w:r w:rsidRPr="00A02398">
        <w:rPr>
          <w:rStyle w:val="Textoennegrita"/>
          <w:b w:val="0"/>
        </w:rPr>
        <w:t>subir el salario mínimo interprofesional </w:t>
      </w:r>
      <w:r w:rsidRPr="00A02398">
        <w:t>el pasado año, la preocupación volvió a centrarse en las empresas, en cómo iban a afrontar esta subida, dándonos a entender que esta idea era inconcebible porque el sistema se podía ir a pique. Y ahora vemos que </w:t>
      </w:r>
      <w:r w:rsidRPr="00A02398">
        <w:rPr>
          <w:rStyle w:val="Textoennegrita"/>
          <w:b w:val="0"/>
        </w:rPr>
        <w:t>no se ha caído nada</w:t>
      </w:r>
      <w:r w:rsidRPr="00A02398">
        <w:t>”, reflexionó.</w:t>
      </w:r>
    </w:p>
    <w:p w:rsidR="00EF5FA4" w:rsidRPr="00A02398" w:rsidRDefault="00EF5FA4" w:rsidP="00EF5FA4">
      <w:pPr>
        <w:pStyle w:val="NormalWeb"/>
        <w:spacing w:before="0" w:beforeAutospacing="0" w:after="360" w:afterAutospacing="0"/>
        <w:jc w:val="both"/>
      </w:pPr>
      <w:r w:rsidRPr="00A02398">
        <w:t>En este contexto, ¿qué demandan los </w:t>
      </w:r>
      <w:r w:rsidRPr="00A02398">
        <w:rPr>
          <w:rStyle w:val="Textoennegrita"/>
          <w:b w:val="0"/>
        </w:rPr>
        <w:t>jóvenes de las organizaciones</w:t>
      </w:r>
      <w:r w:rsidRPr="00A02398">
        <w:t>? Existen diferentes matices dependiendo de la generac</w:t>
      </w:r>
      <w:r>
        <w:t>ión a la que pertenezcan: “Los “millennials”</w:t>
      </w:r>
      <w:r w:rsidRPr="00A02398">
        <w:t xml:space="preserve"> son idealistas, valoran un jefe cercano y están más preocupados por su propio desarrollo y por aprender”, aclaró la directora de Consultoría del área de Human Capital de Deloitt</w:t>
      </w:r>
      <w:r>
        <w:t>e España, quien añadió que los “centennials”</w:t>
      </w:r>
      <w:r w:rsidRPr="00A02398">
        <w:t>, en cambio, persiguen objetivos diferentes: “Son un colect</w:t>
      </w:r>
      <w:r>
        <w:t>ivo más individualista que los “millennials”</w:t>
      </w:r>
      <w:r w:rsidRPr="00A02398">
        <w:t xml:space="preserve"> y mucho más cortoplacista. Además, valoran un jefe gurú que les ayude rápidamente a conseguir s</w:t>
      </w:r>
      <w:r>
        <w:t>us objetivos”</w:t>
      </w:r>
      <w:r w:rsidRPr="00A02398">
        <w:t>.</w:t>
      </w:r>
    </w:p>
    <w:p w:rsidR="00EF5FA4" w:rsidRPr="00A02398" w:rsidRDefault="00EF5FA4" w:rsidP="00EF5FA4">
      <w:pPr>
        <w:pStyle w:val="NormalWeb"/>
        <w:spacing w:before="0" w:beforeAutospacing="0" w:after="360" w:afterAutospacing="0"/>
        <w:jc w:val="both"/>
      </w:pPr>
      <w:r w:rsidRPr="00A02398">
        <w:t xml:space="preserve">Respecto a la búsqueda de soluciones para la precariedad, Josep Sala i Cullel se mostró radical al respecto: “Si no se cambia el modelo productivo del país, veo </w:t>
      </w:r>
      <w:r>
        <w:t>difícil que algo vaya a cambiar”</w:t>
      </w:r>
      <w:r w:rsidRPr="00A02398">
        <w:t>. Considera que el problema está en las </w:t>
      </w:r>
      <w:r w:rsidRPr="00A02398">
        <w:rPr>
          <w:rStyle w:val="Textoennegrita"/>
          <w:b w:val="0"/>
        </w:rPr>
        <w:t>raíces del modelo productivo</w:t>
      </w:r>
      <w:r w:rsidRPr="00A02398">
        <w:t>, y explicó que en Noruega, por ejemplo, el precio de estudiar un máster con dos premios nobeles entre el profesorado es de 35 euros por semestre, una cifra muy baja en comparación con los</w:t>
      </w:r>
      <w:r w:rsidRPr="00A02398">
        <w:rPr>
          <w:rStyle w:val="Textoennegrita"/>
          <w:b w:val="0"/>
        </w:rPr>
        <w:t> más de 2.500 euros </w:t>
      </w:r>
      <w:r w:rsidRPr="00A02398">
        <w:t>que paga un español de media al año por cursar estos estudios: “A este país nórdico le interesa tener pioneros en diferentes campos de investigación porque su modelo productivo lo necesita”. ¿Pero España qué demanda? Camareros, albañiles y personas para cubrir </w:t>
      </w:r>
      <w:r w:rsidRPr="00A02398">
        <w:rPr>
          <w:rStyle w:val="Textoennegrita"/>
          <w:b w:val="0"/>
        </w:rPr>
        <w:t>vacantes con bajos salarios</w:t>
      </w:r>
      <w:r w:rsidRPr="00A02398">
        <w:t>, según el escritor: “El motivo es que nuestros políticos decidieron que el modelo productivo español esté apoyado en el turismo, en la construcción y en grandes empresas como bancos y exmonopolios estatales”, apuntó. </w:t>
      </w:r>
    </w:p>
    <w:p w:rsidR="00EF5FA4" w:rsidRDefault="00EF5FA4" w:rsidP="00EF5FA4">
      <w:pPr>
        <w:pStyle w:val="NormalWeb"/>
        <w:spacing w:before="0" w:beforeAutospacing="0" w:after="360" w:afterAutospacing="0"/>
        <w:jc w:val="both"/>
      </w:pPr>
      <w:r w:rsidRPr="00A02398">
        <w:t>Los ponentes también pusieron sobre la mesa el emprendimiento entre los jóvenes, un tema en el que hubo disparidad de opiniones: Idoia de Paz, desde Deloitte, y Germán Sánchez apoyaron esta idea, aunque este último recalcó que existen muchas barreras que hay que derribar: “Ante la situación laboral que nos espera, los jóvenes preferimos trabajar para nosotros mismos. Sin embargo, </w:t>
      </w:r>
      <w:r w:rsidRPr="00A02398">
        <w:rPr>
          <w:rStyle w:val="Textoennegrita"/>
          <w:b w:val="0"/>
        </w:rPr>
        <w:t>necesitamos más facilidades</w:t>
      </w:r>
      <w:r w:rsidRPr="00A02398">
        <w:t>”. El Gobierno ofrece reducciones en la cuota de autónomo durante los primeros años de alta y ayudas financieras ICO (Instituto de Crédito Oficial), entre otras cosas. Aun así, Josep Sala i Cullel sigue sin contemplar esta opción como algo positivo: “El discurso de emprender está muy bien para aquellos que disponen de ayudas económicas de familiares o allegados, pero si no, con la burocracia que impone España y con la </w:t>
      </w:r>
      <w:r w:rsidRPr="00A02398">
        <w:rPr>
          <w:rStyle w:val="Textoennegrita"/>
          <w:b w:val="0"/>
        </w:rPr>
        <w:t>cuota de autónomo</w:t>
      </w:r>
      <w:r>
        <w:t> -</w:t>
      </w:r>
      <w:r w:rsidRPr="00A02398">
        <w:t xml:space="preserve">la mínima se </w:t>
      </w:r>
      <w:r>
        <w:t>sitúa en 286,15 euros mensuales-</w:t>
      </w:r>
      <w:r w:rsidRPr="00A02398">
        <w:t>, que ahora quieren subir, es muy complicado”, reflexionó.</w:t>
      </w:r>
    </w:p>
    <w:p w:rsidR="00EF5FA4" w:rsidRPr="00DF5E5A" w:rsidRDefault="00EF5FA4" w:rsidP="00EF5FA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DF5E5A">
        <w:rPr>
          <w:rFonts w:ascii="Times New Roman" w:hAnsi="Times New Roman" w:cs="Times New Roman"/>
          <w:sz w:val="24"/>
          <w:szCs w:val="24"/>
          <w:u w:val="single"/>
        </w:rPr>
        <w:t>Millennials: qué salió mal con la generación que pasó de ser ambiciosa a ser infeliz</w:t>
      </w:r>
      <w:r>
        <w:rPr>
          <w:rFonts w:ascii="Times New Roman" w:hAnsi="Times New Roman" w:cs="Times New Roman"/>
          <w:sz w:val="24"/>
          <w:szCs w:val="24"/>
        </w:rPr>
        <w:t xml:space="preserve"> (BBCMundo - </w:t>
      </w:r>
      <w:r w:rsidRPr="00DF5E5A">
        <w:rPr>
          <w:rFonts w:ascii="Times New Roman" w:hAnsi="Times New Roman" w:cs="Times New Roman"/>
          <w:b/>
          <w:sz w:val="24"/>
          <w:szCs w:val="24"/>
        </w:rPr>
        <w:t>4/8/21</w:t>
      </w:r>
      <w:r>
        <w:rPr>
          <w:rFonts w:ascii="Times New Roman" w:hAnsi="Times New Roman" w:cs="Times New Roman"/>
          <w:sz w:val="24"/>
          <w:szCs w:val="24"/>
        </w:rPr>
        <w:t>)</w:t>
      </w:r>
    </w:p>
    <w:p w:rsidR="00EF5FA4" w:rsidRDefault="00EF5FA4" w:rsidP="00EF5FA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DF5E5A">
        <w:rPr>
          <w:rFonts w:ascii="Times New Roman" w:hAnsi="Times New Roman" w:cs="Times New Roman"/>
          <w:sz w:val="24"/>
          <w:szCs w:val="24"/>
        </w:rPr>
        <w:t>Paula Adamo Idoeta</w:t>
      </w:r>
      <w:r>
        <w:rPr>
          <w:rFonts w:ascii="Times New Roman" w:hAnsi="Times New Roman" w:cs="Times New Roman"/>
          <w:sz w:val="24"/>
          <w:szCs w:val="24"/>
        </w:rPr>
        <w:t>)</w:t>
      </w:r>
    </w:p>
    <w:p w:rsidR="00EF5FA4" w:rsidRPr="00DF5E5A" w:rsidRDefault="00EF5FA4" w:rsidP="00EF5FA4">
      <w:pPr>
        <w:spacing w:line="240" w:lineRule="auto"/>
        <w:jc w:val="both"/>
        <w:rPr>
          <w:rFonts w:ascii="Times New Roman" w:hAnsi="Times New Roman" w:cs="Times New Roman"/>
          <w:sz w:val="24"/>
          <w:szCs w:val="24"/>
        </w:rPr>
      </w:pPr>
      <w:r w:rsidRPr="00DF5E5A">
        <w:rPr>
          <w:rFonts w:ascii="Times New Roman" w:hAnsi="Times New Roman" w:cs="Times New Roman"/>
          <w:sz w:val="24"/>
          <w:szCs w:val="24"/>
        </w:rPr>
        <w:t xml:space="preserve">La primera generación que vivió con computadoras personales, teléfonos inteligentes, internet y el flujo global de información desde una edad temprana tenía grandes expectativas </w:t>
      </w:r>
      <w:r w:rsidRPr="00DF5E5A">
        <w:rPr>
          <w:rFonts w:ascii="Times New Roman" w:hAnsi="Times New Roman" w:cs="Times New Roman"/>
          <w:sz w:val="24"/>
          <w:szCs w:val="24"/>
        </w:rPr>
        <w:lastRenderedPageBreak/>
        <w:t xml:space="preserve">para sí misma: con más años de educación que sus padres y con una composición más diversa socialmente, los millennials soñaron con más prosperidad e impacto global que </w:t>
      </w:r>
      <w:r>
        <w:rPr>
          <w:rFonts w:ascii="Times New Roman" w:hAnsi="Times New Roman" w:cs="Times New Roman"/>
          <w:sz w:val="24"/>
          <w:szCs w:val="24"/>
        </w:rPr>
        <w:t>muchas generaciones anteriores.</w:t>
      </w:r>
    </w:p>
    <w:p w:rsidR="00EF5FA4" w:rsidRPr="00DF5E5A" w:rsidRDefault="00EF5FA4" w:rsidP="00EF5FA4">
      <w:pPr>
        <w:spacing w:line="240" w:lineRule="auto"/>
        <w:jc w:val="both"/>
        <w:rPr>
          <w:rFonts w:ascii="Times New Roman" w:hAnsi="Times New Roman" w:cs="Times New Roman"/>
          <w:sz w:val="24"/>
          <w:szCs w:val="24"/>
        </w:rPr>
      </w:pPr>
      <w:r w:rsidRPr="00DF5E5A">
        <w:rPr>
          <w:rFonts w:ascii="Times New Roman" w:hAnsi="Times New Roman" w:cs="Times New Roman"/>
          <w:sz w:val="24"/>
          <w:szCs w:val="24"/>
        </w:rPr>
        <w:t xml:space="preserve">Sin embargo, las encuestas internacionales muestran que los millennials, cuya edad actualmente oscila entre los 26 y los 40, más o menos, tienen más probabilidades de endeudarse que sus antepasados y tardan más, en promedio, en dejar la casa de sus padres o en alcanzar los hitos tradicionales de la vida adulta, como comprar una </w:t>
      </w:r>
      <w:r>
        <w:rPr>
          <w:rFonts w:ascii="Times New Roman" w:hAnsi="Times New Roman" w:cs="Times New Roman"/>
          <w:sz w:val="24"/>
          <w:szCs w:val="24"/>
        </w:rPr>
        <w:t>propiedad o un automóvil.</w:t>
      </w:r>
    </w:p>
    <w:p w:rsidR="00EF5FA4" w:rsidRPr="00DF5E5A" w:rsidRDefault="00EF5FA4" w:rsidP="00EF5FA4">
      <w:pPr>
        <w:spacing w:line="240" w:lineRule="auto"/>
        <w:jc w:val="both"/>
        <w:rPr>
          <w:rFonts w:ascii="Times New Roman" w:hAnsi="Times New Roman" w:cs="Times New Roman"/>
          <w:sz w:val="24"/>
          <w:szCs w:val="24"/>
        </w:rPr>
      </w:pPr>
      <w:r w:rsidRPr="00DF5E5A">
        <w:rPr>
          <w:rFonts w:ascii="Times New Roman" w:hAnsi="Times New Roman" w:cs="Times New Roman"/>
          <w:sz w:val="24"/>
          <w:szCs w:val="24"/>
        </w:rPr>
        <w:t>Esta desconexión entre la expectativa y la realidad ha convertido a los millennials en el blanco de memes o comentarios despectivos</w:t>
      </w:r>
      <w:r>
        <w:rPr>
          <w:rFonts w:ascii="Times New Roman" w:hAnsi="Times New Roman" w:cs="Times New Roman"/>
          <w:sz w:val="24"/>
          <w:szCs w:val="24"/>
        </w:rPr>
        <w:t xml:space="preserve"> en internet sobre su aparente “fracaso”, “pereza”</w:t>
      </w:r>
      <w:r w:rsidRPr="00DF5E5A">
        <w:rPr>
          <w:rFonts w:ascii="Times New Roman" w:hAnsi="Times New Roman" w:cs="Times New Roman"/>
          <w:sz w:val="24"/>
          <w:szCs w:val="24"/>
        </w:rPr>
        <w:t xml:space="preserve"> o m</w:t>
      </w:r>
      <w:r>
        <w:rPr>
          <w:rFonts w:ascii="Times New Roman" w:hAnsi="Times New Roman" w:cs="Times New Roman"/>
          <w:sz w:val="24"/>
          <w:szCs w:val="24"/>
        </w:rPr>
        <w:t>ayor dependencia de sus padres.</w:t>
      </w:r>
    </w:p>
    <w:p w:rsidR="00EF5FA4" w:rsidRPr="00DF5E5A" w:rsidRDefault="00EF5FA4" w:rsidP="00EF5FA4">
      <w:pPr>
        <w:spacing w:line="240" w:lineRule="auto"/>
        <w:jc w:val="both"/>
        <w:rPr>
          <w:rFonts w:ascii="Times New Roman" w:hAnsi="Times New Roman" w:cs="Times New Roman"/>
          <w:sz w:val="24"/>
          <w:szCs w:val="24"/>
        </w:rPr>
      </w:pPr>
      <w:r w:rsidRPr="00DF5E5A">
        <w:rPr>
          <w:rFonts w:ascii="Times New Roman" w:hAnsi="Times New Roman" w:cs="Times New Roman"/>
          <w:sz w:val="24"/>
          <w:szCs w:val="24"/>
        </w:rPr>
        <w:t>Y para empeorar las cosas, la generación millennial ahora recibe las miradas desdeñosas de la generación Z, la que le sigue, y para quienes gran parte de lo que se asocia con millennials es visto como vergonzoso.</w:t>
      </w:r>
    </w:p>
    <w:p w:rsidR="00EF5FA4" w:rsidRPr="00DF5E5A" w:rsidRDefault="00EF5FA4" w:rsidP="00EF5FA4">
      <w:pPr>
        <w:spacing w:line="240" w:lineRule="auto"/>
        <w:jc w:val="both"/>
        <w:rPr>
          <w:rFonts w:ascii="Times New Roman" w:hAnsi="Times New Roman" w:cs="Times New Roman"/>
          <w:sz w:val="24"/>
          <w:szCs w:val="24"/>
        </w:rPr>
      </w:pPr>
      <w:r w:rsidRPr="00DF5E5A">
        <w:rPr>
          <w:rFonts w:ascii="Times New Roman" w:hAnsi="Times New Roman" w:cs="Times New Roman"/>
          <w:sz w:val="24"/>
          <w:szCs w:val="24"/>
        </w:rPr>
        <w:t>La respuesta de muchos investigadores es, ante todo, que la culpa no es exactamente de los millennials: es principal</w:t>
      </w:r>
      <w:r>
        <w:rPr>
          <w:rFonts w:ascii="Times New Roman" w:hAnsi="Times New Roman" w:cs="Times New Roman"/>
          <w:sz w:val="24"/>
          <w:szCs w:val="24"/>
        </w:rPr>
        <w:t>mente el estado de la economía. “</w:t>
      </w:r>
      <w:r w:rsidRPr="00DF5E5A">
        <w:rPr>
          <w:rFonts w:ascii="Times New Roman" w:hAnsi="Times New Roman" w:cs="Times New Roman"/>
          <w:sz w:val="24"/>
          <w:szCs w:val="24"/>
        </w:rPr>
        <w:t>La generación millennial se convirtió en adulta en los primeros días de los teléfonos inteligentes y la conectividad. Entonces, de alguna manera, estaban en el lugar correcto en el momento adecuado para desarrollar grandes i</w:t>
      </w:r>
      <w:r>
        <w:rPr>
          <w:rFonts w:ascii="Times New Roman" w:hAnsi="Times New Roman" w:cs="Times New Roman"/>
          <w:sz w:val="24"/>
          <w:szCs w:val="24"/>
        </w:rPr>
        <w:t>deas sobre su papel en el mundo”</w:t>
      </w:r>
      <w:r w:rsidRPr="00DF5E5A">
        <w:rPr>
          <w:rFonts w:ascii="Times New Roman" w:hAnsi="Times New Roman" w:cs="Times New Roman"/>
          <w:sz w:val="24"/>
          <w:szCs w:val="24"/>
        </w:rPr>
        <w:t>, explica Jason Dorsey, experto en perfiles de millennials y presidente de la empresa estadounidense Centro de Cinética Generacional, que analiza los hábitos globales de los millennials y la generación Z.</w:t>
      </w:r>
    </w:p>
    <w:p w:rsidR="00EF5FA4" w:rsidRPr="00DF5E5A" w:rsidRDefault="00EF5FA4" w:rsidP="00EF5FA4">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DF5E5A">
        <w:rPr>
          <w:rFonts w:ascii="Times New Roman" w:hAnsi="Times New Roman" w:cs="Times New Roman"/>
          <w:sz w:val="24"/>
          <w:szCs w:val="24"/>
        </w:rPr>
        <w:t>Sus padres les dijeron que tendrían éxito, que tenían un amplio acceso a la educación en comparación con las generaciones anteriores, y había una gran sensa</w:t>
      </w:r>
      <w:r>
        <w:rPr>
          <w:rFonts w:ascii="Times New Roman" w:hAnsi="Times New Roman" w:cs="Times New Roman"/>
          <w:sz w:val="24"/>
          <w:szCs w:val="24"/>
        </w:rPr>
        <w:t>ción de conexión y de impacto”.</w:t>
      </w:r>
    </w:p>
    <w:p w:rsidR="00EF5FA4" w:rsidRPr="00DF5E5A" w:rsidRDefault="00EF5FA4" w:rsidP="00EF5FA4">
      <w:pPr>
        <w:spacing w:line="240" w:lineRule="auto"/>
        <w:jc w:val="both"/>
        <w:rPr>
          <w:rFonts w:ascii="Times New Roman" w:hAnsi="Times New Roman" w:cs="Times New Roman"/>
          <w:sz w:val="24"/>
          <w:szCs w:val="24"/>
        </w:rPr>
      </w:pPr>
      <w:r w:rsidRPr="00DF5E5A">
        <w:rPr>
          <w:rFonts w:ascii="Times New Roman" w:hAnsi="Times New Roman" w:cs="Times New Roman"/>
          <w:sz w:val="24"/>
          <w:szCs w:val="24"/>
        </w:rPr>
        <w:t>Pero esta generación enfrentó grandes recesiones, como la que arrastró al mundo luego de la cr</w:t>
      </w:r>
      <w:r>
        <w:rPr>
          <w:rFonts w:ascii="Times New Roman" w:hAnsi="Times New Roman" w:cs="Times New Roman"/>
          <w:sz w:val="24"/>
          <w:szCs w:val="24"/>
        </w:rPr>
        <w:t>isis financiera de 2008 a 2009.</w:t>
      </w:r>
    </w:p>
    <w:p w:rsidR="00EF5FA4" w:rsidRPr="00DF5E5A" w:rsidRDefault="00EF5FA4" w:rsidP="00EF5FA4">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DF5E5A">
        <w:rPr>
          <w:rFonts w:ascii="Times New Roman" w:hAnsi="Times New Roman" w:cs="Times New Roman"/>
          <w:sz w:val="24"/>
          <w:szCs w:val="24"/>
        </w:rPr>
        <w:t>En muchos sentidos, los millennials estaban posicionados para tener mucho éxito, o eso se les dijo. Y la realidad es que muchos millennials han atravesado algún tipo de gran recesión, con despidos masivos, inflación, estancamiento de los salar</w:t>
      </w:r>
      <w:r>
        <w:rPr>
          <w:rFonts w:ascii="Times New Roman" w:hAnsi="Times New Roman" w:cs="Times New Roman"/>
          <w:sz w:val="24"/>
          <w:szCs w:val="24"/>
        </w:rPr>
        <w:t>ios y aumento del costo de vida”</w:t>
      </w:r>
      <w:r w:rsidRPr="00DF5E5A">
        <w:rPr>
          <w:rFonts w:ascii="Times New Roman" w:hAnsi="Times New Roman" w:cs="Times New Roman"/>
          <w:sz w:val="24"/>
          <w:szCs w:val="24"/>
        </w:rPr>
        <w:t>, continúa Dorsey.</w:t>
      </w:r>
    </w:p>
    <w:p w:rsidR="00EF5FA4" w:rsidRPr="00DF5E5A" w:rsidRDefault="00EF5FA4" w:rsidP="00EF5FA4">
      <w:pPr>
        <w:spacing w:line="240" w:lineRule="auto"/>
        <w:jc w:val="both"/>
        <w:rPr>
          <w:rFonts w:ascii="Times New Roman" w:hAnsi="Times New Roman" w:cs="Times New Roman"/>
          <w:sz w:val="24"/>
          <w:szCs w:val="24"/>
        </w:rPr>
      </w:pPr>
      <w:r>
        <w:rPr>
          <w:rFonts w:ascii="Times New Roman" w:hAnsi="Times New Roman" w:cs="Times New Roman"/>
          <w:sz w:val="24"/>
          <w:szCs w:val="24"/>
        </w:rPr>
        <w:t>En EEUU</w:t>
      </w:r>
      <w:r w:rsidRPr="00DF5E5A">
        <w:rPr>
          <w:rFonts w:ascii="Times New Roman" w:hAnsi="Times New Roman" w:cs="Times New Roman"/>
          <w:sz w:val="24"/>
          <w:szCs w:val="24"/>
        </w:rPr>
        <w:t xml:space="preserve"> un informe de junio de 2020 de The Washington Post nombró a</w:t>
      </w:r>
      <w:r>
        <w:rPr>
          <w:rFonts w:ascii="Times New Roman" w:hAnsi="Times New Roman" w:cs="Times New Roman"/>
          <w:sz w:val="24"/>
          <w:szCs w:val="24"/>
        </w:rPr>
        <w:t xml:space="preserve"> la generación millennial como “</w:t>
      </w:r>
      <w:r w:rsidRPr="00DF5E5A">
        <w:rPr>
          <w:rFonts w:ascii="Times New Roman" w:hAnsi="Times New Roman" w:cs="Times New Roman"/>
          <w:sz w:val="24"/>
          <w:szCs w:val="24"/>
        </w:rPr>
        <w:t>la más des</w:t>
      </w:r>
      <w:r>
        <w:rPr>
          <w:rFonts w:ascii="Times New Roman" w:hAnsi="Times New Roman" w:cs="Times New Roman"/>
          <w:sz w:val="24"/>
          <w:szCs w:val="24"/>
        </w:rPr>
        <w:t>afortunada en la historia de EEUU”.</w:t>
      </w:r>
    </w:p>
    <w:p w:rsidR="00EF5FA4" w:rsidRPr="00DF5E5A" w:rsidRDefault="00EF5FA4" w:rsidP="00EF5FA4">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DF5E5A">
        <w:rPr>
          <w:rFonts w:ascii="Times New Roman" w:hAnsi="Times New Roman" w:cs="Times New Roman"/>
          <w:sz w:val="24"/>
          <w:szCs w:val="24"/>
        </w:rPr>
        <w:t>Teniendo en cuenta la crisis actual (la pandemia de covid-19), los millennials, en promedio, han experimentado un crecimiento económico más lento desde que ingresaron al mercado laboral que cualquier otra generación en la histo</w:t>
      </w:r>
      <w:r>
        <w:rPr>
          <w:rFonts w:ascii="Times New Roman" w:hAnsi="Times New Roman" w:cs="Times New Roman"/>
          <w:sz w:val="24"/>
          <w:szCs w:val="24"/>
        </w:rPr>
        <w:t>ria del país”, dice el informe.</w:t>
      </w:r>
    </w:p>
    <w:p w:rsidR="00EF5FA4" w:rsidRPr="00DF5E5A" w:rsidRDefault="00EF5FA4" w:rsidP="00EF5FA4">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DF5E5A">
        <w:rPr>
          <w:rFonts w:ascii="Times New Roman" w:hAnsi="Times New Roman" w:cs="Times New Roman"/>
          <w:sz w:val="24"/>
          <w:szCs w:val="24"/>
        </w:rPr>
        <w:t>Los millennials llevarán estas cicatrices económicas por el resto de sus vidas, en forma de ingresos más bajos, menor prosperidad e hitos de vida retrasados, como la adquisic</w:t>
      </w:r>
      <w:r>
        <w:rPr>
          <w:rFonts w:ascii="Times New Roman" w:hAnsi="Times New Roman" w:cs="Times New Roman"/>
          <w:sz w:val="24"/>
          <w:szCs w:val="24"/>
        </w:rPr>
        <w:t>ión de una vivienda”.</w:t>
      </w:r>
    </w:p>
    <w:p w:rsidR="00EF5FA4" w:rsidRPr="00DF5E5A" w:rsidRDefault="00EF5FA4" w:rsidP="00EF5FA4">
      <w:pPr>
        <w:spacing w:line="240" w:lineRule="auto"/>
        <w:jc w:val="both"/>
        <w:rPr>
          <w:rFonts w:ascii="Times New Roman" w:hAnsi="Times New Roman" w:cs="Times New Roman"/>
          <w:sz w:val="24"/>
          <w:szCs w:val="24"/>
        </w:rPr>
      </w:pPr>
      <w:r w:rsidRPr="00DF5E5A">
        <w:rPr>
          <w:rFonts w:ascii="Times New Roman" w:hAnsi="Times New Roman" w:cs="Times New Roman"/>
          <w:sz w:val="24"/>
          <w:szCs w:val="24"/>
        </w:rPr>
        <w:t>Ahora en la pandemia, aunque la generación más afectada por la falta de trabajo es la más joven, las tasas de desempleo también s</w:t>
      </w:r>
      <w:r>
        <w:rPr>
          <w:rFonts w:ascii="Times New Roman" w:hAnsi="Times New Roman" w:cs="Times New Roman"/>
          <w:sz w:val="24"/>
          <w:szCs w:val="24"/>
        </w:rPr>
        <w:t>on altas entre los millennials.</w:t>
      </w:r>
    </w:p>
    <w:p w:rsidR="00EF5FA4" w:rsidRPr="00DF5E5A" w:rsidRDefault="00EF5FA4" w:rsidP="00EF5FA4">
      <w:pPr>
        <w:spacing w:line="240" w:lineRule="auto"/>
        <w:jc w:val="both"/>
        <w:rPr>
          <w:rFonts w:ascii="Times New Roman" w:hAnsi="Times New Roman" w:cs="Times New Roman"/>
          <w:sz w:val="24"/>
          <w:szCs w:val="24"/>
        </w:rPr>
      </w:pPr>
      <w:r w:rsidRPr="00DF5E5A">
        <w:rPr>
          <w:rFonts w:ascii="Times New Roman" w:hAnsi="Times New Roman" w:cs="Times New Roman"/>
          <w:sz w:val="24"/>
          <w:szCs w:val="24"/>
        </w:rPr>
        <w:lastRenderedPageBreak/>
        <w:t>Y este grupo de personas también coincide con un grupo de edad que ya había sido muy golpeado p</w:t>
      </w:r>
      <w:r>
        <w:rPr>
          <w:rFonts w:ascii="Times New Roman" w:hAnsi="Times New Roman" w:cs="Times New Roman"/>
          <w:sz w:val="24"/>
          <w:szCs w:val="24"/>
        </w:rPr>
        <w:t>or la crisis económica de 2015.</w:t>
      </w:r>
    </w:p>
    <w:p w:rsidR="00EF5FA4" w:rsidRPr="00DF5E5A" w:rsidRDefault="00EF5FA4" w:rsidP="00EF5FA4">
      <w:pPr>
        <w:spacing w:line="240" w:lineRule="auto"/>
        <w:jc w:val="both"/>
        <w:rPr>
          <w:rFonts w:ascii="Times New Roman" w:hAnsi="Times New Roman" w:cs="Times New Roman"/>
          <w:sz w:val="24"/>
          <w:szCs w:val="24"/>
        </w:rPr>
      </w:pPr>
      <w:r w:rsidRPr="00DF5E5A">
        <w:rPr>
          <w:rFonts w:ascii="Times New Roman" w:hAnsi="Times New Roman" w:cs="Times New Roman"/>
          <w:sz w:val="24"/>
          <w:szCs w:val="24"/>
        </w:rPr>
        <w:t>Los hitos de cada generación</w:t>
      </w:r>
    </w:p>
    <w:p w:rsidR="00EF5FA4" w:rsidRPr="00DF5E5A" w:rsidRDefault="00EF5FA4" w:rsidP="00EF5FA4">
      <w:pPr>
        <w:spacing w:line="240" w:lineRule="auto"/>
        <w:jc w:val="both"/>
        <w:rPr>
          <w:rFonts w:ascii="Times New Roman" w:hAnsi="Times New Roman" w:cs="Times New Roman"/>
          <w:sz w:val="24"/>
          <w:szCs w:val="24"/>
        </w:rPr>
      </w:pPr>
      <w:r w:rsidRPr="00DF5E5A">
        <w:rPr>
          <w:rFonts w:ascii="Times New Roman" w:hAnsi="Times New Roman" w:cs="Times New Roman"/>
          <w:sz w:val="24"/>
          <w:szCs w:val="24"/>
        </w:rPr>
        <w:t>Por supuesto, cada generación enfrenta desafíos</w:t>
      </w:r>
      <w:r>
        <w:rPr>
          <w:rFonts w:ascii="Times New Roman" w:hAnsi="Times New Roman" w:cs="Times New Roman"/>
          <w:sz w:val="24"/>
          <w:szCs w:val="24"/>
        </w:rPr>
        <w:t xml:space="preserve"> propios y lo que Dorsey llama “momentos decisivos”</w:t>
      </w:r>
      <w:r w:rsidRPr="00DF5E5A">
        <w:rPr>
          <w:rFonts w:ascii="Times New Roman" w:hAnsi="Times New Roman" w:cs="Times New Roman"/>
          <w:sz w:val="24"/>
          <w:szCs w:val="24"/>
        </w:rPr>
        <w:t>: eventos que marcan a una generación de manera que influyen en sus miedos, opciones educativas y de vida, val</w:t>
      </w:r>
      <w:r>
        <w:rPr>
          <w:rFonts w:ascii="Times New Roman" w:hAnsi="Times New Roman" w:cs="Times New Roman"/>
          <w:sz w:val="24"/>
          <w:szCs w:val="24"/>
        </w:rPr>
        <w:t>ores y percepciones del futuro.</w:t>
      </w:r>
    </w:p>
    <w:p w:rsidR="00EF5FA4" w:rsidRPr="00DF5E5A" w:rsidRDefault="00EF5FA4" w:rsidP="00EF5FA4">
      <w:pPr>
        <w:spacing w:line="240" w:lineRule="auto"/>
        <w:jc w:val="both"/>
        <w:rPr>
          <w:rFonts w:ascii="Times New Roman" w:hAnsi="Times New Roman" w:cs="Times New Roman"/>
          <w:sz w:val="24"/>
          <w:szCs w:val="24"/>
        </w:rPr>
      </w:pPr>
      <w:r>
        <w:rPr>
          <w:rFonts w:ascii="Times New Roman" w:hAnsi="Times New Roman" w:cs="Times New Roman"/>
          <w:sz w:val="24"/>
          <w:szCs w:val="24"/>
        </w:rPr>
        <w:t>La generación “silenciosa”</w:t>
      </w:r>
      <w:r w:rsidRPr="00DF5E5A">
        <w:rPr>
          <w:rFonts w:ascii="Times New Roman" w:hAnsi="Times New Roman" w:cs="Times New Roman"/>
          <w:sz w:val="24"/>
          <w:szCs w:val="24"/>
        </w:rPr>
        <w:t xml:space="preserve"> (nacida entre 1928 y 1945), por ejemplo, estuvo profundamente marcada</w:t>
      </w:r>
      <w:r>
        <w:rPr>
          <w:rFonts w:ascii="Times New Roman" w:hAnsi="Times New Roman" w:cs="Times New Roman"/>
          <w:sz w:val="24"/>
          <w:szCs w:val="24"/>
        </w:rPr>
        <w:t xml:space="preserve"> por la Segunda Guerra Mundial.</w:t>
      </w:r>
    </w:p>
    <w:p w:rsidR="00EF5FA4" w:rsidRPr="00DF5E5A" w:rsidRDefault="00EF5FA4" w:rsidP="00EF5FA4">
      <w:pPr>
        <w:spacing w:line="240" w:lineRule="auto"/>
        <w:jc w:val="both"/>
        <w:rPr>
          <w:rFonts w:ascii="Times New Roman" w:hAnsi="Times New Roman" w:cs="Times New Roman"/>
          <w:sz w:val="24"/>
          <w:szCs w:val="24"/>
        </w:rPr>
      </w:pPr>
      <w:r w:rsidRPr="00DF5E5A">
        <w:rPr>
          <w:rFonts w:ascii="Times New Roman" w:hAnsi="Times New Roman" w:cs="Times New Roman"/>
          <w:sz w:val="24"/>
          <w:szCs w:val="24"/>
        </w:rPr>
        <w:t>Luego, los baby boomers (1946-64) vivieron eventos globales como la Guerra de Vietnam o l</w:t>
      </w:r>
      <w:r>
        <w:rPr>
          <w:rFonts w:ascii="Times New Roman" w:hAnsi="Times New Roman" w:cs="Times New Roman"/>
          <w:sz w:val="24"/>
          <w:szCs w:val="24"/>
        </w:rPr>
        <w:t>a llegada del hombre a la Luna.</w:t>
      </w:r>
    </w:p>
    <w:p w:rsidR="00EF5FA4" w:rsidRPr="00DF5E5A" w:rsidRDefault="00EF5FA4" w:rsidP="00EF5FA4">
      <w:pPr>
        <w:spacing w:line="240" w:lineRule="auto"/>
        <w:jc w:val="both"/>
        <w:rPr>
          <w:rFonts w:ascii="Times New Roman" w:hAnsi="Times New Roman" w:cs="Times New Roman"/>
          <w:sz w:val="24"/>
          <w:szCs w:val="24"/>
        </w:rPr>
      </w:pPr>
      <w:r w:rsidRPr="00DF5E5A">
        <w:rPr>
          <w:rFonts w:ascii="Times New Roman" w:hAnsi="Times New Roman" w:cs="Times New Roman"/>
          <w:sz w:val="24"/>
          <w:szCs w:val="24"/>
        </w:rPr>
        <w:t>La generación X (1965-1980), que vino después, vio el final de la Gu</w:t>
      </w:r>
      <w:r>
        <w:rPr>
          <w:rFonts w:ascii="Times New Roman" w:hAnsi="Times New Roman" w:cs="Times New Roman"/>
          <w:sz w:val="24"/>
          <w:szCs w:val="24"/>
        </w:rPr>
        <w:t>erra Fría y el avance del sida.</w:t>
      </w:r>
    </w:p>
    <w:p w:rsidR="00EF5FA4" w:rsidRPr="00DF5E5A" w:rsidRDefault="00EF5FA4" w:rsidP="00EF5FA4">
      <w:pPr>
        <w:spacing w:line="240" w:lineRule="auto"/>
        <w:jc w:val="both"/>
        <w:rPr>
          <w:rFonts w:ascii="Times New Roman" w:hAnsi="Times New Roman" w:cs="Times New Roman"/>
          <w:sz w:val="24"/>
          <w:szCs w:val="24"/>
        </w:rPr>
      </w:pPr>
      <w:r w:rsidRPr="00DF5E5A">
        <w:rPr>
          <w:rFonts w:ascii="Times New Roman" w:hAnsi="Times New Roman" w:cs="Times New Roman"/>
          <w:sz w:val="24"/>
          <w:szCs w:val="24"/>
        </w:rPr>
        <w:t>La actual generación Z (nacida entre mediados y finales de la década de 1990), a su vez, seguramente estará fuertemente influenciada por su exp</w:t>
      </w:r>
      <w:r>
        <w:rPr>
          <w:rFonts w:ascii="Times New Roman" w:hAnsi="Times New Roman" w:cs="Times New Roman"/>
          <w:sz w:val="24"/>
          <w:szCs w:val="24"/>
        </w:rPr>
        <w:t>eriencia en la pandemia actual.</w:t>
      </w:r>
    </w:p>
    <w:p w:rsidR="00EF5FA4" w:rsidRPr="00DF5E5A" w:rsidRDefault="00EF5FA4" w:rsidP="00EF5FA4">
      <w:pPr>
        <w:spacing w:line="240" w:lineRule="auto"/>
        <w:jc w:val="both"/>
        <w:rPr>
          <w:rFonts w:ascii="Times New Roman" w:hAnsi="Times New Roman" w:cs="Times New Roman"/>
          <w:sz w:val="24"/>
          <w:szCs w:val="24"/>
        </w:rPr>
      </w:pPr>
      <w:r w:rsidRPr="00DF5E5A">
        <w:rPr>
          <w:rFonts w:ascii="Times New Roman" w:hAnsi="Times New Roman" w:cs="Times New Roman"/>
          <w:sz w:val="24"/>
          <w:szCs w:val="24"/>
        </w:rPr>
        <w:t>Además, generaciones enteras pueden verse afectadas por eventos de magnitud local, como terremotos, epidemias o eventos políticos traumáticos.</w:t>
      </w:r>
    </w:p>
    <w:p w:rsidR="00EF5FA4" w:rsidRPr="00DF5E5A" w:rsidRDefault="00EF5FA4" w:rsidP="00EF5FA4">
      <w:pPr>
        <w:spacing w:line="240" w:lineRule="auto"/>
        <w:jc w:val="both"/>
        <w:rPr>
          <w:rFonts w:ascii="Times New Roman" w:hAnsi="Times New Roman" w:cs="Times New Roman"/>
          <w:sz w:val="24"/>
          <w:szCs w:val="24"/>
        </w:rPr>
      </w:pPr>
      <w:r w:rsidRPr="00DF5E5A">
        <w:rPr>
          <w:rFonts w:ascii="Times New Roman" w:hAnsi="Times New Roman" w:cs="Times New Roman"/>
          <w:sz w:val="24"/>
          <w:szCs w:val="24"/>
        </w:rPr>
        <w:t>Entonces, ¿qué distin</w:t>
      </w:r>
      <w:r>
        <w:rPr>
          <w:rFonts w:ascii="Times New Roman" w:hAnsi="Times New Roman" w:cs="Times New Roman"/>
          <w:sz w:val="24"/>
          <w:szCs w:val="24"/>
        </w:rPr>
        <w:t>gue a la generación millennial?</w:t>
      </w:r>
    </w:p>
    <w:p w:rsidR="00EF5FA4" w:rsidRPr="00DF5E5A" w:rsidRDefault="00EF5FA4" w:rsidP="00EF5FA4">
      <w:pPr>
        <w:spacing w:line="240" w:lineRule="auto"/>
        <w:jc w:val="both"/>
        <w:rPr>
          <w:rFonts w:ascii="Times New Roman" w:hAnsi="Times New Roman" w:cs="Times New Roman"/>
          <w:sz w:val="24"/>
          <w:szCs w:val="24"/>
        </w:rPr>
      </w:pPr>
      <w:r w:rsidRPr="00DF5E5A">
        <w:rPr>
          <w:rFonts w:ascii="Times New Roman" w:hAnsi="Times New Roman" w:cs="Times New Roman"/>
          <w:sz w:val="24"/>
          <w:szCs w:val="24"/>
        </w:rPr>
        <w:t>Los puntos clave, dice Jason Dorsey, son el aumento considerable en el costo de vida (particularmente en la educación y, en muchas ciudades del mundo, la vivienda) y el alcance cada vez más global de eventos que podrían no haber tenido tanto impacto si no viv</w:t>
      </w:r>
      <w:r>
        <w:rPr>
          <w:rFonts w:ascii="Times New Roman" w:hAnsi="Times New Roman" w:cs="Times New Roman"/>
          <w:sz w:val="24"/>
          <w:szCs w:val="24"/>
        </w:rPr>
        <w:t>i</w:t>
      </w:r>
      <w:r w:rsidRPr="00DF5E5A">
        <w:rPr>
          <w:rFonts w:ascii="Times New Roman" w:hAnsi="Times New Roman" w:cs="Times New Roman"/>
          <w:sz w:val="24"/>
          <w:szCs w:val="24"/>
        </w:rPr>
        <w:t xml:space="preserve">éramos </w:t>
      </w:r>
      <w:r>
        <w:rPr>
          <w:rFonts w:ascii="Times New Roman" w:hAnsi="Times New Roman" w:cs="Times New Roman"/>
          <w:sz w:val="24"/>
          <w:szCs w:val="24"/>
        </w:rPr>
        <w:t>en un mundo tan interconectado.</w:t>
      </w:r>
    </w:p>
    <w:p w:rsidR="00EF5FA4" w:rsidRPr="00DF5E5A" w:rsidRDefault="00EF5FA4" w:rsidP="00EF5FA4">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DF5E5A">
        <w:rPr>
          <w:rFonts w:ascii="Times New Roman" w:hAnsi="Times New Roman" w:cs="Times New Roman"/>
          <w:sz w:val="24"/>
          <w:szCs w:val="24"/>
        </w:rPr>
        <w:t>Hasta la llegada de GenZ, los millennials eran la generación más similar (entre sí) en el mundo. ¿Significa que las personas son iguales? No. Pero sí significa que tienen muchas similitudes en su forma de pensar sobre la comunicación, entretenimiento, cultura, participación en la p</w:t>
      </w:r>
      <w:r>
        <w:rPr>
          <w:rFonts w:ascii="Times New Roman" w:hAnsi="Times New Roman" w:cs="Times New Roman"/>
          <w:sz w:val="24"/>
          <w:szCs w:val="24"/>
        </w:rPr>
        <w:t>olítica”, dice el especialista.</w:t>
      </w:r>
    </w:p>
    <w:p w:rsidR="00EF5FA4" w:rsidRPr="00DF5E5A" w:rsidRDefault="00EF5FA4" w:rsidP="00EF5FA4">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DF5E5A">
        <w:rPr>
          <w:rFonts w:ascii="Times New Roman" w:hAnsi="Times New Roman" w:cs="Times New Roman"/>
          <w:sz w:val="24"/>
          <w:szCs w:val="24"/>
        </w:rPr>
        <w:t>Las economías están mucho más conectadas, al igual que los sistemas bancarios y las cadenas de suministro. Y, si nos fijamos en los empleos, muchos de los grandes empleadores son multinacionales. Así que la generación tiene una sensación de interconexión</w:t>
      </w:r>
      <w:r>
        <w:rPr>
          <w:rFonts w:ascii="Times New Roman" w:hAnsi="Times New Roman" w:cs="Times New Roman"/>
          <w:sz w:val="24"/>
          <w:szCs w:val="24"/>
        </w:rPr>
        <w:t xml:space="preserve"> que antes no existía”, agrega.</w:t>
      </w:r>
    </w:p>
    <w:p w:rsidR="00EF5FA4" w:rsidRPr="00DF5E5A" w:rsidRDefault="00EF5FA4" w:rsidP="00EF5FA4">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DF5E5A">
        <w:rPr>
          <w:rFonts w:ascii="Times New Roman" w:hAnsi="Times New Roman" w:cs="Times New Roman"/>
          <w:sz w:val="24"/>
          <w:szCs w:val="24"/>
        </w:rPr>
        <w:t>Los millennials se han vuelto más conscientes de los eventos globales porque el flujo de información y la interconexión han significado que algún evento que no era necesariamente glob</w:t>
      </w:r>
      <w:r>
        <w:rPr>
          <w:rFonts w:ascii="Times New Roman" w:hAnsi="Times New Roman" w:cs="Times New Roman"/>
          <w:sz w:val="24"/>
          <w:szCs w:val="24"/>
        </w:rPr>
        <w:t>al terminó volviéndose global”.</w:t>
      </w:r>
    </w:p>
    <w:p w:rsidR="00EF5FA4" w:rsidRPr="00DF5E5A" w:rsidRDefault="00EF5FA4" w:rsidP="00EF5FA4">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DF5E5A">
        <w:rPr>
          <w:rFonts w:ascii="Times New Roman" w:hAnsi="Times New Roman" w:cs="Times New Roman"/>
          <w:sz w:val="24"/>
          <w:szCs w:val="24"/>
        </w:rPr>
        <w:t>No me refiero a la categoría de eventos como las guerras mundiales, sino a la idea de que una crisis bancaria en un país tiene un efecto tan grande en otros y se extiende por todo el mundo. Eso es muy</w:t>
      </w:r>
      <w:r>
        <w:rPr>
          <w:rFonts w:ascii="Times New Roman" w:hAnsi="Times New Roman" w:cs="Times New Roman"/>
          <w:sz w:val="24"/>
          <w:szCs w:val="24"/>
        </w:rPr>
        <w:t xml:space="preserve"> significativo”, indica Dorsey.</w:t>
      </w:r>
    </w:p>
    <w:p w:rsidR="00EF5FA4" w:rsidRPr="00DF5E5A" w:rsidRDefault="00EF5FA4" w:rsidP="00EF5FA4">
      <w:pPr>
        <w:spacing w:line="240" w:lineRule="auto"/>
        <w:jc w:val="both"/>
        <w:rPr>
          <w:rFonts w:ascii="Times New Roman" w:hAnsi="Times New Roman" w:cs="Times New Roman"/>
          <w:sz w:val="24"/>
          <w:szCs w:val="24"/>
        </w:rPr>
      </w:pPr>
      <w:r>
        <w:rPr>
          <w:rFonts w:ascii="Times New Roman" w:hAnsi="Times New Roman" w:cs="Times New Roman"/>
          <w:sz w:val="24"/>
          <w:szCs w:val="24"/>
        </w:rPr>
        <w:t>“Economía compartida”</w:t>
      </w:r>
      <w:r w:rsidRPr="00DF5E5A">
        <w:rPr>
          <w:rFonts w:ascii="Times New Roman" w:hAnsi="Times New Roman" w:cs="Times New Roman"/>
          <w:sz w:val="24"/>
          <w:szCs w:val="24"/>
        </w:rPr>
        <w:t xml:space="preserve"> e inseguridad laboral</w:t>
      </w:r>
    </w:p>
    <w:p w:rsidR="00EF5FA4" w:rsidRPr="00DF5E5A" w:rsidRDefault="00EF5FA4" w:rsidP="00EF5FA4">
      <w:pPr>
        <w:spacing w:line="240" w:lineRule="auto"/>
        <w:jc w:val="both"/>
        <w:rPr>
          <w:rFonts w:ascii="Times New Roman" w:hAnsi="Times New Roman" w:cs="Times New Roman"/>
          <w:sz w:val="24"/>
          <w:szCs w:val="24"/>
        </w:rPr>
      </w:pPr>
      <w:r w:rsidRPr="00DF5E5A">
        <w:rPr>
          <w:rFonts w:ascii="Times New Roman" w:hAnsi="Times New Roman" w:cs="Times New Roman"/>
          <w:sz w:val="24"/>
          <w:szCs w:val="24"/>
        </w:rPr>
        <w:t>Para colmo, los millennials enfrentan una inseguridad laboral más acentuada que la que siente la gener</w:t>
      </w:r>
      <w:r>
        <w:rPr>
          <w:rFonts w:ascii="Times New Roman" w:hAnsi="Times New Roman" w:cs="Times New Roman"/>
          <w:sz w:val="24"/>
          <w:szCs w:val="24"/>
        </w:rPr>
        <w:t>ación de sus padres en general.</w:t>
      </w:r>
    </w:p>
    <w:p w:rsidR="00EF5FA4" w:rsidRPr="00DF5E5A" w:rsidRDefault="00EF5FA4" w:rsidP="00EF5FA4">
      <w:pPr>
        <w:spacing w:line="240" w:lineRule="auto"/>
        <w:jc w:val="both"/>
        <w:rPr>
          <w:rFonts w:ascii="Times New Roman" w:hAnsi="Times New Roman" w:cs="Times New Roman"/>
          <w:sz w:val="24"/>
          <w:szCs w:val="24"/>
        </w:rPr>
      </w:pPr>
      <w:r w:rsidRPr="00DF5E5A">
        <w:rPr>
          <w:rFonts w:ascii="Times New Roman" w:hAnsi="Times New Roman" w:cs="Times New Roman"/>
          <w:sz w:val="24"/>
          <w:szCs w:val="24"/>
        </w:rPr>
        <w:lastRenderedPageBreak/>
        <w:t>Los ajustes fiscales, la flexibilización de las normas laborales, la competitividad en el mercado laboral y el avance de la economía compartida -con sus beneficios y problemas- son algunas de las circunstancias que hacen que los millennials tengan una vida profesional en ocasiones más flexible y abierta a la creatividad; otras veces más incierta y precaria.</w:t>
      </w:r>
    </w:p>
    <w:p w:rsidR="00EF5FA4" w:rsidRPr="00DF5E5A" w:rsidRDefault="00EF5FA4" w:rsidP="00EF5FA4">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DF5E5A">
        <w:rPr>
          <w:rFonts w:ascii="Times New Roman" w:hAnsi="Times New Roman" w:cs="Times New Roman"/>
          <w:sz w:val="24"/>
          <w:szCs w:val="24"/>
        </w:rPr>
        <w:t>Los millennials se han convertido en adultos con un tipo de contrato empleado-empleador muy diferente al de la genera</w:t>
      </w:r>
      <w:r>
        <w:rPr>
          <w:rFonts w:ascii="Times New Roman" w:hAnsi="Times New Roman" w:cs="Times New Roman"/>
          <w:sz w:val="24"/>
          <w:szCs w:val="24"/>
        </w:rPr>
        <w:t>ción anterior”, explica Dorsey.</w:t>
      </w:r>
    </w:p>
    <w:p w:rsidR="00EF5FA4" w:rsidRPr="00DF5E5A" w:rsidRDefault="00EF5FA4" w:rsidP="00EF5FA4">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DF5E5A">
        <w:rPr>
          <w:rFonts w:ascii="Times New Roman" w:hAnsi="Times New Roman" w:cs="Times New Roman"/>
          <w:sz w:val="24"/>
          <w:szCs w:val="24"/>
        </w:rPr>
        <w:t>Nuestras encuestas muestran que no esperaban trabajar en una sola empresa durante toda su vida, o tener el mismo empleador por el resto de sus vidas. (...) Así que hay una sensación de entusia</w:t>
      </w:r>
      <w:r w:rsidR="0006618D">
        <w:rPr>
          <w:rFonts w:ascii="Times New Roman" w:hAnsi="Times New Roman" w:cs="Times New Roman"/>
          <w:sz w:val="24"/>
          <w:szCs w:val="24"/>
        </w:rPr>
        <w:t>smo y libertad, la idea de que “puedo crear mi propia carrera”</w:t>
      </w:r>
      <w:r w:rsidRPr="00DF5E5A">
        <w:rPr>
          <w:rFonts w:ascii="Times New Roman" w:hAnsi="Times New Roman" w:cs="Times New Roman"/>
          <w:sz w:val="24"/>
          <w:szCs w:val="24"/>
        </w:rPr>
        <w:t>, pero al mismo tiempo existe la desventaja: los empleadores pueden no ofrecer los mismos beneficios que antes en s</w:t>
      </w:r>
      <w:r>
        <w:rPr>
          <w:rFonts w:ascii="Times New Roman" w:hAnsi="Times New Roman" w:cs="Times New Roman"/>
          <w:sz w:val="24"/>
          <w:szCs w:val="24"/>
        </w:rPr>
        <w:t>eguros, seguros de salud, etc.”</w:t>
      </w:r>
    </w:p>
    <w:p w:rsidR="00EF5FA4" w:rsidRPr="00DF5E5A" w:rsidRDefault="00EF5FA4" w:rsidP="00EF5FA4">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DF5E5A">
        <w:rPr>
          <w:rFonts w:ascii="Times New Roman" w:hAnsi="Times New Roman" w:cs="Times New Roman"/>
          <w:sz w:val="24"/>
          <w:szCs w:val="24"/>
        </w:rPr>
        <w:t>La responsabilidad de esto termina pasando del empleador al millennial. En algunos casos esto funci</w:t>
      </w:r>
      <w:r>
        <w:rPr>
          <w:rFonts w:ascii="Times New Roman" w:hAnsi="Times New Roman" w:cs="Times New Roman"/>
          <w:sz w:val="24"/>
          <w:szCs w:val="24"/>
        </w:rPr>
        <w:t>ona bien, en otros, no”, dice.</w:t>
      </w:r>
    </w:p>
    <w:p w:rsidR="00EF5FA4" w:rsidRDefault="00EF5FA4" w:rsidP="00EF5FA4">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DF5E5A">
        <w:rPr>
          <w:rFonts w:ascii="Times New Roman" w:hAnsi="Times New Roman" w:cs="Times New Roman"/>
          <w:sz w:val="24"/>
          <w:szCs w:val="24"/>
        </w:rPr>
        <w:t>Lo mismo ocurre con la economí</w:t>
      </w:r>
      <w:r>
        <w:rPr>
          <w:rFonts w:ascii="Times New Roman" w:hAnsi="Times New Roman" w:cs="Times New Roman"/>
          <w:sz w:val="24"/>
          <w:szCs w:val="24"/>
        </w:rPr>
        <w:t>a colaborativa. La idea de que “</w:t>
      </w:r>
      <w:r w:rsidRPr="00DF5E5A">
        <w:rPr>
          <w:rFonts w:ascii="Times New Roman" w:hAnsi="Times New Roman" w:cs="Times New Roman"/>
          <w:sz w:val="24"/>
          <w:szCs w:val="24"/>
        </w:rPr>
        <w:t>puedo usar mi automóvil cua</w:t>
      </w:r>
      <w:r>
        <w:rPr>
          <w:rFonts w:ascii="Times New Roman" w:hAnsi="Times New Roman" w:cs="Times New Roman"/>
          <w:sz w:val="24"/>
          <w:szCs w:val="24"/>
        </w:rPr>
        <w:t>ndo quiera transportar personas”</w:t>
      </w:r>
      <w:r w:rsidRPr="00DF5E5A">
        <w:rPr>
          <w:rFonts w:ascii="Times New Roman" w:hAnsi="Times New Roman" w:cs="Times New Roman"/>
          <w:sz w:val="24"/>
          <w:szCs w:val="24"/>
        </w:rPr>
        <w:t xml:space="preserve"> me da una gran flexibilidad, pero ¿este trabajo no me impedirá tener un trabajo más formal? ¿terminará esto elimi</w:t>
      </w:r>
      <w:r>
        <w:rPr>
          <w:rFonts w:ascii="Times New Roman" w:hAnsi="Times New Roman" w:cs="Times New Roman"/>
          <w:sz w:val="24"/>
          <w:szCs w:val="24"/>
        </w:rPr>
        <w:t>nando los empleos más formales?”</w:t>
      </w:r>
    </w:p>
    <w:p w:rsidR="00EF5FA4" w:rsidRPr="00DF5E5A" w:rsidRDefault="00EF5FA4" w:rsidP="00EF5FA4">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DF5E5A">
        <w:rPr>
          <w:rFonts w:ascii="Times New Roman" w:hAnsi="Times New Roman" w:cs="Times New Roman"/>
          <w:sz w:val="24"/>
          <w:szCs w:val="24"/>
        </w:rPr>
        <w:t>No tengo respuestas, pero son innovaciones que tienen lados positivos y negativos, y los negativos impactan desproporcionadamente a una generación m</w:t>
      </w:r>
      <w:r>
        <w:rPr>
          <w:rFonts w:ascii="Times New Roman" w:hAnsi="Times New Roman" w:cs="Times New Roman"/>
          <w:sz w:val="24"/>
          <w:szCs w:val="24"/>
        </w:rPr>
        <w:t>ás que a otra”, expresa Dorsey.</w:t>
      </w:r>
    </w:p>
    <w:p w:rsidR="00EF5FA4" w:rsidRPr="00DF5E5A" w:rsidRDefault="00EF5FA4" w:rsidP="00EF5FA4">
      <w:pPr>
        <w:spacing w:line="240" w:lineRule="auto"/>
        <w:jc w:val="both"/>
        <w:rPr>
          <w:rFonts w:ascii="Times New Roman" w:hAnsi="Times New Roman" w:cs="Times New Roman"/>
          <w:sz w:val="24"/>
          <w:szCs w:val="24"/>
        </w:rPr>
      </w:pPr>
      <w:r w:rsidRPr="00DF5E5A">
        <w:rPr>
          <w:rFonts w:ascii="Times New Roman" w:hAnsi="Times New Roman" w:cs="Times New Roman"/>
          <w:sz w:val="24"/>
          <w:szCs w:val="24"/>
        </w:rPr>
        <w:t>Esto también se refle</w:t>
      </w:r>
      <w:r>
        <w:rPr>
          <w:rFonts w:ascii="Times New Roman" w:hAnsi="Times New Roman" w:cs="Times New Roman"/>
          <w:sz w:val="24"/>
          <w:szCs w:val="24"/>
        </w:rPr>
        <w:t>ja en fenómenos como el de las “personas físicas”</w:t>
      </w:r>
      <w:r w:rsidRPr="00DF5E5A">
        <w:rPr>
          <w:rFonts w:ascii="Times New Roman" w:hAnsi="Times New Roman" w:cs="Times New Roman"/>
          <w:sz w:val="24"/>
          <w:szCs w:val="24"/>
        </w:rPr>
        <w:t>, y la in</w:t>
      </w:r>
      <w:r>
        <w:rPr>
          <w:rFonts w:ascii="Times New Roman" w:hAnsi="Times New Roman" w:cs="Times New Roman"/>
          <w:sz w:val="24"/>
          <w:szCs w:val="24"/>
        </w:rPr>
        <w:t>formalidad de los trabajadores.</w:t>
      </w:r>
    </w:p>
    <w:p w:rsidR="00EF5FA4" w:rsidRPr="00DF5E5A" w:rsidRDefault="00EF5FA4" w:rsidP="00EF5FA4">
      <w:pPr>
        <w:spacing w:line="240" w:lineRule="auto"/>
        <w:jc w:val="both"/>
        <w:rPr>
          <w:rFonts w:ascii="Times New Roman" w:hAnsi="Times New Roman" w:cs="Times New Roman"/>
          <w:sz w:val="24"/>
          <w:szCs w:val="24"/>
        </w:rPr>
      </w:pPr>
      <w:r w:rsidRPr="00DF5E5A">
        <w:rPr>
          <w:rFonts w:ascii="Times New Roman" w:hAnsi="Times New Roman" w:cs="Times New Roman"/>
          <w:sz w:val="24"/>
          <w:szCs w:val="24"/>
        </w:rPr>
        <w:t>Son los reveses en este conjunto de circunstancias los que hacen que los millennials se sientan</w:t>
      </w:r>
      <w:r>
        <w:rPr>
          <w:rFonts w:ascii="Times New Roman" w:hAnsi="Times New Roman" w:cs="Times New Roman"/>
          <w:sz w:val="24"/>
          <w:szCs w:val="24"/>
        </w:rPr>
        <w:t xml:space="preserve"> frustrados, dice Jason Dorsey.</w:t>
      </w:r>
    </w:p>
    <w:p w:rsidR="00EF5FA4" w:rsidRPr="00DF5E5A" w:rsidRDefault="00EF5FA4" w:rsidP="00EF5FA4">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DF5E5A">
        <w:rPr>
          <w:rFonts w:ascii="Times New Roman" w:hAnsi="Times New Roman" w:cs="Times New Roman"/>
          <w:sz w:val="24"/>
          <w:szCs w:val="24"/>
        </w:rPr>
        <w:t>Se enfrentaron con estos desafíos que los obligaban a posponer muchas cosas (logros): retrasar su carrera, su matrimonio, tener hijos, comprarse una casa, ahorrar para la jubilación… Comenzaron a sentir que muchas metas u objetivos que se habían marcado e</w:t>
      </w:r>
      <w:r>
        <w:rPr>
          <w:rFonts w:ascii="Times New Roman" w:hAnsi="Times New Roman" w:cs="Times New Roman"/>
          <w:sz w:val="24"/>
          <w:szCs w:val="24"/>
        </w:rPr>
        <w:t>llos mismos fueron reprimidos”.</w:t>
      </w:r>
    </w:p>
    <w:p w:rsidR="00EF5FA4" w:rsidRPr="00DF5E5A" w:rsidRDefault="00EF5FA4" w:rsidP="00EF5FA4">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DF5E5A">
        <w:rPr>
          <w:rFonts w:ascii="Times New Roman" w:hAnsi="Times New Roman" w:cs="Times New Roman"/>
          <w:sz w:val="24"/>
          <w:szCs w:val="24"/>
        </w:rPr>
        <w:t xml:space="preserve">E incluso los más afortunados que seguían trabajando y avanzando tenían la sensación de que había muchas fuerzas </w:t>
      </w:r>
      <w:r>
        <w:rPr>
          <w:rFonts w:ascii="Times New Roman" w:hAnsi="Times New Roman" w:cs="Times New Roman"/>
          <w:sz w:val="24"/>
          <w:szCs w:val="24"/>
        </w:rPr>
        <w:t>en su contra”, prosigue Dorsey.</w:t>
      </w:r>
    </w:p>
    <w:p w:rsidR="00EF5FA4" w:rsidRDefault="00EF5FA4" w:rsidP="00EF5FA4">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DF5E5A">
        <w:rPr>
          <w:rFonts w:ascii="Times New Roman" w:hAnsi="Times New Roman" w:cs="Times New Roman"/>
          <w:sz w:val="24"/>
          <w:szCs w:val="24"/>
        </w:rPr>
        <w:t>Se puede argumentar que esta generación, debido a elementos fuera de su control, siente que las cosas están más lejos de su alcance que en generaciones</w:t>
      </w:r>
      <w:r>
        <w:rPr>
          <w:rFonts w:ascii="Times New Roman" w:hAnsi="Times New Roman" w:cs="Times New Roman"/>
          <w:sz w:val="24"/>
          <w:szCs w:val="24"/>
        </w:rPr>
        <w:t xml:space="preserve"> anteriores”.</w:t>
      </w:r>
    </w:p>
    <w:p w:rsidR="00EF5FA4" w:rsidRPr="00DF5E5A" w:rsidRDefault="00EF5FA4" w:rsidP="00EF5FA4">
      <w:pPr>
        <w:spacing w:line="240" w:lineRule="auto"/>
        <w:jc w:val="both"/>
        <w:rPr>
          <w:rFonts w:ascii="Times New Roman" w:hAnsi="Times New Roman" w:cs="Times New Roman"/>
          <w:sz w:val="24"/>
          <w:szCs w:val="24"/>
        </w:rPr>
      </w:pPr>
      <w:r w:rsidRPr="00DF5E5A">
        <w:rPr>
          <w:rFonts w:ascii="Times New Roman" w:hAnsi="Times New Roman" w:cs="Times New Roman"/>
          <w:sz w:val="24"/>
          <w:szCs w:val="24"/>
        </w:rPr>
        <w:t>Los puntos fuertes de los millennials</w:t>
      </w:r>
    </w:p>
    <w:p w:rsidR="00EF5FA4" w:rsidRPr="00DF5E5A" w:rsidRDefault="00EF5FA4" w:rsidP="00EF5FA4">
      <w:pPr>
        <w:spacing w:line="240" w:lineRule="auto"/>
        <w:jc w:val="both"/>
        <w:rPr>
          <w:rFonts w:ascii="Times New Roman" w:hAnsi="Times New Roman" w:cs="Times New Roman"/>
          <w:sz w:val="24"/>
          <w:szCs w:val="24"/>
        </w:rPr>
      </w:pPr>
      <w:r w:rsidRPr="00DF5E5A">
        <w:rPr>
          <w:rFonts w:ascii="Times New Roman" w:hAnsi="Times New Roman" w:cs="Times New Roman"/>
          <w:sz w:val="24"/>
          <w:szCs w:val="24"/>
        </w:rPr>
        <w:t>Pero no todo es malo para esta generación, ni mucho menos: están más abiertos a la diversidad y más conscientes del impacto de sus hábitos de consumo que las genera</w:t>
      </w:r>
      <w:r>
        <w:rPr>
          <w:rFonts w:ascii="Times New Roman" w:hAnsi="Times New Roman" w:cs="Times New Roman"/>
          <w:sz w:val="24"/>
          <w:szCs w:val="24"/>
        </w:rPr>
        <w:t>ciones anteriores, por ejemplo.</w:t>
      </w:r>
    </w:p>
    <w:p w:rsidR="00EF5FA4" w:rsidRPr="00DF5E5A" w:rsidRDefault="00EF5FA4" w:rsidP="00EF5FA4">
      <w:pPr>
        <w:spacing w:line="240" w:lineRule="auto"/>
        <w:jc w:val="both"/>
        <w:rPr>
          <w:rFonts w:ascii="Times New Roman" w:hAnsi="Times New Roman" w:cs="Times New Roman"/>
          <w:sz w:val="24"/>
          <w:szCs w:val="24"/>
        </w:rPr>
      </w:pPr>
      <w:r w:rsidRPr="00DF5E5A">
        <w:rPr>
          <w:rFonts w:ascii="Times New Roman" w:hAnsi="Times New Roman" w:cs="Times New Roman"/>
          <w:sz w:val="24"/>
          <w:szCs w:val="24"/>
        </w:rPr>
        <w:t>También es la primera generación que comienza a tomar medidas contra la desigualdad salarial y laboral de género, aunque Dorsey cree que es probable que los cambios más profundos queda</w:t>
      </w:r>
      <w:r>
        <w:rPr>
          <w:rFonts w:ascii="Times New Roman" w:hAnsi="Times New Roman" w:cs="Times New Roman"/>
          <w:sz w:val="24"/>
          <w:szCs w:val="24"/>
        </w:rPr>
        <w:t>ron a cargo de la generación Z.</w:t>
      </w:r>
    </w:p>
    <w:p w:rsidR="00EF5FA4" w:rsidRPr="00DF5E5A" w:rsidRDefault="00EF5FA4" w:rsidP="00EF5FA4">
      <w:pPr>
        <w:spacing w:line="240" w:lineRule="auto"/>
        <w:jc w:val="both"/>
        <w:rPr>
          <w:rFonts w:ascii="Times New Roman" w:hAnsi="Times New Roman" w:cs="Times New Roman"/>
          <w:sz w:val="24"/>
          <w:szCs w:val="24"/>
        </w:rPr>
      </w:pPr>
      <w:r w:rsidRPr="00DF5E5A">
        <w:rPr>
          <w:rFonts w:ascii="Times New Roman" w:hAnsi="Times New Roman" w:cs="Times New Roman"/>
          <w:sz w:val="24"/>
          <w:szCs w:val="24"/>
        </w:rPr>
        <w:lastRenderedPageBreak/>
        <w:t>Los millennials también valoran mucho el espíritu empresarial, en promedio</w:t>
      </w:r>
      <w:r>
        <w:rPr>
          <w:rFonts w:ascii="Times New Roman" w:hAnsi="Times New Roman" w:cs="Times New Roman"/>
          <w:sz w:val="24"/>
          <w:szCs w:val="24"/>
        </w:rPr>
        <w:t>, más que sus padres o abuelos.</w:t>
      </w:r>
    </w:p>
    <w:p w:rsidR="00EF5FA4" w:rsidRPr="00DF5E5A" w:rsidRDefault="00EF5FA4" w:rsidP="00EF5FA4">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DF5E5A">
        <w:rPr>
          <w:rFonts w:ascii="Times New Roman" w:hAnsi="Times New Roman" w:cs="Times New Roman"/>
          <w:sz w:val="24"/>
          <w:szCs w:val="24"/>
        </w:rPr>
        <w:t>Fue la (primera) generación que vio a los emprendedores como mentores o inspiración. En otras generaciones, (la inspiración) podría haber venido de los directores ejecutivos de grandes empresas, jefes de gobier</w:t>
      </w:r>
      <w:r>
        <w:rPr>
          <w:rFonts w:ascii="Times New Roman" w:hAnsi="Times New Roman" w:cs="Times New Roman"/>
          <w:sz w:val="24"/>
          <w:szCs w:val="24"/>
        </w:rPr>
        <w:t>no u ocupantes de otros roles”.</w:t>
      </w:r>
    </w:p>
    <w:p w:rsidR="00EF5FA4" w:rsidRPr="00DF5E5A" w:rsidRDefault="00EF5FA4" w:rsidP="00EF5FA4">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DF5E5A">
        <w:rPr>
          <w:rFonts w:ascii="Times New Roman" w:hAnsi="Times New Roman" w:cs="Times New Roman"/>
          <w:sz w:val="24"/>
          <w:szCs w:val="24"/>
        </w:rPr>
        <w:t xml:space="preserve">Pero los millennials se convirtieron en adultos en un momento en que internet colocaba a los emprendedores </w:t>
      </w:r>
      <w:r>
        <w:rPr>
          <w:rFonts w:ascii="Times New Roman" w:hAnsi="Times New Roman" w:cs="Times New Roman"/>
          <w:sz w:val="24"/>
          <w:szCs w:val="24"/>
        </w:rPr>
        <w:t>en pedestales”, explica Dorsey.</w:t>
      </w:r>
    </w:p>
    <w:p w:rsidR="00EF5FA4" w:rsidRPr="00DF5E5A" w:rsidRDefault="00EF5FA4" w:rsidP="00EF5FA4">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DF5E5A">
        <w:rPr>
          <w:rFonts w:ascii="Times New Roman" w:hAnsi="Times New Roman" w:cs="Times New Roman"/>
          <w:sz w:val="24"/>
          <w:szCs w:val="24"/>
        </w:rPr>
        <w:t>Además, los millennials pueden iniciar negocios en internet de forma mucho más barata. Sin embargo, lo que hemos visto es que muchos millennials abren negocios en paralelo con otros trabajos (co</w:t>
      </w:r>
      <w:r>
        <w:rPr>
          <w:rFonts w:ascii="Times New Roman" w:hAnsi="Times New Roman" w:cs="Times New Roman"/>
          <w:sz w:val="24"/>
          <w:szCs w:val="24"/>
        </w:rPr>
        <w:t>mo un suplemento de ingresos)”.</w:t>
      </w:r>
    </w:p>
    <w:p w:rsidR="00EF5FA4" w:rsidRPr="00DF5E5A" w:rsidRDefault="00EF5FA4" w:rsidP="00EF5FA4">
      <w:pPr>
        <w:spacing w:line="240" w:lineRule="auto"/>
        <w:jc w:val="both"/>
        <w:rPr>
          <w:rFonts w:ascii="Times New Roman" w:hAnsi="Times New Roman" w:cs="Times New Roman"/>
          <w:sz w:val="24"/>
          <w:szCs w:val="24"/>
        </w:rPr>
      </w:pPr>
      <w:r w:rsidRPr="00DF5E5A">
        <w:rPr>
          <w:rFonts w:ascii="Times New Roman" w:hAnsi="Times New Roman" w:cs="Times New Roman"/>
          <w:sz w:val="24"/>
          <w:szCs w:val="24"/>
        </w:rPr>
        <w:t>Otra curiosidad: Dorsey ha visto en su investigación un número cada vez más grande de millennials mayores, aquellos en sus cuarenta y tantos, que reconsideran sus opciones profesionales y buscan nuevas direcciones en sus carreras, algo que muchos de sus padres podrían no haber considerado cuando tenían esa misma edad.</w:t>
      </w:r>
    </w:p>
    <w:p w:rsidR="00EF5FA4" w:rsidRPr="00DF5E5A" w:rsidRDefault="0006618D" w:rsidP="00EF5FA4">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EF5FA4" w:rsidRPr="00DF5E5A">
        <w:rPr>
          <w:rFonts w:ascii="Times New Roman" w:hAnsi="Times New Roman" w:cs="Times New Roman"/>
          <w:sz w:val="24"/>
          <w:szCs w:val="24"/>
        </w:rPr>
        <w:t>Parte de esta (reevaluación profesional) se debe a la etapa de la vida, y muchos millennials que se sienten desilusionados con sus caminos ahora están considerando otras opciones para la segunda mitad de s</w:t>
      </w:r>
      <w:r>
        <w:rPr>
          <w:rFonts w:ascii="Times New Roman" w:hAnsi="Times New Roman" w:cs="Times New Roman"/>
          <w:sz w:val="24"/>
          <w:szCs w:val="24"/>
        </w:rPr>
        <w:t>u carrera”</w:t>
      </w:r>
      <w:r w:rsidR="00EF5FA4" w:rsidRPr="00DF5E5A">
        <w:rPr>
          <w:rFonts w:ascii="Times New Roman" w:hAnsi="Times New Roman" w:cs="Times New Roman"/>
          <w:sz w:val="24"/>
          <w:szCs w:val="24"/>
        </w:rPr>
        <w:t>, señala Dorsey.</w:t>
      </w:r>
    </w:p>
    <w:p w:rsidR="00EF5FA4" w:rsidRPr="00DF5E5A" w:rsidRDefault="00EF5FA4" w:rsidP="00EF5FA4">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DF5E5A">
        <w:rPr>
          <w:rFonts w:ascii="Times New Roman" w:hAnsi="Times New Roman" w:cs="Times New Roman"/>
          <w:sz w:val="24"/>
          <w:szCs w:val="24"/>
        </w:rPr>
        <w:t>Otra parte de esto se debe a la pandemia, que tiene a muchos millennials pensando profundamente sobre lo que es importante para ellos y cómo pasan su tiempo, incluido el equilibrio entre el trabajo y la vida perso</w:t>
      </w:r>
      <w:r>
        <w:rPr>
          <w:rFonts w:ascii="Times New Roman" w:hAnsi="Times New Roman" w:cs="Times New Roman"/>
          <w:sz w:val="24"/>
          <w:szCs w:val="24"/>
        </w:rPr>
        <w:t>nal y el propósito de su vida”.</w:t>
      </w:r>
    </w:p>
    <w:p w:rsidR="00EF5FA4" w:rsidRPr="00DF5E5A" w:rsidRDefault="00EF5FA4" w:rsidP="00EF5FA4">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DF5E5A">
        <w:rPr>
          <w:rFonts w:ascii="Times New Roman" w:hAnsi="Times New Roman" w:cs="Times New Roman"/>
          <w:sz w:val="24"/>
          <w:szCs w:val="24"/>
        </w:rPr>
        <w:t>Esto se traduce en buscar otras carr</w:t>
      </w:r>
      <w:r>
        <w:rPr>
          <w:rFonts w:ascii="Times New Roman" w:hAnsi="Times New Roman" w:cs="Times New Roman"/>
          <w:sz w:val="24"/>
          <w:szCs w:val="24"/>
        </w:rPr>
        <w:t>eras u otros estilos de trabajo”</w:t>
      </w:r>
      <w:r w:rsidRPr="00DF5E5A">
        <w:rPr>
          <w:rFonts w:ascii="Times New Roman" w:hAnsi="Times New Roman" w:cs="Times New Roman"/>
          <w:sz w:val="24"/>
          <w:szCs w:val="24"/>
        </w:rPr>
        <w:t>.</w:t>
      </w:r>
    </w:p>
    <w:p w:rsidR="00EF5FA4" w:rsidRPr="00DF5E5A" w:rsidRDefault="00EF5FA4" w:rsidP="00EF5FA4">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DF5E5A">
        <w:rPr>
          <w:rFonts w:ascii="Times New Roman" w:hAnsi="Times New Roman" w:cs="Times New Roman"/>
          <w:sz w:val="24"/>
          <w:szCs w:val="24"/>
        </w:rPr>
        <w:t>Los millennials tienen grandes habilidades, son relativamente jóvenes, se beneficiarán de cualquier recuperación económica que se presente en los próximos años y tienen mucho tiempo por delante para tomar decisiones y e</w:t>
      </w:r>
      <w:r>
        <w:rPr>
          <w:rFonts w:ascii="Times New Roman" w:hAnsi="Times New Roman" w:cs="Times New Roman"/>
          <w:sz w:val="24"/>
          <w:szCs w:val="24"/>
        </w:rPr>
        <w:t>ncontrar su propósito”, señala.</w:t>
      </w:r>
    </w:p>
    <w:p w:rsidR="00EF5FA4" w:rsidRPr="00DF5E5A" w:rsidRDefault="00EF5FA4" w:rsidP="00EF5FA4">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DF5E5A">
        <w:rPr>
          <w:rFonts w:ascii="Times New Roman" w:hAnsi="Times New Roman" w:cs="Times New Roman"/>
          <w:sz w:val="24"/>
          <w:szCs w:val="24"/>
        </w:rPr>
        <w:t>Por un lado, tuvieron mala suerte, pero por otro lado, todavía tien</w:t>
      </w:r>
      <w:r>
        <w:rPr>
          <w:rFonts w:ascii="Times New Roman" w:hAnsi="Times New Roman" w:cs="Times New Roman"/>
          <w:sz w:val="24"/>
          <w:szCs w:val="24"/>
        </w:rPr>
        <w:t>en tiempo para sacar provecho”.</w:t>
      </w:r>
    </w:p>
    <w:p w:rsidR="00EF5FA4" w:rsidRPr="00DF5E5A" w:rsidRDefault="00EF5FA4" w:rsidP="00EF5FA4">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DF5E5A">
        <w:rPr>
          <w:rFonts w:ascii="Times New Roman" w:hAnsi="Times New Roman" w:cs="Times New Roman"/>
          <w:sz w:val="24"/>
          <w:szCs w:val="24"/>
        </w:rPr>
        <w:t>Y en muchos países los millennials representan la mayoría de la fuerza laboral actualmente activa y la generación más grande en puestos gerenciales. Están contribuyendo acti</w:t>
      </w:r>
      <w:r>
        <w:rPr>
          <w:rFonts w:ascii="Times New Roman" w:hAnsi="Times New Roman" w:cs="Times New Roman"/>
          <w:sz w:val="24"/>
          <w:szCs w:val="24"/>
        </w:rPr>
        <w:t>vamente a la economía”, agrega.</w:t>
      </w:r>
    </w:p>
    <w:p w:rsidR="00EF5FA4" w:rsidRPr="00DF5E5A" w:rsidRDefault="00EF5FA4" w:rsidP="00EF5FA4">
      <w:pPr>
        <w:spacing w:line="240" w:lineRule="auto"/>
        <w:jc w:val="both"/>
        <w:rPr>
          <w:rFonts w:ascii="Times New Roman" w:hAnsi="Times New Roman" w:cs="Times New Roman"/>
          <w:sz w:val="24"/>
          <w:szCs w:val="24"/>
        </w:rPr>
      </w:pPr>
      <w:r w:rsidRPr="00DF5E5A">
        <w:rPr>
          <w:rFonts w:ascii="Times New Roman" w:hAnsi="Times New Roman" w:cs="Times New Roman"/>
          <w:sz w:val="24"/>
          <w:szCs w:val="24"/>
        </w:rPr>
        <w:t>Las divisi</w:t>
      </w:r>
      <w:r>
        <w:rPr>
          <w:rFonts w:ascii="Times New Roman" w:hAnsi="Times New Roman" w:cs="Times New Roman"/>
          <w:sz w:val="24"/>
          <w:szCs w:val="24"/>
        </w:rPr>
        <w:t>ones entre generaciones, de la “silenciosa”</w:t>
      </w:r>
      <w:r w:rsidRPr="00DF5E5A">
        <w:rPr>
          <w:rFonts w:ascii="Times New Roman" w:hAnsi="Times New Roman" w:cs="Times New Roman"/>
          <w:sz w:val="24"/>
          <w:szCs w:val="24"/>
        </w:rPr>
        <w:t xml:space="preserve"> a la Z</w:t>
      </w:r>
    </w:p>
    <w:p w:rsidR="00EF5FA4" w:rsidRPr="00DF5E5A" w:rsidRDefault="00EF5FA4" w:rsidP="00EF5FA4">
      <w:pPr>
        <w:spacing w:line="240" w:lineRule="auto"/>
        <w:jc w:val="both"/>
        <w:rPr>
          <w:rFonts w:ascii="Times New Roman" w:hAnsi="Times New Roman" w:cs="Times New Roman"/>
          <w:sz w:val="24"/>
          <w:szCs w:val="24"/>
        </w:rPr>
      </w:pPr>
      <w:r w:rsidRPr="00DF5E5A">
        <w:rPr>
          <w:rFonts w:ascii="Times New Roman" w:hAnsi="Times New Roman" w:cs="Times New Roman"/>
          <w:sz w:val="24"/>
          <w:szCs w:val="24"/>
        </w:rPr>
        <w:t>Finalmente, puede ser que las nomenclaturas generacionales suen</w:t>
      </w:r>
      <w:r>
        <w:rPr>
          <w:rFonts w:ascii="Times New Roman" w:hAnsi="Times New Roman" w:cs="Times New Roman"/>
          <w:sz w:val="24"/>
          <w:szCs w:val="24"/>
        </w:rPr>
        <w:t>en a broma o a mera curiosidad.</w:t>
      </w:r>
    </w:p>
    <w:p w:rsidR="00EF5FA4" w:rsidRPr="00DF5E5A" w:rsidRDefault="00EF5FA4" w:rsidP="00EF5FA4">
      <w:pPr>
        <w:spacing w:line="240" w:lineRule="auto"/>
        <w:jc w:val="both"/>
        <w:rPr>
          <w:rFonts w:ascii="Times New Roman" w:hAnsi="Times New Roman" w:cs="Times New Roman"/>
          <w:sz w:val="24"/>
          <w:szCs w:val="24"/>
        </w:rPr>
      </w:pPr>
      <w:r w:rsidRPr="00DF5E5A">
        <w:rPr>
          <w:rFonts w:ascii="Times New Roman" w:hAnsi="Times New Roman" w:cs="Times New Roman"/>
          <w:sz w:val="24"/>
          <w:szCs w:val="24"/>
        </w:rPr>
        <w:t>Pero para los investigadores, estas d</w:t>
      </w:r>
      <w:r>
        <w:rPr>
          <w:rFonts w:ascii="Times New Roman" w:hAnsi="Times New Roman" w:cs="Times New Roman"/>
          <w:sz w:val="24"/>
          <w:szCs w:val="24"/>
        </w:rPr>
        <w:t>ivisiones son muy importantes: “</w:t>
      </w:r>
      <w:r w:rsidRPr="00DF5E5A">
        <w:rPr>
          <w:rFonts w:ascii="Times New Roman" w:hAnsi="Times New Roman" w:cs="Times New Roman"/>
          <w:sz w:val="24"/>
          <w:szCs w:val="24"/>
        </w:rPr>
        <w:t xml:space="preserve">son una herramienta para analizar los cambios en las </w:t>
      </w:r>
      <w:r>
        <w:rPr>
          <w:rFonts w:ascii="Times New Roman" w:hAnsi="Times New Roman" w:cs="Times New Roman"/>
          <w:sz w:val="24"/>
          <w:szCs w:val="24"/>
        </w:rPr>
        <w:t>opiniones a lo largo del tiempo”</w:t>
      </w:r>
      <w:r w:rsidRPr="00DF5E5A">
        <w:rPr>
          <w:rFonts w:ascii="Times New Roman" w:hAnsi="Times New Roman" w:cs="Times New Roman"/>
          <w:sz w:val="24"/>
          <w:szCs w:val="24"/>
        </w:rPr>
        <w:t>, explica en un texto Michael Dimoch, presidente del Pew, un importante instituto d</w:t>
      </w:r>
      <w:r>
        <w:rPr>
          <w:rFonts w:ascii="Times New Roman" w:hAnsi="Times New Roman" w:cs="Times New Roman"/>
          <w:sz w:val="24"/>
          <w:szCs w:val="24"/>
        </w:rPr>
        <w:t>e investigación estadounidense.</w:t>
      </w:r>
    </w:p>
    <w:p w:rsidR="00EF5FA4" w:rsidRPr="00DF5E5A" w:rsidRDefault="00EF5FA4" w:rsidP="00EF5FA4">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DF5E5A">
        <w:rPr>
          <w:rFonts w:ascii="Times New Roman" w:hAnsi="Times New Roman" w:cs="Times New Roman"/>
          <w:sz w:val="24"/>
          <w:szCs w:val="24"/>
        </w:rPr>
        <w:t xml:space="preserve">Estos recortes son una forma de que entendamos cómo las diferentes experiencias formativas (como eventos globales y cambios tecnológicos, económicos y sociales) interactúan con el ciclo de vida y el envejecimiento para dar forma a la visión que </w:t>
      </w:r>
      <w:r>
        <w:rPr>
          <w:rFonts w:ascii="Times New Roman" w:hAnsi="Times New Roman" w:cs="Times New Roman"/>
          <w:sz w:val="24"/>
          <w:szCs w:val="24"/>
        </w:rPr>
        <w:t>las personas tienen del mundo”.</w:t>
      </w:r>
    </w:p>
    <w:p w:rsidR="00EF5FA4" w:rsidRPr="00DF5E5A" w:rsidRDefault="00EF5FA4" w:rsidP="00EF5FA4">
      <w:pPr>
        <w:spacing w:line="240" w:lineRule="auto"/>
        <w:jc w:val="both"/>
        <w:rPr>
          <w:rFonts w:ascii="Times New Roman" w:hAnsi="Times New Roman" w:cs="Times New Roman"/>
          <w:sz w:val="24"/>
          <w:szCs w:val="24"/>
        </w:rPr>
      </w:pPr>
      <w:r w:rsidRPr="00DF5E5A">
        <w:rPr>
          <w:rFonts w:ascii="Times New Roman" w:hAnsi="Times New Roman" w:cs="Times New Roman"/>
          <w:sz w:val="24"/>
          <w:szCs w:val="24"/>
        </w:rPr>
        <w:lastRenderedPageBreak/>
        <w:t>El Pew define a los millennials como aquellos que nacieron entre 1981 y 1</w:t>
      </w:r>
      <w:r>
        <w:rPr>
          <w:rFonts w:ascii="Times New Roman" w:hAnsi="Times New Roman" w:cs="Times New Roman"/>
          <w:sz w:val="24"/>
          <w:szCs w:val="24"/>
        </w:rPr>
        <w:t>996.</w:t>
      </w:r>
    </w:p>
    <w:p w:rsidR="00EF5FA4" w:rsidRPr="00DF5E5A" w:rsidRDefault="00EF5FA4" w:rsidP="00EF5FA4">
      <w:pPr>
        <w:spacing w:line="240" w:lineRule="auto"/>
        <w:jc w:val="both"/>
        <w:rPr>
          <w:rFonts w:ascii="Times New Roman" w:hAnsi="Times New Roman" w:cs="Times New Roman"/>
          <w:sz w:val="24"/>
          <w:szCs w:val="24"/>
        </w:rPr>
      </w:pPr>
      <w:r w:rsidRPr="00DF5E5A">
        <w:rPr>
          <w:rFonts w:ascii="Times New Roman" w:hAnsi="Times New Roman" w:cs="Times New Roman"/>
          <w:sz w:val="24"/>
          <w:szCs w:val="24"/>
        </w:rPr>
        <w:t>En el caso del Centro de Cinética Generacional de Jason Dorsey, este intervalo es ligerament</w:t>
      </w:r>
      <w:r>
        <w:rPr>
          <w:rFonts w:ascii="Times New Roman" w:hAnsi="Times New Roman" w:cs="Times New Roman"/>
          <w:sz w:val="24"/>
          <w:szCs w:val="24"/>
        </w:rPr>
        <w:t>e diferente: entre 1977 y 1995.</w:t>
      </w:r>
    </w:p>
    <w:p w:rsidR="00EF5FA4" w:rsidRPr="00DF5E5A" w:rsidRDefault="00EF5FA4" w:rsidP="00EF5FA4">
      <w:pPr>
        <w:spacing w:line="240" w:lineRule="auto"/>
        <w:jc w:val="both"/>
        <w:rPr>
          <w:rFonts w:ascii="Times New Roman" w:hAnsi="Times New Roman" w:cs="Times New Roman"/>
          <w:sz w:val="24"/>
          <w:szCs w:val="24"/>
        </w:rPr>
      </w:pPr>
      <w:r w:rsidRPr="00DF5E5A">
        <w:rPr>
          <w:rFonts w:ascii="Times New Roman" w:hAnsi="Times New Roman" w:cs="Times New Roman"/>
          <w:sz w:val="24"/>
          <w:szCs w:val="24"/>
        </w:rPr>
        <w:t xml:space="preserve">Más que el año inicial en sí, </w:t>
      </w:r>
      <w:r>
        <w:rPr>
          <w:rFonts w:ascii="Times New Roman" w:hAnsi="Times New Roman" w:cs="Times New Roman"/>
          <w:sz w:val="24"/>
          <w:szCs w:val="24"/>
        </w:rPr>
        <w:t>la generación está determinada “</w:t>
      </w:r>
      <w:r w:rsidRPr="00DF5E5A">
        <w:rPr>
          <w:rFonts w:ascii="Times New Roman" w:hAnsi="Times New Roman" w:cs="Times New Roman"/>
          <w:sz w:val="24"/>
          <w:szCs w:val="24"/>
        </w:rPr>
        <w:t xml:space="preserve">por su contacto inicial con la tecnología, que vivan en áreas urbanas o suburbanas, el nivel de ingresos y educación de sus padres, porque (debido a esto) cada persona puede ser introducida a la tecnología más </w:t>
      </w:r>
      <w:r>
        <w:rPr>
          <w:rFonts w:ascii="Times New Roman" w:hAnsi="Times New Roman" w:cs="Times New Roman"/>
          <w:sz w:val="24"/>
          <w:szCs w:val="24"/>
        </w:rPr>
        <w:t>tarde o más temprano”, explica.</w:t>
      </w:r>
    </w:p>
    <w:p w:rsidR="00EF5FA4" w:rsidRPr="00373890" w:rsidRDefault="00EF5FA4" w:rsidP="00EF5FA4">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DF5E5A">
        <w:rPr>
          <w:rFonts w:ascii="Times New Roman" w:hAnsi="Times New Roman" w:cs="Times New Roman"/>
          <w:sz w:val="24"/>
          <w:szCs w:val="24"/>
        </w:rPr>
        <w:t>Pero concluimos (la generación del milenio) en 1995 debido al 11 de septiembre, que fue muy impactante en muchas partes del mundo. Y los que nacieron después de 1995 no recuerdan el 11 de s</w:t>
      </w:r>
      <w:r>
        <w:rPr>
          <w:rFonts w:ascii="Times New Roman" w:hAnsi="Times New Roman" w:cs="Times New Roman"/>
          <w:sz w:val="24"/>
          <w:szCs w:val="24"/>
        </w:rPr>
        <w:t>eptiembre”.</w:t>
      </w:r>
    </w:p>
    <w:p w:rsidR="00EF5FA4" w:rsidRPr="00A02398" w:rsidRDefault="00EF5FA4" w:rsidP="00EF5FA4">
      <w:pPr>
        <w:pStyle w:val="Ttulo2"/>
        <w:spacing w:before="240" w:after="240" w:line="240" w:lineRule="auto"/>
        <w:jc w:val="both"/>
        <w:rPr>
          <w:rFonts w:ascii="Times New Roman" w:hAnsi="Times New Roman" w:cs="Times New Roman"/>
          <w:b w:val="0"/>
          <w:color w:val="auto"/>
          <w:sz w:val="24"/>
          <w:szCs w:val="24"/>
        </w:rPr>
      </w:pPr>
      <w:r w:rsidRPr="00A02398">
        <w:rPr>
          <w:rFonts w:ascii="Times New Roman" w:hAnsi="Times New Roman" w:cs="Times New Roman"/>
          <w:b w:val="0"/>
          <w:color w:val="auto"/>
          <w:sz w:val="24"/>
          <w:szCs w:val="24"/>
        </w:rPr>
        <w:t>Emancipación a los 30, ¿cómo cambiar esto?</w:t>
      </w:r>
    </w:p>
    <w:p w:rsidR="00EF5FA4" w:rsidRPr="00A02398" w:rsidRDefault="00EF5FA4" w:rsidP="00EF5FA4">
      <w:pPr>
        <w:pStyle w:val="NormalWeb"/>
        <w:spacing w:before="0" w:beforeAutospacing="0" w:after="360" w:afterAutospacing="0"/>
        <w:jc w:val="both"/>
      </w:pPr>
      <w:r w:rsidRPr="00A02398">
        <w:t>En España, la edad media de emancipación es </w:t>
      </w:r>
      <w:r w:rsidRPr="00A02398">
        <w:rPr>
          <w:rStyle w:val="Textoennegrita"/>
          <w:b w:val="0"/>
        </w:rPr>
        <w:t>de 29 años</w:t>
      </w:r>
      <w:r w:rsidRPr="00A02398">
        <w:t>, una cifra muy por encima de la media europea, que se sitúa en 26 años, según datos de la Oficina Europea de Estadística, Eurostat. “Para mis padres, por ejemplo, era impensable emanciparse a los 30 años, y lo peor es que no siento que haya una verdadera preocupación porque nos estemos emancipando a esas edades y de las formas que nos emancipamos, en </w:t>
      </w:r>
      <w:r w:rsidRPr="00A02398">
        <w:rPr>
          <w:rStyle w:val="Textoennegrita"/>
          <w:b w:val="0"/>
        </w:rPr>
        <w:t>pisos pequeños y compartiendo</w:t>
      </w:r>
      <w:r w:rsidRPr="00A02398">
        <w:t> con otras personas”, lamentó Germán Sánchez.</w:t>
      </w:r>
    </w:p>
    <w:p w:rsidR="00EF5FA4" w:rsidRPr="00A02398" w:rsidRDefault="00EF5FA4" w:rsidP="00EF5FA4">
      <w:pPr>
        <w:pStyle w:val="NormalWeb"/>
        <w:spacing w:before="0" w:beforeAutospacing="0" w:after="360" w:afterAutospacing="0"/>
        <w:jc w:val="both"/>
      </w:pPr>
      <w:r w:rsidRPr="00A02398">
        <w:t>Idoia de Paz incidió en la importancia de canalizar más ayudas para los jóvenes desde la esfera pública: “Tenemos una cultura muy focalizada en que </w:t>
      </w:r>
      <w:r w:rsidRPr="00A02398">
        <w:rPr>
          <w:rStyle w:val="Textoennegrita"/>
          <w:b w:val="0"/>
        </w:rPr>
        <w:t>la familia asuma</w:t>
      </w:r>
      <w:r w:rsidRPr="00A02398">
        <w:t> la formación y la emancipación temprana de los jóvenes, algo que en otros países cubre el Estado y que permite a la gente </w:t>
      </w:r>
      <w:r w:rsidRPr="00A02398">
        <w:rPr>
          <w:rStyle w:val="Textoennegrita"/>
          <w:b w:val="0"/>
        </w:rPr>
        <w:t>independizarse mucho antes</w:t>
      </w:r>
      <w:r w:rsidRPr="00A02398">
        <w:t>”, dijo De Paz. Es el caso de países nórdicos como Noruega, donde la edad media es de 19 años, según datos de Eurostat.</w:t>
      </w:r>
    </w:p>
    <w:p w:rsidR="00EF5FA4" w:rsidRPr="00A02398" w:rsidRDefault="00EF5FA4" w:rsidP="00EF5FA4">
      <w:pPr>
        <w:pStyle w:val="NormalWeb"/>
        <w:spacing w:before="0" w:beforeAutospacing="0" w:after="360" w:afterAutospacing="0"/>
        <w:jc w:val="both"/>
      </w:pPr>
      <w:r w:rsidRPr="00A02398">
        <w:t>Pero ¿escucha la esfera política las peticiones de los jóvenes? “Hemos reivindicado muchas cosas, nos manifestamos y sentimos que </w:t>
      </w:r>
      <w:r w:rsidRPr="00A02398">
        <w:rPr>
          <w:rStyle w:val="Textoennegrita"/>
          <w:b w:val="0"/>
        </w:rPr>
        <w:t>no se nos escucha</w:t>
      </w:r>
      <w:r w:rsidRPr="00A02398">
        <w:t xml:space="preserve">, que damos igual, nos hacen sentir como si tuviéramos una rabieta de niños”, lamentó el creador de contenidos Germán Sánchez. “Este sentimiento de frustración hace que seamos más revolucionarios y que nos polaricemos más, y a veces son los movimientos más radicales los que acaban calando”, añadió </w:t>
      </w:r>
      <w:r>
        <w:t>el joven. Para ser escuchados, “</w:t>
      </w:r>
      <w:r w:rsidRPr="00A02398">
        <w:t>ahora nos movilizamos a través de las </w:t>
      </w:r>
      <w:r w:rsidRPr="00A02398">
        <w:rPr>
          <w:rStyle w:val="Textoennegrita"/>
          <w:b w:val="0"/>
        </w:rPr>
        <w:t>redes sociales</w:t>
      </w:r>
      <w:r w:rsidRPr="00A02398">
        <w:t> y comunicamos nuestros sentimientos y opiniones de otra manera”, testificó Sánchez. </w:t>
      </w:r>
    </w:p>
    <w:p w:rsidR="00EF5FA4" w:rsidRDefault="00EF5FA4" w:rsidP="00EF5FA4">
      <w:pPr>
        <w:pStyle w:val="NormalWeb"/>
        <w:spacing w:before="0" w:beforeAutospacing="0" w:after="360" w:afterAutospacing="0"/>
        <w:jc w:val="both"/>
      </w:pPr>
      <w:r w:rsidRPr="00A02398">
        <w:t>Está claro</w:t>
      </w:r>
      <w:r>
        <w:t xml:space="preserve"> que los modelos han cambiado. “</w:t>
      </w:r>
      <w:r w:rsidRPr="00A02398">
        <w:t>Cada vez son menos los jóvenes que</w:t>
      </w:r>
      <w:r w:rsidRPr="00A02398">
        <w:rPr>
          <w:rStyle w:val="Textoennegrita"/>
          <w:b w:val="0"/>
        </w:rPr>
        <w:t> acuden a un sindicato</w:t>
      </w:r>
      <w:r w:rsidRPr="00A02398">
        <w:t> o se afilian a un partido políti</w:t>
      </w:r>
      <w:r>
        <w:t>co para luchar por sus derechos”</w:t>
      </w:r>
      <w:r w:rsidRPr="00A02398">
        <w:t>, afirmó Josep Sala: “Desde que comenzaron estos movimientos con la generación tapón, los sindicatos en España solo han trabajado para proteger a los que ya eran fijos dentro de las organizaciones”. El escritor puso el ejemplo de las </w:t>
      </w:r>
      <w:r w:rsidRPr="00A02398">
        <w:rPr>
          <w:rStyle w:val="Textoennegrita"/>
          <w:b w:val="0"/>
        </w:rPr>
        <w:t>dobles escalas salariales</w:t>
      </w:r>
      <w:r w:rsidRPr="00A02398">
        <w:t>, a través de las cuales el empleado fijo cobraba lo mismo y el que e</w:t>
      </w:r>
      <w:r>
        <w:t>ntraba nuevo cobraba la mitad. “</w:t>
      </w:r>
      <w:r w:rsidRPr="00A02398">
        <w:t>Esto fue aceptado por los sindicatos”, indicó el escritor. La generación X “fracasó en sus reivindicaciones”, por eso ahora los jóvenes “tienen que dejar atrás</w:t>
      </w:r>
      <w:r w:rsidRPr="00A02398">
        <w:rPr>
          <w:rStyle w:val="Textoennegrita"/>
          <w:b w:val="0"/>
        </w:rPr>
        <w:t> los modelos antiguos </w:t>
      </w:r>
      <w:r w:rsidRPr="00A02398">
        <w:t>y utilizar nuevos espacios y canales, como por ejemplo las redes sociales”, dijo Sala i Cullel, a lo que Idoia de Paz añadió qu</w:t>
      </w:r>
      <w:r>
        <w:t>e “</w:t>
      </w:r>
      <w:r w:rsidRPr="00A02398">
        <w:t>las redes sociales utilizadas con inteligencia, con afán de transformación y de cambio son un buen canal en el que articular discursos y generar debate”.</w:t>
      </w:r>
    </w:p>
    <w:p w:rsidR="00EF5FA4" w:rsidRDefault="00EF5FA4" w:rsidP="00EF5FA4">
      <w:pPr>
        <w:pStyle w:val="NormalWeb"/>
        <w:spacing w:before="0" w:beforeAutospacing="0" w:after="360" w:afterAutospacing="0"/>
        <w:jc w:val="both"/>
      </w:pPr>
    </w:p>
    <w:p w:rsidR="00EF5FA4" w:rsidRPr="00BB1D7A" w:rsidRDefault="00EF5FA4" w:rsidP="00EF5FA4">
      <w:pPr>
        <w:pStyle w:val="NormalWeb"/>
        <w:spacing w:before="0" w:beforeAutospacing="0" w:after="360" w:afterAutospacing="0"/>
        <w:jc w:val="both"/>
      </w:pPr>
      <w:r w:rsidRPr="00BB1D7A">
        <w:lastRenderedPageBreak/>
        <w:t xml:space="preserve">- </w:t>
      </w:r>
      <w:r>
        <w:rPr>
          <w:u w:val="single"/>
        </w:rPr>
        <w:t>No los llames “millennials”</w:t>
      </w:r>
      <w:r w:rsidRPr="00BB1D7A">
        <w:rPr>
          <w:u w:val="single"/>
        </w:rPr>
        <w:t>, llámalos Generación Quemada</w:t>
      </w:r>
      <w:r w:rsidRPr="00BB1D7A">
        <w:t xml:space="preserve"> (El País - </w:t>
      </w:r>
      <w:r w:rsidRPr="00BB1D7A">
        <w:rPr>
          <w:b/>
        </w:rPr>
        <w:t>20/1/22</w:t>
      </w:r>
      <w:r w:rsidRPr="00BB1D7A">
        <w:t>)</w:t>
      </w:r>
    </w:p>
    <w:p w:rsidR="004121AC" w:rsidRPr="00DF5E5A" w:rsidRDefault="00EF5FA4" w:rsidP="004121AC">
      <w:pPr>
        <w:spacing w:line="240" w:lineRule="auto"/>
        <w:jc w:val="both"/>
        <w:rPr>
          <w:rFonts w:ascii="Times New Roman" w:hAnsi="Times New Roman" w:cs="Times New Roman"/>
          <w:sz w:val="24"/>
          <w:szCs w:val="24"/>
        </w:rPr>
      </w:pPr>
      <w:r w:rsidRPr="00DF5E5A">
        <w:rPr>
          <w:rFonts w:ascii="Times New Roman" w:hAnsi="Times New Roman" w:cs="Times New Roman"/>
          <w:sz w:val="24"/>
          <w:szCs w:val="24"/>
        </w:rPr>
        <w:t>El protagonista de la serie de HB</w:t>
      </w:r>
      <w:r>
        <w:rPr>
          <w:rFonts w:ascii="Times New Roman" w:hAnsi="Times New Roman" w:cs="Times New Roman"/>
          <w:sz w:val="24"/>
          <w:szCs w:val="24"/>
        </w:rPr>
        <w:t>O “High maintenance” es un “millennial viejo”</w:t>
      </w:r>
      <w:r w:rsidRPr="00DF5E5A">
        <w:rPr>
          <w:rFonts w:ascii="Times New Roman" w:hAnsi="Times New Roman" w:cs="Times New Roman"/>
          <w:sz w:val="24"/>
          <w:szCs w:val="24"/>
        </w:rPr>
        <w:t xml:space="preserve"> que es camello de marihuana y se traslada en bici por Nueva York. Estamos tan fastidiados que su trabajo parece hasta medio atractivo.</w:t>
      </w:r>
      <w:r w:rsidR="004121AC" w:rsidRPr="00DF5E5A">
        <w:rPr>
          <w:rFonts w:ascii="Times New Roman" w:hAnsi="Times New Roman" w:cs="Times New Roman"/>
          <w:sz w:val="24"/>
          <w:szCs w:val="24"/>
        </w:rPr>
        <w:t>Los gurús de la sociología moderna anuncian el fracaso de la generación más visualizada de los últimos tiempos. Así se ha producido</w:t>
      </w:r>
      <w:r w:rsidR="004121AC">
        <w:rPr>
          <w:rFonts w:ascii="Times New Roman" w:hAnsi="Times New Roman" w:cs="Times New Roman"/>
          <w:sz w:val="24"/>
          <w:szCs w:val="24"/>
        </w:rPr>
        <w:t>:</w:t>
      </w:r>
    </w:p>
    <w:p w:rsidR="00EF5FA4" w:rsidRPr="00DF5E5A" w:rsidRDefault="00EF5FA4" w:rsidP="00EF5FA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DF5E5A">
        <w:rPr>
          <w:rFonts w:ascii="Times New Roman" w:hAnsi="Times New Roman" w:cs="Times New Roman"/>
          <w:sz w:val="24"/>
          <w:szCs w:val="24"/>
        </w:rPr>
        <w:t>Xavi Sancho</w:t>
      </w:r>
      <w:r>
        <w:rPr>
          <w:rFonts w:ascii="Times New Roman" w:hAnsi="Times New Roman" w:cs="Times New Roman"/>
          <w:sz w:val="24"/>
          <w:szCs w:val="24"/>
        </w:rPr>
        <w:t>)</w:t>
      </w:r>
    </w:p>
    <w:p w:rsidR="00EF5FA4" w:rsidRPr="00DF5E5A" w:rsidRDefault="00EF5FA4" w:rsidP="00EF5FA4">
      <w:pPr>
        <w:spacing w:line="240" w:lineRule="auto"/>
        <w:jc w:val="both"/>
        <w:rPr>
          <w:rFonts w:ascii="Times New Roman" w:hAnsi="Times New Roman" w:cs="Times New Roman"/>
          <w:sz w:val="24"/>
          <w:szCs w:val="24"/>
        </w:rPr>
      </w:pPr>
      <w:r w:rsidRPr="00DF5E5A">
        <w:rPr>
          <w:rFonts w:ascii="Times New Roman" w:hAnsi="Times New Roman" w:cs="Times New Roman"/>
          <w:sz w:val="24"/>
          <w:szCs w:val="24"/>
        </w:rPr>
        <w:t>¿Cuándo te decides a ir a recoger un correo certificado este ya ha sido siempre devuelto? ¿Te resulta titánica la tarea de cocinar un martes por la noche? ¿Ves poco factible llegar a tiempo mañana a la oficina del padrón municipal antes de que cierre? ¿Se te ha dañado la tarjeta de débito y aún no has sido capaz de pedir una nueva? ¿Sigues sin tarjeta de residente para poder aparcar tu vehículo en el barrio? ¿Pagas el alquiler siempre días tarde, no por no tener fondos, sino por… lo que sea? Si la respuesta a todas estas preguntas es sí, eres un vago, o un despistado, o un tímido administrativo. O todo lo anterior. Eso sí, en el caso de que la respuesta sea sí y te identifiques como millennial, estás de suerte: un ensayo publicado en Buzzfeed News da un nombre bastante más sexi a tu patología: pert</w:t>
      </w:r>
      <w:r>
        <w:rPr>
          <w:rFonts w:ascii="Times New Roman" w:hAnsi="Times New Roman" w:cs="Times New Roman"/>
          <w:sz w:val="24"/>
          <w:szCs w:val="24"/>
        </w:rPr>
        <w:t>eneces a la Generación Quemada.</w:t>
      </w:r>
    </w:p>
    <w:p w:rsidR="00EF5FA4" w:rsidRPr="00DF5E5A" w:rsidRDefault="00EF5FA4" w:rsidP="00EF5FA4">
      <w:pPr>
        <w:spacing w:line="240" w:lineRule="auto"/>
        <w:jc w:val="both"/>
        <w:rPr>
          <w:rFonts w:ascii="Times New Roman" w:hAnsi="Times New Roman" w:cs="Times New Roman"/>
          <w:sz w:val="24"/>
          <w:szCs w:val="24"/>
        </w:rPr>
      </w:pPr>
      <w:r w:rsidRPr="00DF5E5A">
        <w:rPr>
          <w:rFonts w:ascii="Times New Roman" w:hAnsi="Times New Roman" w:cs="Times New Roman"/>
          <w:sz w:val="24"/>
          <w:szCs w:val="24"/>
        </w:rPr>
        <w:t>Escrito por Anne Helen Petersen, el texto se ha convertido en una de las piezas más comentadas, compartidas y analizadas de lo que va de año. El periódico británico The Guardian lo ha bendecido. El estadounidense Slate lo ha crucificado. En una pirueta más que meritoria, Petersen explica cómo ella y sus coetáneos no es que sean despistados como lo fuimos (y somos) los de antes y los de después, sino que, como sucede en casi todos los análisis que tienen como objeto de estudio a los millennials, lo suyo, aunque difiera en bien poco con respecto a los que otros han hecho y harán, surge de una realidad a la que solo ellos ha</w:t>
      </w:r>
      <w:r>
        <w:rPr>
          <w:rFonts w:ascii="Times New Roman" w:hAnsi="Times New Roman" w:cs="Times New Roman"/>
          <w:sz w:val="24"/>
          <w:szCs w:val="24"/>
        </w:rPr>
        <w:t>n sido expuestos. Un poco del “todo fluye” de Heráclito para llegar al “todo se queda igual”</w:t>
      </w:r>
      <w:r w:rsidRPr="00DF5E5A">
        <w:rPr>
          <w:rFonts w:ascii="Times New Roman" w:hAnsi="Times New Roman" w:cs="Times New Roman"/>
          <w:sz w:val="24"/>
          <w:szCs w:val="24"/>
        </w:rPr>
        <w:t xml:space="preserve"> de Parménides.</w:t>
      </w:r>
    </w:p>
    <w:p w:rsidR="00EF5FA4" w:rsidRPr="00DF5E5A" w:rsidRDefault="00EF5FA4" w:rsidP="00EF5FA4">
      <w:pPr>
        <w:spacing w:line="240" w:lineRule="auto"/>
        <w:jc w:val="both"/>
        <w:rPr>
          <w:rFonts w:ascii="Times New Roman" w:hAnsi="Times New Roman" w:cs="Times New Roman"/>
          <w:sz w:val="24"/>
          <w:szCs w:val="24"/>
        </w:rPr>
      </w:pPr>
      <w:r w:rsidRPr="00DF5E5A">
        <w:rPr>
          <w:rFonts w:ascii="Times New Roman" w:hAnsi="Times New Roman" w:cs="Times New Roman"/>
          <w:sz w:val="24"/>
          <w:szCs w:val="24"/>
        </w:rPr>
        <w:t>Según la autora, la obsesión con el éxito profesional, la volátil del mercado laboral, la presión paterna, el autoempleo, la ambición, la necesidad de estar siempre conectado con el mundo y siempre a disposición del cliente o el empleador, de hacer de sí mismo una marca, la imposibilidad de ahorrar y demás males asociados al mercado laboral en la penúltima reinvención del sistema capitalista, ha provocado que toda una generación cuya franja más adulta apenas acaba de cumplir los 35 se haya ya desgastado hasta el punto de no diferenciar lo urgent</w:t>
      </w:r>
      <w:r>
        <w:rPr>
          <w:rFonts w:ascii="Times New Roman" w:hAnsi="Times New Roman" w:cs="Times New Roman"/>
          <w:sz w:val="24"/>
          <w:szCs w:val="24"/>
        </w:rPr>
        <w:t>e de lo importante. Todo lo es.</w:t>
      </w:r>
    </w:p>
    <w:p w:rsidR="00EF5FA4" w:rsidRPr="00DF5E5A" w:rsidRDefault="00EF5FA4" w:rsidP="00EF5FA4">
      <w:pPr>
        <w:spacing w:line="240" w:lineRule="auto"/>
        <w:jc w:val="both"/>
        <w:rPr>
          <w:rFonts w:ascii="Times New Roman" w:hAnsi="Times New Roman" w:cs="Times New Roman"/>
          <w:sz w:val="24"/>
          <w:szCs w:val="24"/>
        </w:rPr>
      </w:pPr>
      <w:r w:rsidRPr="00DF5E5A">
        <w:rPr>
          <w:rFonts w:ascii="Times New Roman" w:hAnsi="Times New Roman" w:cs="Times New Roman"/>
          <w:sz w:val="24"/>
          <w:szCs w:val="24"/>
        </w:rPr>
        <w:t>A pesar de dar escasas satisfacciones y menos dinero, trabajar con el fin de realizarse es lo único que importa, lo único a lo que vale la pena entregar el cuerpo, el alma y las horas que haga falta. Los millennials están cansados, estresados, agobiados, sobrepasados. Como casi todos. La diferencia es que lo suyo parece no tener remedio, pues han sido entrenados para optimizarlo todo… menos ellos mismos y su vida personal. Entonces, cuenta Petersen, cada vez que son más eficaces en sus trabajos, lo son menos en sus vidas privadas. Y cada vez que son más eficaces, sus jefes se vienen más arriba y les p</w:t>
      </w:r>
      <w:r>
        <w:rPr>
          <w:rFonts w:ascii="Times New Roman" w:hAnsi="Times New Roman" w:cs="Times New Roman"/>
          <w:sz w:val="24"/>
          <w:szCs w:val="24"/>
        </w:rPr>
        <w:t>iden más sin darles nada extra.</w:t>
      </w:r>
    </w:p>
    <w:p w:rsidR="00EF5FA4" w:rsidRPr="00DF5E5A" w:rsidRDefault="00EF5FA4" w:rsidP="00EF5FA4">
      <w:pPr>
        <w:spacing w:line="240" w:lineRule="auto"/>
        <w:jc w:val="both"/>
        <w:rPr>
          <w:rFonts w:ascii="Times New Roman" w:hAnsi="Times New Roman" w:cs="Times New Roman"/>
          <w:sz w:val="24"/>
          <w:szCs w:val="24"/>
        </w:rPr>
      </w:pPr>
      <w:r w:rsidRPr="00DF5E5A">
        <w:rPr>
          <w:rFonts w:ascii="Times New Roman" w:hAnsi="Times New Roman" w:cs="Times New Roman"/>
          <w:sz w:val="24"/>
          <w:szCs w:val="24"/>
        </w:rPr>
        <w:t xml:space="preserve">Este círculo vicioso ha propulsado toda una industria destinada a aliviar esta condición de persona quemada. Desde los libros de autoayuda hasta el yoga, pasando por gente tan indeseable como Marie Kondo, el colmo de la perversión de esta maquinaria que ofrece curar el estrés fuera del trabajo con una sonrisa y soluciones estéticas a problemas estructurales. </w:t>
      </w:r>
      <w:r w:rsidRPr="00DF5E5A">
        <w:rPr>
          <w:rFonts w:ascii="Times New Roman" w:hAnsi="Times New Roman" w:cs="Times New Roman"/>
          <w:sz w:val="24"/>
          <w:szCs w:val="24"/>
        </w:rPr>
        <w:lastRenderedPageBreak/>
        <w:t>Kondo es la cara maléfica de esta patología: ordena y serás feliz; tira cosas y serás feliz; céntrate y serás f</w:t>
      </w:r>
      <w:r>
        <w:rPr>
          <w:rFonts w:ascii="Times New Roman" w:hAnsi="Times New Roman" w:cs="Times New Roman"/>
          <w:sz w:val="24"/>
          <w:szCs w:val="24"/>
        </w:rPr>
        <w:t>eliz. Vete a paseo Marie Kondo.</w:t>
      </w:r>
    </w:p>
    <w:p w:rsidR="00EF5FA4" w:rsidRPr="00DF5E5A" w:rsidRDefault="00EF5FA4" w:rsidP="00EF5FA4">
      <w:pPr>
        <w:spacing w:line="240" w:lineRule="auto"/>
        <w:jc w:val="both"/>
        <w:rPr>
          <w:rFonts w:ascii="Times New Roman" w:hAnsi="Times New Roman" w:cs="Times New Roman"/>
          <w:sz w:val="24"/>
          <w:szCs w:val="24"/>
        </w:rPr>
      </w:pPr>
      <w:r w:rsidRPr="00DF5E5A">
        <w:rPr>
          <w:rFonts w:ascii="Times New Roman" w:hAnsi="Times New Roman" w:cs="Times New Roman"/>
          <w:sz w:val="24"/>
          <w:szCs w:val="24"/>
        </w:rPr>
        <w:t>El caso es que hace solo 10 años, cuando explotó la crisis, empezaron a surgir como champiñones historias de brokers, abogados y empresarios varios que habían decidido dejarlo todo para dedicarse a hacer zapatos a mano, bicicletas a mano o sombreros a mano. Todos podíamos salir de la espiral consumista, de la adicción al trabajo, de la maldad del sistema para cumplir nuestros sueños más íntimos, o incluso los que jamás habíamos sabido que teníamos. El lugar común de la reinvención sincera y bo</w:t>
      </w:r>
      <w:r>
        <w:rPr>
          <w:rFonts w:ascii="Times New Roman" w:hAnsi="Times New Roman" w:cs="Times New Roman"/>
          <w:sz w:val="24"/>
          <w:szCs w:val="24"/>
        </w:rPr>
        <w:t>ndadosa es una trampa ridícula.</w:t>
      </w:r>
    </w:p>
    <w:p w:rsidR="00EF5FA4" w:rsidRPr="00DF5E5A" w:rsidRDefault="00EF5FA4" w:rsidP="00EF5FA4">
      <w:pPr>
        <w:spacing w:line="240" w:lineRule="auto"/>
        <w:jc w:val="both"/>
        <w:rPr>
          <w:rFonts w:ascii="Times New Roman" w:hAnsi="Times New Roman" w:cs="Times New Roman"/>
          <w:sz w:val="24"/>
          <w:szCs w:val="24"/>
        </w:rPr>
      </w:pPr>
      <w:r w:rsidRPr="00DF5E5A">
        <w:rPr>
          <w:rFonts w:ascii="Times New Roman" w:hAnsi="Times New Roman" w:cs="Times New Roman"/>
          <w:sz w:val="24"/>
          <w:szCs w:val="24"/>
        </w:rPr>
        <w:t>Solo el que ha estado ganando suficiente con el sistema puede salirse de él para entrar otra vez por una puerta más pequeña pero más bonita, con su narrativa y sus cosas de anuncio protagonizado por un barbudo. Esta generación no va a tener esta posibilidad porque sus trabajos cada vez están peor pagados, piden más dedicación y, mucho peor, en demasiadas ocasiones se parecen demasiado al trabajo que se había soñado. Uno se hace broker para ganar dinero, o porque, simplemente, le gusta ganar. Las dos adicciones son reversibles. Uno se hace periodista en una web porque le gusta esto y si termina trabajando en una web de periodista, dejarlo porque llega un ERE para ponerse de aprendiz en el taller de zapatería artesana de un exbroker no es una salida sexi, e</w:t>
      </w:r>
      <w:r>
        <w:rPr>
          <w:rFonts w:ascii="Times New Roman" w:hAnsi="Times New Roman" w:cs="Times New Roman"/>
          <w:sz w:val="24"/>
          <w:szCs w:val="24"/>
        </w:rPr>
        <w:t>s la aceptación de una derrota.</w:t>
      </w:r>
    </w:p>
    <w:p w:rsidR="00EF5FA4" w:rsidRPr="00DF5E5A" w:rsidRDefault="00EF5FA4" w:rsidP="00EF5FA4">
      <w:pPr>
        <w:spacing w:line="240" w:lineRule="auto"/>
        <w:jc w:val="both"/>
        <w:rPr>
          <w:rFonts w:ascii="Times New Roman" w:hAnsi="Times New Roman" w:cs="Times New Roman"/>
          <w:sz w:val="24"/>
          <w:szCs w:val="24"/>
        </w:rPr>
      </w:pPr>
      <w:r w:rsidRPr="00DF5E5A">
        <w:rPr>
          <w:rFonts w:ascii="Times New Roman" w:hAnsi="Times New Roman" w:cs="Times New Roman"/>
          <w:sz w:val="24"/>
          <w:szCs w:val="24"/>
        </w:rPr>
        <w:t>Los</w:t>
      </w:r>
      <w:r>
        <w:rPr>
          <w:rFonts w:ascii="Times New Roman" w:hAnsi="Times New Roman" w:cs="Times New Roman"/>
          <w:sz w:val="24"/>
          <w:szCs w:val="24"/>
        </w:rPr>
        <w:t xml:space="preserve"> dos protagonistas de la serie “Love”</w:t>
      </w:r>
      <w:r w:rsidRPr="00DF5E5A">
        <w:rPr>
          <w:rFonts w:ascii="Times New Roman" w:hAnsi="Times New Roman" w:cs="Times New Roman"/>
          <w:sz w:val="24"/>
          <w:szCs w:val="24"/>
        </w:rPr>
        <w:t xml:space="preserve"> (Netflix) to</w:t>
      </w:r>
      <w:r w:rsidR="00D333D6">
        <w:rPr>
          <w:rFonts w:ascii="Times New Roman" w:hAnsi="Times New Roman" w:cs="Times New Roman"/>
          <w:sz w:val="24"/>
          <w:szCs w:val="24"/>
        </w:rPr>
        <w:t>can todos los botones de la dis</w:t>
      </w:r>
      <w:r w:rsidRPr="00DF5E5A">
        <w:rPr>
          <w:rFonts w:ascii="Times New Roman" w:hAnsi="Times New Roman" w:cs="Times New Roman"/>
          <w:sz w:val="24"/>
          <w:szCs w:val="24"/>
        </w:rPr>
        <w:t>funcionalidad generacional que tan habitualmente</w:t>
      </w:r>
      <w:r>
        <w:rPr>
          <w:rFonts w:ascii="Times New Roman" w:hAnsi="Times New Roman" w:cs="Times New Roman"/>
          <w:sz w:val="24"/>
          <w:szCs w:val="24"/>
        </w:rPr>
        <w:t xml:space="preserve"> se achaca a los “millennials”</w:t>
      </w:r>
      <w:r w:rsidRPr="00DF5E5A">
        <w:rPr>
          <w:rFonts w:ascii="Times New Roman" w:hAnsi="Times New Roman" w:cs="Times New Roman"/>
          <w:sz w:val="24"/>
          <w:szCs w:val="24"/>
        </w:rPr>
        <w:t>. No tiene dinero para un Mercedes, pero pueden fumar y comer basura sobre él. Total, nunca podrán jubilarse.</w:t>
      </w:r>
    </w:p>
    <w:p w:rsidR="00EF5FA4" w:rsidRPr="00DF5E5A" w:rsidRDefault="00EF5FA4" w:rsidP="00EF5FA4">
      <w:pPr>
        <w:spacing w:line="240" w:lineRule="auto"/>
        <w:jc w:val="both"/>
        <w:rPr>
          <w:rFonts w:ascii="Times New Roman" w:hAnsi="Times New Roman" w:cs="Times New Roman"/>
          <w:sz w:val="24"/>
          <w:szCs w:val="24"/>
        </w:rPr>
      </w:pPr>
      <w:r w:rsidRPr="00DF5E5A">
        <w:rPr>
          <w:rFonts w:ascii="Times New Roman" w:hAnsi="Times New Roman" w:cs="Times New Roman"/>
          <w:sz w:val="24"/>
          <w:szCs w:val="24"/>
        </w:rPr>
        <w:t xml:space="preserve"> “Nuestra capacidad para quemarnos y seguir tra</w:t>
      </w:r>
      <w:r>
        <w:rPr>
          <w:rFonts w:ascii="Times New Roman" w:hAnsi="Times New Roman" w:cs="Times New Roman"/>
          <w:sz w:val="24"/>
          <w:szCs w:val="24"/>
        </w:rPr>
        <w:t>bajando es nuestro mayor valor (para las empresas)</w:t>
      </w:r>
      <w:r w:rsidRPr="00DF5E5A">
        <w:rPr>
          <w:rFonts w:ascii="Times New Roman" w:hAnsi="Times New Roman" w:cs="Times New Roman"/>
          <w:sz w:val="24"/>
          <w:szCs w:val="24"/>
        </w:rPr>
        <w:t>”, escribe Petersen hacia el final de su ensayo. Así, la autora no halla posible salida a esta condición en el marco capitalista actual. Debe cambiarse la legislación, debe aumentar el activismo, si no, todo seguirá igual, argumenta. Las empresas no van a cambiar esto, porque ellas lo han provocado, primero creando la idea de que el trabajo desregulado es libertad, que las horas extra son el camino hacia la realización completa, que la vida privada es una extensión de la vida profesional, que si no lo haces tú por 20 euros, afuera hay 200 person</w:t>
      </w:r>
      <w:r>
        <w:rPr>
          <w:rFonts w:ascii="Times New Roman" w:hAnsi="Times New Roman" w:cs="Times New Roman"/>
          <w:sz w:val="24"/>
          <w:szCs w:val="24"/>
        </w:rPr>
        <w:t>as dispuestas a hacerlo por 10…</w:t>
      </w:r>
    </w:p>
    <w:p w:rsidR="00EF5FA4" w:rsidRPr="00DF5E5A" w:rsidRDefault="00EF5FA4" w:rsidP="00EF5FA4">
      <w:pPr>
        <w:spacing w:line="240" w:lineRule="auto"/>
        <w:jc w:val="both"/>
        <w:rPr>
          <w:rFonts w:ascii="Times New Roman" w:hAnsi="Times New Roman" w:cs="Times New Roman"/>
          <w:sz w:val="24"/>
          <w:szCs w:val="24"/>
        </w:rPr>
      </w:pPr>
      <w:r w:rsidRPr="00DF5E5A">
        <w:rPr>
          <w:rFonts w:ascii="Times New Roman" w:hAnsi="Times New Roman" w:cs="Times New Roman"/>
          <w:sz w:val="24"/>
          <w:szCs w:val="24"/>
        </w:rPr>
        <w:t>Llevo en mi bolsa un papel de Hacienda que hace una semana debía haber entregado. He de llamar para cancelar una tarjeta de crédito porque me colocaron una igual en el aeropuerto y para qué demonios quiero yo dos iguales si el dinero que tengo en el banco raramente alcanza las cuatro cifras. Aún no he gestionado Madrid Central para una moto que he tardado un año en traerme de Barcelona. Aún no he encontrado el momento para hacerle el seguro. Tengo más de 40 años. ¿Y por qué, entonces, lo de los millennials debe ser distin</w:t>
      </w:r>
      <w:r>
        <w:rPr>
          <w:rFonts w:ascii="Times New Roman" w:hAnsi="Times New Roman" w:cs="Times New Roman"/>
          <w:sz w:val="24"/>
          <w:szCs w:val="24"/>
        </w:rPr>
        <w:t>to de mi holgazanería terminal?</w:t>
      </w:r>
    </w:p>
    <w:p w:rsidR="00EF5FA4" w:rsidRDefault="00EF5FA4" w:rsidP="00EF5FA4">
      <w:pPr>
        <w:spacing w:line="240" w:lineRule="auto"/>
        <w:jc w:val="both"/>
        <w:rPr>
          <w:rFonts w:ascii="Times New Roman" w:hAnsi="Times New Roman" w:cs="Times New Roman"/>
          <w:sz w:val="24"/>
          <w:szCs w:val="24"/>
        </w:rPr>
      </w:pPr>
      <w:r w:rsidRPr="00DF5E5A">
        <w:rPr>
          <w:rFonts w:ascii="Times New Roman" w:hAnsi="Times New Roman" w:cs="Times New Roman"/>
          <w:sz w:val="24"/>
          <w:szCs w:val="24"/>
        </w:rPr>
        <w:t>Pues básicamente la diferencia se halla en que yo estoy entregando este texto dos días tarde. Un millennial lo hubiese entregado un día antes.</w:t>
      </w:r>
    </w:p>
    <w:p w:rsidR="00EF5FA4" w:rsidRPr="005219ED" w:rsidRDefault="00EF5FA4" w:rsidP="00EF5FA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5219ED">
        <w:rPr>
          <w:rFonts w:ascii="Times New Roman" w:hAnsi="Times New Roman" w:cs="Times New Roman"/>
          <w:sz w:val="24"/>
          <w:szCs w:val="24"/>
          <w:u w:val="single"/>
        </w:rPr>
        <w:t>P</w:t>
      </w:r>
      <w:r>
        <w:rPr>
          <w:rFonts w:ascii="Times New Roman" w:hAnsi="Times New Roman" w:cs="Times New Roman"/>
          <w:sz w:val="24"/>
          <w:szCs w:val="24"/>
          <w:u w:val="single"/>
        </w:rPr>
        <w:t>roblemas de “millennials”</w:t>
      </w:r>
      <w:r>
        <w:rPr>
          <w:rFonts w:ascii="Times New Roman" w:hAnsi="Times New Roman" w:cs="Times New Roman"/>
          <w:sz w:val="24"/>
          <w:szCs w:val="24"/>
        </w:rPr>
        <w:t xml:space="preserve"> (20 minutos - </w:t>
      </w:r>
      <w:r w:rsidRPr="005219ED">
        <w:rPr>
          <w:rFonts w:ascii="Times New Roman" w:hAnsi="Times New Roman" w:cs="Times New Roman"/>
          <w:b/>
          <w:sz w:val="24"/>
          <w:szCs w:val="24"/>
        </w:rPr>
        <w:t>8/6/22</w:t>
      </w:r>
      <w:r>
        <w:rPr>
          <w:rFonts w:ascii="Times New Roman" w:hAnsi="Times New Roman" w:cs="Times New Roman"/>
          <w:sz w:val="24"/>
          <w:szCs w:val="24"/>
        </w:rPr>
        <w:t>)</w:t>
      </w:r>
    </w:p>
    <w:p w:rsidR="00EF5FA4" w:rsidRPr="00A02398" w:rsidRDefault="00EF5FA4" w:rsidP="00EF5FA4">
      <w:pPr>
        <w:spacing w:line="240" w:lineRule="auto"/>
        <w:jc w:val="both"/>
        <w:rPr>
          <w:rFonts w:ascii="Times New Roman" w:hAnsi="Times New Roman" w:cs="Times New Roman"/>
          <w:sz w:val="24"/>
          <w:szCs w:val="24"/>
        </w:rPr>
      </w:pPr>
      <w:r>
        <w:rPr>
          <w:rFonts w:ascii="Times New Roman" w:hAnsi="Times New Roman" w:cs="Times New Roman"/>
          <w:sz w:val="24"/>
          <w:szCs w:val="24"/>
        </w:rPr>
        <w:t>(Por Álex González)</w:t>
      </w:r>
    </w:p>
    <w:p w:rsidR="00EF5FA4" w:rsidRPr="00A02398" w:rsidRDefault="00EF5FA4" w:rsidP="00EF5FA4">
      <w:pPr>
        <w:spacing w:line="240" w:lineRule="auto"/>
        <w:jc w:val="both"/>
        <w:rPr>
          <w:rFonts w:ascii="Times New Roman" w:hAnsi="Times New Roman" w:cs="Times New Roman"/>
          <w:sz w:val="24"/>
          <w:szCs w:val="24"/>
        </w:rPr>
      </w:pPr>
      <w:r w:rsidRPr="00A02398">
        <w:rPr>
          <w:rFonts w:ascii="Times New Roman" w:hAnsi="Times New Roman" w:cs="Times New Roman"/>
          <w:sz w:val="24"/>
          <w:szCs w:val="24"/>
        </w:rPr>
        <w:t xml:space="preserve">Somos la resistencia, los supervivientes de la negación de una vida mejor que la de nuestros padres a base de crisis económicas y problemas de toda variedad. Se cataloga como millennials a los nacidos entre 1981 y 1993, gente que en la actualidad está en la treintena, la etapa de formalización. El pesimismo se está adueñando de una generación que debería </w:t>
      </w:r>
      <w:r w:rsidRPr="00A02398">
        <w:rPr>
          <w:rFonts w:ascii="Times New Roman" w:hAnsi="Times New Roman" w:cs="Times New Roman"/>
          <w:sz w:val="24"/>
          <w:szCs w:val="24"/>
        </w:rPr>
        <w:lastRenderedPageBreak/>
        <w:t>relucir con la barra de energía cargada. El conformismo ya es una realidad, y eso no es buen síntoma. Hay un ideario colectivo cuyos mensajes radican en que va a ser muy complicado que nuestros hijos dispongan de lo mismo de lo que gozamos nosotros en su día. Ahora bien, nadie nos va a quitar una infancia y una adolescencia mejor que la de la generación po</w:t>
      </w:r>
      <w:r>
        <w:rPr>
          <w:rFonts w:ascii="Times New Roman" w:hAnsi="Times New Roman" w:cs="Times New Roman"/>
          <w:sz w:val="24"/>
          <w:szCs w:val="24"/>
        </w:rPr>
        <w:t>sterior.</w:t>
      </w:r>
    </w:p>
    <w:p w:rsidR="00EF5FA4" w:rsidRPr="00A02398" w:rsidRDefault="00EF5FA4" w:rsidP="00EF5FA4">
      <w:pPr>
        <w:spacing w:line="240" w:lineRule="auto"/>
        <w:jc w:val="both"/>
        <w:rPr>
          <w:rFonts w:ascii="Times New Roman" w:hAnsi="Times New Roman" w:cs="Times New Roman"/>
          <w:sz w:val="24"/>
          <w:szCs w:val="24"/>
        </w:rPr>
      </w:pPr>
      <w:r w:rsidRPr="00A02398">
        <w:rPr>
          <w:rFonts w:ascii="Times New Roman" w:hAnsi="Times New Roman" w:cs="Times New Roman"/>
          <w:sz w:val="24"/>
          <w:szCs w:val="24"/>
        </w:rPr>
        <w:t>Cogimos las primeras comodidades tecnológicas de la sociedad. La Game Boy pocket y su versión más avanzada en color entretenían las tardes entre el fútbol con balones costrosos y el divertido juego del rescate. Todo</w:t>
      </w:r>
      <w:r>
        <w:rPr>
          <w:rFonts w:ascii="Times New Roman" w:hAnsi="Times New Roman" w:cs="Times New Roman"/>
          <w:sz w:val="24"/>
          <w:szCs w:val="24"/>
        </w:rPr>
        <w:t xml:space="preserve"> el mundo sabía lo que era una “alemana” o esconderse para “liebre”</w:t>
      </w:r>
      <w:r w:rsidRPr="00A02398">
        <w:rPr>
          <w:rFonts w:ascii="Times New Roman" w:hAnsi="Times New Roman" w:cs="Times New Roman"/>
          <w:sz w:val="24"/>
          <w:szCs w:val="24"/>
        </w:rPr>
        <w:t xml:space="preserve">. Nos transferíamos pokemons de unos aparatos a otros por un cable, nos pasábamos pantallas de Super Mario Land y trepábamos con Donkey Kong. Algunas niñas jugaban con muñecas Bratz. A la hora de la comida teníamos un ritual. Poner Antena 3 con Los Simpson, e incluso si llegábamos antes ver Futurama. Un tiempo después esta costumbre se complementaba con Padre de familia en la siesta. Y si llegaba el verano, había una noche que era sagrada; la del Grand Prix con Ramón García, las vaquillas, las patatas calientes y los paisanos pueblerinos. Felicidad absoluta a la que se sumaban series como Los Serrano, El </w:t>
      </w:r>
      <w:r>
        <w:rPr>
          <w:rFonts w:ascii="Times New Roman" w:hAnsi="Times New Roman" w:cs="Times New Roman"/>
          <w:sz w:val="24"/>
          <w:szCs w:val="24"/>
        </w:rPr>
        <w:t>comisario, o Médico de familia.</w:t>
      </w:r>
    </w:p>
    <w:p w:rsidR="00EF5FA4" w:rsidRPr="00A02398" w:rsidRDefault="00EF5FA4" w:rsidP="00EF5FA4">
      <w:pPr>
        <w:spacing w:line="240" w:lineRule="auto"/>
        <w:jc w:val="both"/>
        <w:rPr>
          <w:rFonts w:ascii="Times New Roman" w:hAnsi="Times New Roman" w:cs="Times New Roman"/>
          <w:sz w:val="24"/>
          <w:szCs w:val="24"/>
        </w:rPr>
      </w:pPr>
      <w:r w:rsidRPr="00A02398">
        <w:rPr>
          <w:rFonts w:ascii="Times New Roman" w:hAnsi="Times New Roman" w:cs="Times New Roman"/>
          <w:sz w:val="24"/>
          <w:szCs w:val="24"/>
        </w:rPr>
        <w:t>Vimos a nuestros padres con los primeros teléfonos móvi</w:t>
      </w:r>
      <w:r>
        <w:rPr>
          <w:rFonts w:ascii="Times New Roman" w:hAnsi="Times New Roman" w:cs="Times New Roman"/>
          <w:sz w:val="24"/>
          <w:szCs w:val="24"/>
        </w:rPr>
        <w:t>les, dejando atrás los famosos “busca”</w:t>
      </w:r>
      <w:r w:rsidRPr="00A02398">
        <w:rPr>
          <w:rFonts w:ascii="Times New Roman" w:hAnsi="Times New Roman" w:cs="Times New Roman"/>
          <w:sz w:val="24"/>
          <w:szCs w:val="24"/>
        </w:rPr>
        <w:t xml:space="preserve">. Nos entreteníamos jugando a la serpiente en el Nokia 3310 mientras esperábamos en el portal a que bajase nuestro amigo tras tocar el telefonillo. El My Space nos enseñó que se podían subir fotos, el Fotolog que se podían escribir textos, y el Tuenti nos hacía crear una gran comunidad de amigos. Ahora bien, el mayor recuerdo de interacción era el del Messenger, con aquellos primeros emoticonos y zumbidos desesperantes. Podías ponerte en modo ausente, o como hacían los </w:t>
      </w:r>
      <w:r>
        <w:rPr>
          <w:rFonts w:ascii="Times New Roman" w:hAnsi="Times New Roman" w:cs="Times New Roman"/>
          <w:sz w:val="24"/>
          <w:szCs w:val="24"/>
        </w:rPr>
        <w:t>más guays del momento, en modo “No disponible”</w:t>
      </w:r>
      <w:r w:rsidRPr="00A02398">
        <w:rPr>
          <w:rFonts w:ascii="Times New Roman" w:hAnsi="Times New Roman" w:cs="Times New Roman"/>
          <w:sz w:val="24"/>
          <w:szCs w:val="24"/>
        </w:rPr>
        <w:t xml:space="preserve"> para evitar que saliesen mensajes en el escritorio. Quedábamos para ir a un local con ordenadores e</w:t>
      </w:r>
      <w:r>
        <w:rPr>
          <w:rFonts w:ascii="Times New Roman" w:hAnsi="Times New Roman" w:cs="Times New Roman"/>
          <w:sz w:val="24"/>
          <w:szCs w:val="24"/>
        </w:rPr>
        <w:t>n red llamado ciber a jugar al “counter”</w:t>
      </w:r>
      <w:r w:rsidRPr="00A02398">
        <w:rPr>
          <w:rFonts w:ascii="Times New Roman" w:hAnsi="Times New Roman" w:cs="Times New Roman"/>
          <w:sz w:val="24"/>
          <w:szCs w:val="24"/>
        </w:rPr>
        <w:t xml:space="preserve"> o al Battlefield. Ver vídeos de Youtube era la última moda, e indescriptible era tener un mp3 con canciones de Sonia y Selena, raps de Nach Scratch, reivindicativas de Ska</w:t>
      </w:r>
      <w:r>
        <w:rPr>
          <w:rFonts w:ascii="Times New Roman" w:hAnsi="Times New Roman" w:cs="Times New Roman"/>
          <w:sz w:val="24"/>
          <w:szCs w:val="24"/>
        </w:rPr>
        <w:t>-P o los Nikis, algo de música “poki o bakalao”</w:t>
      </w:r>
      <w:r w:rsidRPr="00A02398">
        <w:rPr>
          <w:rFonts w:ascii="Times New Roman" w:hAnsi="Times New Roman" w:cs="Times New Roman"/>
          <w:sz w:val="24"/>
          <w:szCs w:val="24"/>
        </w:rPr>
        <w:t xml:space="preserve"> e incluso primeros temas de reguetón como Pobre diabla. Algunos, de hecho, no se quitaban uno de los cascos a la hora de hablar con el res</w:t>
      </w:r>
      <w:r>
        <w:rPr>
          <w:rFonts w:ascii="Times New Roman" w:hAnsi="Times New Roman" w:cs="Times New Roman"/>
          <w:sz w:val="24"/>
          <w:szCs w:val="24"/>
        </w:rPr>
        <w:t>to de la pandilla en el parque.</w:t>
      </w:r>
    </w:p>
    <w:p w:rsidR="00EF5FA4" w:rsidRDefault="00EF5FA4" w:rsidP="00EF5FA4">
      <w:pPr>
        <w:spacing w:line="240" w:lineRule="auto"/>
        <w:jc w:val="both"/>
        <w:rPr>
          <w:rFonts w:ascii="Times New Roman" w:hAnsi="Times New Roman" w:cs="Times New Roman"/>
          <w:sz w:val="24"/>
          <w:szCs w:val="24"/>
        </w:rPr>
      </w:pPr>
      <w:r w:rsidRPr="00A02398">
        <w:rPr>
          <w:rFonts w:ascii="Times New Roman" w:hAnsi="Times New Roman" w:cs="Times New Roman"/>
          <w:sz w:val="24"/>
          <w:szCs w:val="24"/>
        </w:rPr>
        <w:t>Con una infancia y adolescencia como esas, solamente quedan por resaltar los flequillos hacia un lado que se lucían en locales como But o las melenas de coletilla y laterales rapados. El estilo de vestimenta variaba entre camisetas de El niño con zapatillas Sparco o pantalones por debajo de la cadera con Vans anchas de cordones de colores. Cada grupo de amigos tenía su estilo, y las estéticas eran cambiantes. No todos sabíamos idiomas, ni jugábamos online desde nuestras casas, ni tampoco teníamos aplicaciones para ligar; pero éramos felices. No hace tanto tiempo de todo esto, hoy parece lejano y a los de la generación millennial, por muchos problemas que nos depare el futuro, nadie nos quitará una de las mejores juventudes que se han tenido. Bajo mi punto de vista, la mejor.</w:t>
      </w:r>
    </w:p>
    <w:p w:rsidR="00151B4C" w:rsidRPr="004121AC" w:rsidRDefault="00EF5FA4" w:rsidP="004121AC">
      <w:pPr>
        <w:spacing w:line="240" w:lineRule="auto"/>
        <w:jc w:val="both"/>
        <w:rPr>
          <w:rFonts w:ascii="Times New Roman" w:hAnsi="Times New Roman" w:cs="Times New Roman"/>
          <w:b/>
          <w:sz w:val="24"/>
          <w:szCs w:val="24"/>
        </w:rPr>
      </w:pPr>
      <w:r w:rsidRPr="00963D38">
        <w:rPr>
          <w:rFonts w:ascii="Times New Roman" w:hAnsi="Times New Roman" w:cs="Times New Roman"/>
          <w:b/>
          <w:sz w:val="24"/>
          <w:szCs w:val="24"/>
        </w:rPr>
        <w:t>Nota: el tiempo pasa y los “millennials” se van poniendo viejos a las puertas del paraíso. Por más resiliencia, networking, smartlife, metaverso, avatares, lifestyle, o gran reseteo, que profesen, toleren, o traguen, la únic</w:t>
      </w:r>
      <w:r>
        <w:rPr>
          <w:rFonts w:ascii="Times New Roman" w:hAnsi="Times New Roman" w:cs="Times New Roman"/>
          <w:b/>
          <w:sz w:val="24"/>
          <w:szCs w:val="24"/>
        </w:rPr>
        <w:t>a salida que la “gig economy”</w:t>
      </w:r>
      <w:r w:rsidRPr="00963D38">
        <w:rPr>
          <w:rFonts w:ascii="Times New Roman" w:hAnsi="Times New Roman" w:cs="Times New Roman"/>
          <w:b/>
          <w:sz w:val="24"/>
          <w:szCs w:val="24"/>
        </w:rPr>
        <w:t xml:space="preserve"> les ofrece es la de ser falsos autónomos, becarios eternos, precarios permanentes, trabajadores de usar y tirar, contratos de cero horas, con la esperanza (si todo sale bien) de poder llegar a trabajar en Amazon, Uber, McDonald's, Glovo, Deliver</w:t>
      </w:r>
      <w:r w:rsidR="004121AC">
        <w:rPr>
          <w:rFonts w:ascii="Times New Roman" w:hAnsi="Times New Roman" w:cs="Times New Roman"/>
          <w:b/>
          <w:sz w:val="24"/>
          <w:szCs w:val="24"/>
        </w:rPr>
        <w:t xml:space="preserve">oo… o algún alucinante minijob. </w:t>
      </w:r>
      <w:r w:rsidR="004121AC" w:rsidRPr="004121AC">
        <w:rPr>
          <w:rFonts w:ascii="Times New Roman" w:hAnsi="Times New Roman" w:cs="Times New Roman"/>
          <w:b/>
          <w:sz w:val="24"/>
          <w:szCs w:val="24"/>
        </w:rPr>
        <w:t>Por más “capitalismo woke” que les prometan: ecosostenible, circular, biodegradable, renovable, virtual, mediático, disruptivo, online, robótico, algorítmico, de plataforma, blockchain,</w:t>
      </w:r>
      <w:r w:rsidR="00151B4C">
        <w:rPr>
          <w:rFonts w:ascii="Times New Roman" w:hAnsi="Times New Roman" w:cs="Times New Roman"/>
          <w:b/>
          <w:sz w:val="24"/>
          <w:szCs w:val="24"/>
        </w:rPr>
        <w:t xml:space="preserve"> viral,</w:t>
      </w:r>
      <w:r w:rsidR="004121AC" w:rsidRPr="004121AC">
        <w:rPr>
          <w:rFonts w:ascii="Times New Roman" w:hAnsi="Times New Roman" w:cs="Times New Roman"/>
          <w:b/>
          <w:sz w:val="24"/>
          <w:szCs w:val="24"/>
        </w:rPr>
        <w:t xml:space="preserve"> inclusivo, puesto en valor, consens</w:t>
      </w:r>
      <w:r w:rsidR="00151B4C">
        <w:rPr>
          <w:rFonts w:ascii="Times New Roman" w:hAnsi="Times New Roman" w:cs="Times New Roman"/>
          <w:b/>
          <w:sz w:val="24"/>
          <w:szCs w:val="24"/>
        </w:rPr>
        <w:t>uado, participativo, transversal, igualitario</w:t>
      </w:r>
      <w:r w:rsidR="004121AC" w:rsidRPr="004121AC">
        <w:rPr>
          <w:rFonts w:ascii="Times New Roman" w:hAnsi="Times New Roman" w:cs="Times New Roman"/>
          <w:b/>
          <w:sz w:val="24"/>
          <w:szCs w:val="24"/>
        </w:rPr>
        <w:t xml:space="preserve">… </w:t>
      </w:r>
      <w:r w:rsidR="00151B4C">
        <w:rPr>
          <w:rFonts w:ascii="Times New Roman" w:hAnsi="Times New Roman" w:cs="Times New Roman"/>
          <w:b/>
          <w:sz w:val="24"/>
          <w:szCs w:val="24"/>
        </w:rPr>
        <w:t>solo es</w:t>
      </w:r>
      <w:r w:rsidR="004121AC">
        <w:rPr>
          <w:rFonts w:ascii="Times New Roman" w:hAnsi="Times New Roman" w:cs="Times New Roman"/>
          <w:b/>
          <w:sz w:val="24"/>
          <w:szCs w:val="24"/>
        </w:rPr>
        <w:t xml:space="preserve"> un regreso a la Edad Media</w:t>
      </w:r>
      <w:r w:rsidR="00151B4C">
        <w:rPr>
          <w:rFonts w:ascii="Times New Roman" w:hAnsi="Times New Roman" w:cs="Times New Roman"/>
          <w:b/>
          <w:sz w:val="24"/>
          <w:szCs w:val="24"/>
        </w:rPr>
        <w:t xml:space="preserve"> 5.0. (con derecho</w:t>
      </w:r>
      <w:r w:rsidR="00CB1788">
        <w:rPr>
          <w:rFonts w:ascii="Times New Roman" w:hAnsi="Times New Roman" w:cs="Times New Roman"/>
          <w:b/>
          <w:sz w:val="24"/>
          <w:szCs w:val="24"/>
        </w:rPr>
        <w:t xml:space="preserve"> binario</w:t>
      </w:r>
      <w:r w:rsidR="00151B4C">
        <w:rPr>
          <w:rFonts w:ascii="Times New Roman" w:hAnsi="Times New Roman" w:cs="Times New Roman"/>
          <w:b/>
          <w:sz w:val="24"/>
          <w:szCs w:val="24"/>
        </w:rPr>
        <w:t xml:space="preserve"> de pernada</w:t>
      </w:r>
      <w:r w:rsidR="00CB1788">
        <w:rPr>
          <w:rFonts w:ascii="Times New Roman" w:hAnsi="Times New Roman" w:cs="Times New Roman"/>
          <w:b/>
          <w:sz w:val="24"/>
          <w:szCs w:val="24"/>
        </w:rPr>
        <w:t xml:space="preserve">). </w:t>
      </w:r>
    </w:p>
    <w:p w:rsidR="00EF5FA4" w:rsidRDefault="00EF5FA4" w:rsidP="00EF5FA4">
      <w:pPr>
        <w:spacing w:line="240" w:lineRule="auto"/>
        <w:jc w:val="both"/>
        <w:rPr>
          <w:rFonts w:ascii="Times New Roman" w:hAnsi="Times New Roman" w:cs="Times New Roman"/>
          <w:b/>
          <w:sz w:val="24"/>
          <w:szCs w:val="24"/>
          <w:lang w:eastAsia="es-ES"/>
        </w:rPr>
      </w:pPr>
      <w:r>
        <w:rPr>
          <w:rFonts w:ascii="Times New Roman" w:hAnsi="Times New Roman" w:cs="Times New Roman"/>
          <w:b/>
          <w:sz w:val="24"/>
          <w:szCs w:val="24"/>
          <w:lang w:eastAsia="es-ES"/>
        </w:rPr>
        <w:lastRenderedPageBreak/>
        <w:t xml:space="preserve">- </w:t>
      </w:r>
      <w:r w:rsidRPr="00CE25F5">
        <w:rPr>
          <w:rFonts w:ascii="Times New Roman" w:hAnsi="Times New Roman" w:cs="Times New Roman"/>
          <w:b/>
          <w:sz w:val="24"/>
          <w:szCs w:val="24"/>
          <w:lang w:eastAsia="es-ES"/>
        </w:rPr>
        <w:t>La evolución del desempleo juvenil en la Unión Europea</w:t>
      </w:r>
    </w:p>
    <w:p w:rsidR="00EF5FA4" w:rsidRPr="00CE25F5" w:rsidRDefault="00EF5FA4" w:rsidP="00EF5FA4">
      <w:pPr>
        <w:spacing w:line="240" w:lineRule="auto"/>
        <w:jc w:val="both"/>
        <w:rPr>
          <w:rFonts w:ascii="Times New Roman" w:hAnsi="Times New Roman" w:cs="Times New Roman"/>
          <w:b/>
          <w:sz w:val="24"/>
          <w:szCs w:val="24"/>
          <w:lang w:eastAsia="es-ES"/>
        </w:rPr>
      </w:pPr>
      <w:r>
        <w:rPr>
          <w:noProof/>
          <w:lang w:val="en-GB" w:eastAsia="zh-CN"/>
        </w:rPr>
        <w:drawing>
          <wp:inline distT="0" distB="0" distL="0" distR="0">
            <wp:extent cx="5731510" cy="3162300"/>
            <wp:effectExtent l="0" t="0" r="2540" b="0"/>
            <wp:docPr id="132" name="Imagen 132" descr="Uber empieza a entrar en Canarias: lanza su aplicación de comida a  domicilio en Tenerife | Canariasenred - Noticias de Canari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Uber empieza a entrar en Canarias: lanza su aplicación de comida a  domicilio en Tenerife | Canariasenred - Noticias de Canarias"/>
                    <pic:cNvPicPr>
                      <a:picLocks noChangeAspect="1" noChangeArrowheads="1"/>
                    </pic:cNvPicPr>
                  </pic:nvPicPr>
                  <pic:blipFill>
                    <a:blip r:embed="rId2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1510" cy="3162300"/>
                    </a:xfrm>
                    <a:prstGeom prst="rect">
                      <a:avLst/>
                    </a:prstGeom>
                    <a:noFill/>
                    <a:ln>
                      <a:noFill/>
                    </a:ln>
                  </pic:spPr>
                </pic:pic>
              </a:graphicData>
            </a:graphic>
          </wp:inline>
        </w:drawing>
      </w:r>
    </w:p>
    <w:p w:rsidR="00EF5FA4" w:rsidRPr="00326CA6" w:rsidRDefault="00EF5FA4" w:rsidP="00EF5FA4">
      <w:pPr>
        <w:spacing w:line="240" w:lineRule="auto"/>
        <w:jc w:val="both"/>
        <w:rPr>
          <w:rFonts w:ascii="Times New Roman" w:hAnsi="Times New Roman" w:cs="Times New Roman"/>
          <w:b/>
          <w:sz w:val="24"/>
          <w:szCs w:val="24"/>
          <w:lang w:eastAsia="es-ES"/>
        </w:rPr>
      </w:pPr>
      <w:r>
        <w:rPr>
          <w:rFonts w:ascii="Times New Roman" w:hAnsi="Times New Roman" w:cs="Times New Roman"/>
          <w:sz w:val="24"/>
          <w:szCs w:val="24"/>
          <w:lang w:eastAsia="es-ES"/>
        </w:rPr>
        <w:t xml:space="preserve">- </w:t>
      </w:r>
      <w:r w:rsidRPr="00326CA6">
        <w:rPr>
          <w:rFonts w:ascii="Times New Roman" w:hAnsi="Times New Roman" w:cs="Times New Roman"/>
          <w:sz w:val="24"/>
          <w:szCs w:val="24"/>
          <w:u w:val="single"/>
          <w:lang w:eastAsia="es-ES"/>
        </w:rPr>
        <w:t>España y Grecia son hoy los países con mayor desempleo juvenil de la Unión Europea, y lo llevan siendo desde hace más de una década</w:t>
      </w:r>
      <w:r>
        <w:rPr>
          <w:rFonts w:ascii="Times New Roman" w:hAnsi="Times New Roman" w:cs="Times New Roman"/>
          <w:b/>
          <w:sz w:val="24"/>
          <w:szCs w:val="24"/>
          <w:lang w:eastAsia="es-ES"/>
        </w:rPr>
        <w:t>(EOM - 7/2/22)</w:t>
      </w:r>
    </w:p>
    <w:p w:rsidR="00EF5FA4" w:rsidRPr="00CE25F5" w:rsidRDefault="00EF5FA4" w:rsidP="00EF5FA4">
      <w:pPr>
        <w:spacing w:line="240" w:lineRule="auto"/>
        <w:jc w:val="both"/>
        <w:rPr>
          <w:rFonts w:ascii="Times New Roman" w:hAnsi="Times New Roman" w:cs="Times New Roman"/>
          <w:sz w:val="24"/>
          <w:szCs w:val="24"/>
          <w:lang w:eastAsia="es-ES"/>
        </w:rPr>
      </w:pPr>
      <w:r>
        <w:rPr>
          <w:rFonts w:ascii="Times New Roman" w:hAnsi="Times New Roman" w:cs="Times New Roman"/>
          <w:sz w:val="24"/>
          <w:szCs w:val="24"/>
          <w:lang w:eastAsia="es-ES"/>
        </w:rPr>
        <w:t>(P</w:t>
      </w:r>
      <w:r w:rsidRPr="00CE25F5">
        <w:rPr>
          <w:rFonts w:ascii="Times New Roman" w:hAnsi="Times New Roman" w:cs="Times New Roman"/>
          <w:sz w:val="24"/>
          <w:szCs w:val="24"/>
          <w:lang w:eastAsia="es-ES"/>
        </w:rPr>
        <w:t>or Álvaro Merino</w:t>
      </w:r>
      <w:r>
        <w:rPr>
          <w:rFonts w:ascii="Times New Roman" w:hAnsi="Times New Roman" w:cs="Times New Roman"/>
          <w:sz w:val="24"/>
          <w:szCs w:val="24"/>
          <w:lang w:eastAsia="es-ES"/>
        </w:rPr>
        <w:t>)</w:t>
      </w:r>
    </w:p>
    <w:p w:rsidR="00EF5FA4" w:rsidRPr="00CE25F5" w:rsidRDefault="00EF5FA4" w:rsidP="00EF5FA4">
      <w:pPr>
        <w:spacing w:line="240" w:lineRule="auto"/>
        <w:jc w:val="both"/>
        <w:rPr>
          <w:rFonts w:ascii="Times New Roman" w:hAnsi="Times New Roman" w:cs="Times New Roman"/>
          <w:sz w:val="24"/>
          <w:szCs w:val="24"/>
          <w:lang w:eastAsia="es-ES"/>
        </w:rPr>
      </w:pPr>
      <w:r>
        <w:rPr>
          <w:noProof/>
          <w:lang w:val="en-GB" w:eastAsia="zh-CN"/>
        </w:rPr>
        <w:drawing>
          <wp:inline distT="0" distB="0" distL="0" distR="0">
            <wp:extent cx="5731510" cy="3171436"/>
            <wp:effectExtent l="0" t="0" r="2540" b="0"/>
            <wp:docPr id="139" name="Imagen 139" descr="Desempleo juvenil Unión Europe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esempleo juvenil Unión Europea"/>
                    <pic:cNvPicPr>
                      <a:picLocks noChangeAspect="1" noChangeArrowheads="1"/>
                    </pic:cNvPicPr>
                  </pic:nvPicPr>
                  <pic:blipFill>
                    <a:blip r:embed="rId2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1510" cy="3171436"/>
                    </a:xfrm>
                    <a:prstGeom prst="rect">
                      <a:avLst/>
                    </a:prstGeom>
                    <a:noFill/>
                    <a:ln>
                      <a:noFill/>
                    </a:ln>
                  </pic:spPr>
                </pic:pic>
              </a:graphicData>
            </a:graphic>
          </wp:inline>
        </w:drawing>
      </w:r>
    </w:p>
    <w:p w:rsidR="00EF5FA4" w:rsidRPr="00CE25F5" w:rsidRDefault="00EF5FA4" w:rsidP="00EF5FA4">
      <w:pPr>
        <w:spacing w:line="240" w:lineRule="auto"/>
        <w:jc w:val="both"/>
        <w:rPr>
          <w:rFonts w:ascii="Times New Roman" w:hAnsi="Times New Roman" w:cs="Times New Roman"/>
          <w:sz w:val="24"/>
          <w:szCs w:val="24"/>
          <w:lang w:eastAsia="es-ES"/>
        </w:rPr>
      </w:pPr>
      <w:r w:rsidRPr="00CE25F5">
        <w:rPr>
          <w:rFonts w:ascii="Times New Roman" w:hAnsi="Times New Roman" w:cs="Times New Roman"/>
          <w:sz w:val="24"/>
          <w:szCs w:val="24"/>
          <w:lang w:eastAsia="es-ES"/>
        </w:rPr>
        <w:t>Tras meses de aumento descontrolado, preocupación e impotencia, la Unión Europea consiguió cerrar 2021 con el desempleo de los menores</w:t>
      </w:r>
      <w:r>
        <w:rPr>
          <w:rFonts w:ascii="Times New Roman" w:hAnsi="Times New Roman" w:cs="Times New Roman"/>
          <w:sz w:val="24"/>
          <w:szCs w:val="24"/>
          <w:lang w:eastAsia="es-ES"/>
        </w:rPr>
        <w:t xml:space="preserve"> de 25 años por debajo del 15% -14,9%, concretamente-</w:t>
      </w:r>
      <w:r w:rsidRPr="00CE25F5">
        <w:rPr>
          <w:rFonts w:ascii="Times New Roman" w:hAnsi="Times New Roman" w:cs="Times New Roman"/>
          <w:sz w:val="24"/>
          <w:szCs w:val="24"/>
          <w:lang w:eastAsia="es-ES"/>
        </w:rPr>
        <w:t xml:space="preserve">, tal y como muestran los datos publicados recientemente por Eurostat. Es un registro que mejora incluso la situación prepandemia, pues en marzo de 2020 el porcentaje de jóvenes sin </w:t>
      </w:r>
      <w:r>
        <w:rPr>
          <w:rFonts w:ascii="Times New Roman" w:hAnsi="Times New Roman" w:cs="Times New Roman"/>
          <w:sz w:val="24"/>
          <w:szCs w:val="24"/>
          <w:lang w:eastAsia="es-ES"/>
        </w:rPr>
        <w:t>trabajo se situaba en el 15,4% -</w:t>
      </w:r>
      <w:r w:rsidRPr="00CE25F5">
        <w:rPr>
          <w:rFonts w:ascii="Times New Roman" w:hAnsi="Times New Roman" w:cs="Times New Roman"/>
          <w:sz w:val="24"/>
          <w:szCs w:val="24"/>
          <w:lang w:eastAsia="es-ES"/>
        </w:rPr>
        <w:t>en a</w:t>
      </w:r>
      <w:r>
        <w:rPr>
          <w:rFonts w:ascii="Times New Roman" w:hAnsi="Times New Roman" w:cs="Times New Roman"/>
          <w:sz w:val="24"/>
          <w:szCs w:val="24"/>
          <w:lang w:eastAsia="es-ES"/>
        </w:rPr>
        <w:t>gosto se disparó hasta el 19,1%</w:t>
      </w:r>
      <w:r w:rsidRPr="00CE25F5">
        <w:rPr>
          <w:rFonts w:ascii="Times New Roman" w:hAnsi="Times New Roman" w:cs="Times New Roman"/>
          <w:sz w:val="24"/>
          <w:szCs w:val="24"/>
          <w:lang w:eastAsia="es-ES"/>
        </w:rPr>
        <w:t>.</w:t>
      </w:r>
    </w:p>
    <w:p w:rsidR="00EF5FA4" w:rsidRPr="00CE25F5" w:rsidRDefault="00EF5FA4" w:rsidP="00EF5FA4">
      <w:pPr>
        <w:spacing w:line="240" w:lineRule="auto"/>
        <w:jc w:val="both"/>
        <w:rPr>
          <w:rFonts w:ascii="Times New Roman" w:hAnsi="Times New Roman" w:cs="Times New Roman"/>
          <w:sz w:val="24"/>
          <w:szCs w:val="24"/>
          <w:lang w:eastAsia="es-ES"/>
        </w:rPr>
      </w:pPr>
      <w:r w:rsidRPr="00CE25F5">
        <w:rPr>
          <w:rFonts w:ascii="Times New Roman" w:hAnsi="Times New Roman" w:cs="Times New Roman"/>
          <w:sz w:val="24"/>
          <w:szCs w:val="24"/>
          <w:lang w:eastAsia="es-ES"/>
        </w:rPr>
        <w:lastRenderedPageBreak/>
        <w:t>Pero por mucho que la situación invite al optimismo, lo cierto es que la comparación con la tasa de desempleo general, del 6,4%, evidencia que los menores europeos de 25 años siguen teniendo muchas más dificultades para ingresar en el mercado laboral que el resto de la población. Claro que la situación no es la misma en todos los países de la Unión Europea. De hecho, existe una brecha muy pronunciada entre los veintisiete Estados miembros: los países del sur comunitario, como España (30,6%), Grecia (30,5%), Italia (26,8%) o Portugal (21,1%), presentan cifras más elevadas que sus vecinos del centro y el norte europeo, con datos mucho más moderados o incluso rozando el plen</w:t>
      </w:r>
      <w:r>
        <w:rPr>
          <w:rFonts w:ascii="Times New Roman" w:hAnsi="Times New Roman" w:cs="Times New Roman"/>
          <w:sz w:val="24"/>
          <w:szCs w:val="24"/>
          <w:lang w:eastAsia="es-ES"/>
        </w:rPr>
        <w:t>o empleo, como Alemania (6,1%).</w:t>
      </w:r>
    </w:p>
    <w:p w:rsidR="00EF5FA4" w:rsidRPr="00CE25F5" w:rsidRDefault="00EF5FA4" w:rsidP="00EF5FA4">
      <w:pPr>
        <w:spacing w:line="240" w:lineRule="auto"/>
        <w:jc w:val="both"/>
        <w:rPr>
          <w:rFonts w:ascii="Times New Roman" w:hAnsi="Times New Roman" w:cs="Times New Roman"/>
          <w:sz w:val="24"/>
          <w:szCs w:val="24"/>
          <w:lang w:eastAsia="es-ES"/>
        </w:rPr>
      </w:pPr>
      <w:r w:rsidRPr="00CE25F5">
        <w:rPr>
          <w:rFonts w:ascii="Times New Roman" w:hAnsi="Times New Roman" w:cs="Times New Roman"/>
          <w:sz w:val="24"/>
          <w:szCs w:val="24"/>
          <w:lang w:eastAsia="es-ES"/>
        </w:rPr>
        <w:t>Esas diferencias reflejan a su vez desequilibrios en los sistemas educativo, productivo e incluso político. Desde el plano de la educación, un elevado porcentaje de jóvenes que quieren pero no pueden trabajar apunta a graves carencias formativas en el sistema escolar y universitario. Sin embargo, también puede señalar al problema contrario: aunque una mejor formación esté relacionada con unos mayores ingresos, se puede dar el fenómeno de la sobrecualificación, esto es, que los jóvenes tengan una formación superior a la que se exige en el mercado de trabajo, por lo que muchos de ellos renuncian a trabajar esperando poder encontrar u</w:t>
      </w:r>
      <w:r>
        <w:rPr>
          <w:rFonts w:ascii="Times New Roman" w:hAnsi="Times New Roman" w:cs="Times New Roman"/>
          <w:sz w:val="24"/>
          <w:szCs w:val="24"/>
          <w:lang w:eastAsia="es-ES"/>
        </w:rPr>
        <w:t>n empleo acorde a sus estudios.</w:t>
      </w:r>
    </w:p>
    <w:p w:rsidR="00EF5FA4" w:rsidRDefault="00EF5FA4" w:rsidP="00EF5FA4">
      <w:pPr>
        <w:spacing w:line="240" w:lineRule="auto"/>
        <w:jc w:val="both"/>
        <w:rPr>
          <w:rFonts w:ascii="Times New Roman" w:hAnsi="Times New Roman" w:cs="Times New Roman"/>
          <w:sz w:val="24"/>
          <w:szCs w:val="24"/>
          <w:lang w:eastAsia="es-ES"/>
        </w:rPr>
      </w:pPr>
      <w:r w:rsidRPr="00CE25F5">
        <w:rPr>
          <w:rFonts w:ascii="Times New Roman" w:hAnsi="Times New Roman" w:cs="Times New Roman"/>
          <w:sz w:val="24"/>
          <w:szCs w:val="24"/>
          <w:lang w:eastAsia="es-ES"/>
        </w:rPr>
        <w:t>Si observamos los datos desde la perspectiva económica, una cifra reducida de desempleo juvenil permite una mayor recaudación de impuestos y que la fuerza laboral de menos edad gane experiencia laboral. En el lado opuesto, una elevada tasa de desempleo juvenil da muestras de que la estructura productiva ha hecho tope en su demanda laboral y que es incapaz de expandirse más, por lo que no crea más puestos de trabajo, o al menos no aquellos acorde a la formació</w:t>
      </w:r>
      <w:r>
        <w:rPr>
          <w:rFonts w:ascii="Times New Roman" w:hAnsi="Times New Roman" w:cs="Times New Roman"/>
          <w:sz w:val="24"/>
          <w:szCs w:val="24"/>
          <w:lang w:eastAsia="es-ES"/>
        </w:rPr>
        <w:t>n y experiencia de los jóvenes.</w:t>
      </w:r>
    </w:p>
    <w:p w:rsidR="00EF5FA4" w:rsidRPr="00CE25F5" w:rsidRDefault="00EF5FA4" w:rsidP="00EF5FA4">
      <w:pPr>
        <w:spacing w:line="240" w:lineRule="auto"/>
        <w:jc w:val="both"/>
        <w:rPr>
          <w:rFonts w:ascii="Times New Roman" w:hAnsi="Times New Roman" w:cs="Times New Roman"/>
          <w:sz w:val="24"/>
          <w:szCs w:val="24"/>
          <w:lang w:eastAsia="es-ES"/>
        </w:rPr>
      </w:pPr>
      <w:r>
        <w:rPr>
          <w:noProof/>
          <w:lang w:val="en-GB" w:eastAsia="zh-CN"/>
        </w:rPr>
        <w:drawing>
          <wp:inline distT="0" distB="0" distL="0" distR="0">
            <wp:extent cx="5727700" cy="3181350"/>
            <wp:effectExtent l="0" t="0" r="6350" b="0"/>
            <wp:docPr id="140" name="Imagen 140" descr="Desempleo Unión Europe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esempleo Unión Europea"/>
                    <pic:cNvPicPr>
                      <a:picLocks noChangeAspect="1" noChangeArrowheads="1"/>
                    </pic:cNvPicPr>
                  </pic:nvPicPr>
                  <pic:blipFill>
                    <a:blip r:embed="rId2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1510" cy="3183466"/>
                    </a:xfrm>
                    <a:prstGeom prst="rect">
                      <a:avLst/>
                    </a:prstGeom>
                    <a:noFill/>
                    <a:ln>
                      <a:noFill/>
                    </a:ln>
                  </pic:spPr>
                </pic:pic>
              </a:graphicData>
            </a:graphic>
          </wp:inline>
        </w:drawing>
      </w:r>
    </w:p>
    <w:p w:rsidR="00EF5FA4" w:rsidRPr="00CE25F5" w:rsidRDefault="00EF5FA4" w:rsidP="00EF5FA4">
      <w:pPr>
        <w:spacing w:line="240" w:lineRule="auto"/>
        <w:jc w:val="both"/>
        <w:rPr>
          <w:rFonts w:ascii="Times New Roman" w:hAnsi="Times New Roman" w:cs="Times New Roman"/>
          <w:sz w:val="24"/>
          <w:szCs w:val="24"/>
          <w:lang w:eastAsia="es-ES"/>
        </w:rPr>
      </w:pPr>
      <w:r w:rsidRPr="00CE25F5">
        <w:rPr>
          <w:rFonts w:ascii="Times New Roman" w:hAnsi="Times New Roman" w:cs="Times New Roman"/>
          <w:sz w:val="24"/>
          <w:szCs w:val="24"/>
          <w:lang w:eastAsia="es-ES"/>
        </w:rPr>
        <w:t>Incluso puede fomentar el fenómeno de los ninis: jóvenes que no trabajan porque no encuentran empleo o porque han perdido la esperanza de hacerlo, y que tampoco estudian porque han alcanzado un alto nivel formativo o porque consideran que mayor formación no les va a ga</w:t>
      </w:r>
      <w:r>
        <w:rPr>
          <w:rFonts w:ascii="Times New Roman" w:hAnsi="Times New Roman" w:cs="Times New Roman"/>
          <w:sz w:val="24"/>
          <w:szCs w:val="24"/>
          <w:lang w:eastAsia="es-ES"/>
        </w:rPr>
        <w:t>rantizar el trabajo que buscan.</w:t>
      </w:r>
    </w:p>
    <w:p w:rsidR="00EF5FA4" w:rsidRDefault="00EF5FA4" w:rsidP="00EF5FA4">
      <w:pPr>
        <w:spacing w:line="240" w:lineRule="auto"/>
        <w:jc w:val="both"/>
        <w:rPr>
          <w:rFonts w:ascii="Times New Roman" w:hAnsi="Times New Roman" w:cs="Times New Roman"/>
          <w:sz w:val="24"/>
          <w:szCs w:val="24"/>
          <w:lang w:eastAsia="es-ES"/>
        </w:rPr>
      </w:pPr>
      <w:r w:rsidRPr="00CE25F5">
        <w:rPr>
          <w:rFonts w:ascii="Times New Roman" w:hAnsi="Times New Roman" w:cs="Times New Roman"/>
          <w:sz w:val="24"/>
          <w:szCs w:val="24"/>
          <w:lang w:eastAsia="es-ES"/>
        </w:rPr>
        <w:t xml:space="preserve">Con todo, las cifras actuales están lejos de su máximo en lo que va de siglo, especialmente en los países con economías más frágiles. Así, el récord en desempleo juvenil lo encontramos en </w:t>
      </w:r>
      <w:r w:rsidRPr="00CE25F5">
        <w:rPr>
          <w:rFonts w:ascii="Times New Roman" w:hAnsi="Times New Roman" w:cs="Times New Roman"/>
          <w:sz w:val="24"/>
          <w:szCs w:val="24"/>
          <w:lang w:eastAsia="es-ES"/>
        </w:rPr>
        <w:lastRenderedPageBreak/>
        <w:t>Grecia, con un 61,6% en mayo del año 2013, mientras que España tuvo su pico en julio de ese mismo año, con un 55,9% de jóvenes que buscaban un trabajo pero no lo encontraban. Ambas cifras duplicaban la media comunitaria de aquella época, ya que en febrero de aquel año 2013 el paro de la juventud europea rozaba el 25% en el conju</w:t>
      </w:r>
      <w:r>
        <w:rPr>
          <w:rFonts w:ascii="Times New Roman" w:hAnsi="Times New Roman" w:cs="Times New Roman"/>
          <w:sz w:val="24"/>
          <w:szCs w:val="24"/>
          <w:lang w:eastAsia="es-ES"/>
        </w:rPr>
        <w:t>nto de los países comunitarios.</w:t>
      </w:r>
    </w:p>
    <w:p w:rsidR="00EF5FA4" w:rsidRPr="00CE25F5" w:rsidRDefault="00EF5FA4" w:rsidP="00EF5FA4">
      <w:pPr>
        <w:spacing w:line="240" w:lineRule="auto"/>
        <w:jc w:val="both"/>
        <w:rPr>
          <w:rFonts w:ascii="Times New Roman" w:hAnsi="Times New Roman" w:cs="Times New Roman"/>
          <w:sz w:val="24"/>
          <w:szCs w:val="24"/>
          <w:lang w:eastAsia="es-ES"/>
        </w:rPr>
      </w:pPr>
      <w:r>
        <w:rPr>
          <w:noProof/>
          <w:lang w:val="en-GB" w:eastAsia="zh-CN"/>
        </w:rPr>
        <w:drawing>
          <wp:inline distT="0" distB="0" distL="0" distR="0">
            <wp:extent cx="5728035" cy="3422650"/>
            <wp:effectExtent l="0" t="0" r="6350" b="6350"/>
            <wp:docPr id="141" name="Imagen 141" descr="Protección desempleo Europ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Protección desempleo Europa"/>
                    <pic:cNvPicPr>
                      <a:picLocks noChangeAspect="1" noChangeArrowheads="1"/>
                    </pic:cNvPicPr>
                  </pic:nvPicPr>
                  <pic:blipFill>
                    <a:blip r:embed="rId2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1510" cy="3424726"/>
                    </a:xfrm>
                    <a:prstGeom prst="rect">
                      <a:avLst/>
                    </a:prstGeom>
                    <a:noFill/>
                    <a:ln>
                      <a:noFill/>
                    </a:ln>
                  </pic:spPr>
                </pic:pic>
              </a:graphicData>
            </a:graphic>
          </wp:inline>
        </w:drawing>
      </w:r>
    </w:p>
    <w:p w:rsidR="00EF5FA4" w:rsidRPr="00CE25F5" w:rsidRDefault="00EF5FA4" w:rsidP="00EF5FA4">
      <w:pPr>
        <w:spacing w:line="240" w:lineRule="auto"/>
        <w:jc w:val="both"/>
        <w:rPr>
          <w:rFonts w:ascii="Times New Roman" w:hAnsi="Times New Roman" w:cs="Times New Roman"/>
          <w:sz w:val="24"/>
          <w:szCs w:val="24"/>
          <w:lang w:eastAsia="es-ES"/>
        </w:rPr>
      </w:pPr>
      <w:r w:rsidRPr="00CE25F5">
        <w:rPr>
          <w:rFonts w:ascii="Times New Roman" w:hAnsi="Times New Roman" w:cs="Times New Roman"/>
          <w:sz w:val="24"/>
          <w:szCs w:val="24"/>
          <w:lang w:eastAsia="es-ES"/>
        </w:rPr>
        <w:t xml:space="preserve">En todos ellos, la pandemia truncó la mejoría que se venía registrando en el desempleo juvenil durante los últimos años. En el caso de España, el país que actualmente lidera la Unión Europea en desempleo juvenil, la tasa pasó del 30,5% al 41% en apenas un año, fruto del fuerte impacto de la crisis sanitaria en sectores como el turismo o la hostelería, de gran peso en la economía española tanto en </w:t>
      </w:r>
      <w:r>
        <w:rPr>
          <w:rFonts w:ascii="Times New Roman" w:hAnsi="Times New Roman" w:cs="Times New Roman"/>
          <w:sz w:val="24"/>
          <w:szCs w:val="24"/>
          <w:lang w:eastAsia="es-ES"/>
        </w:rPr>
        <w:t>términos de PIB como de empleo.</w:t>
      </w:r>
    </w:p>
    <w:p w:rsidR="00EF5FA4" w:rsidRPr="00CE25F5" w:rsidRDefault="00EF5FA4" w:rsidP="00EF5FA4">
      <w:pPr>
        <w:spacing w:line="240" w:lineRule="auto"/>
        <w:jc w:val="both"/>
        <w:rPr>
          <w:rFonts w:ascii="Times New Roman" w:hAnsi="Times New Roman" w:cs="Times New Roman"/>
          <w:sz w:val="24"/>
          <w:szCs w:val="24"/>
          <w:lang w:eastAsia="es-ES"/>
        </w:rPr>
      </w:pPr>
      <w:r w:rsidRPr="00CE25F5">
        <w:rPr>
          <w:rFonts w:ascii="Times New Roman" w:hAnsi="Times New Roman" w:cs="Times New Roman"/>
          <w:sz w:val="24"/>
          <w:szCs w:val="24"/>
          <w:lang w:eastAsia="es-ES"/>
        </w:rPr>
        <w:t xml:space="preserve">Las consecuencias de estas disparidades son claras y especialmente graves en los países más afectados. Una juventud que no puede incorporarse al mercado de trabajo implica que un segmento de la población no está adquiriendo experiencia laboral, o lo hace de forma muy irregular considerando las constantes entradas y salidas mediante becas o contratos temporales. </w:t>
      </w:r>
    </w:p>
    <w:p w:rsidR="00EF5FA4" w:rsidRDefault="00EF5FA4" w:rsidP="00EF5FA4">
      <w:pPr>
        <w:spacing w:line="240" w:lineRule="auto"/>
        <w:jc w:val="both"/>
        <w:rPr>
          <w:rFonts w:ascii="Times New Roman" w:hAnsi="Times New Roman" w:cs="Times New Roman"/>
          <w:sz w:val="24"/>
          <w:szCs w:val="24"/>
          <w:lang w:eastAsia="es-ES"/>
        </w:rPr>
      </w:pPr>
      <w:r w:rsidRPr="00CE25F5">
        <w:rPr>
          <w:rFonts w:ascii="Times New Roman" w:hAnsi="Times New Roman" w:cs="Times New Roman"/>
          <w:sz w:val="24"/>
          <w:szCs w:val="24"/>
          <w:lang w:eastAsia="es-ES"/>
        </w:rPr>
        <w:t>Esto deriva en una considerable precariedad laboral y económica, con inestabilidad en sus empleos y bajo poder adquisitivo. Y también puede fomentar la llamada ‘fuga de cerebros’: profesionales con alta cualificación que, cansados de las malas condiciones de su país natal, deciden emigrar a otros donde las oportunidades laborales y económicas son mucho mejores. Los países que sufren este fenómeno quedan muy debilitados, especialmente en el mundo científico, al perder profesionales de gran valor.</w:t>
      </w:r>
    </w:p>
    <w:p w:rsidR="00EF5FA4" w:rsidRDefault="00EF5FA4" w:rsidP="00EF5FA4">
      <w:pPr>
        <w:spacing w:line="240" w:lineRule="auto"/>
        <w:jc w:val="both"/>
        <w:rPr>
          <w:rFonts w:ascii="Times New Roman" w:hAnsi="Times New Roman" w:cs="Times New Roman"/>
          <w:sz w:val="24"/>
          <w:szCs w:val="24"/>
          <w:lang w:eastAsia="es-ES"/>
        </w:rPr>
      </w:pPr>
      <w:r w:rsidRPr="00CE25F5">
        <w:rPr>
          <w:rFonts w:ascii="Times New Roman" w:hAnsi="Times New Roman" w:cs="Times New Roman"/>
          <w:sz w:val="24"/>
          <w:szCs w:val="24"/>
          <w:lang w:eastAsia="es-ES"/>
        </w:rPr>
        <w:t>Esta situación también tiene impacto en el largo plazo, especialmente en aquellos sistemas de pensiones fundamentados en la solidaridad intergeneracional: si los jóvenes de hoy no pueden incorporarse de manera normal al mercado laboral, las pensiones del futuro cercano estarán en una posición de mayor vulnerabilidad al depender de las rentas y el trabajo de estos jóvenes.</w:t>
      </w:r>
    </w:p>
    <w:p w:rsidR="00EF5FA4" w:rsidRPr="00EF5FA4" w:rsidRDefault="00EF5FA4" w:rsidP="00EF5FA4">
      <w:pPr>
        <w:spacing w:line="240" w:lineRule="auto"/>
        <w:jc w:val="both"/>
        <w:rPr>
          <w:rFonts w:ascii="Times New Roman" w:hAnsi="Times New Roman" w:cs="Times New Roman"/>
          <w:sz w:val="24"/>
          <w:szCs w:val="24"/>
          <w:lang w:eastAsia="es-ES"/>
        </w:rPr>
      </w:pPr>
      <w:r>
        <w:rPr>
          <w:rFonts w:ascii="Times New Roman" w:hAnsi="Times New Roman" w:cs="Times New Roman"/>
          <w:b/>
          <w:sz w:val="24"/>
          <w:szCs w:val="24"/>
          <w:lang w:eastAsia="es-ES"/>
        </w:rPr>
        <w:lastRenderedPageBreak/>
        <w:t>¿Qué hacen las organizaciones gremiales por la juventud?</w:t>
      </w:r>
    </w:p>
    <w:p w:rsidR="00EF5FA4" w:rsidRPr="00EF5FA4" w:rsidRDefault="00EF5FA4" w:rsidP="00EF5FA4">
      <w:pPr>
        <w:spacing w:line="240" w:lineRule="auto"/>
        <w:jc w:val="both"/>
        <w:rPr>
          <w:rFonts w:ascii="Times New Roman" w:hAnsi="Times New Roman" w:cs="Times New Roman"/>
          <w:sz w:val="24"/>
          <w:szCs w:val="24"/>
          <w:lang w:eastAsia="es-ES"/>
        </w:rPr>
      </w:pPr>
      <w:r w:rsidRPr="00EF5FA4">
        <w:rPr>
          <w:rFonts w:ascii="Times New Roman" w:hAnsi="Times New Roman" w:cs="Times New Roman"/>
          <w:sz w:val="24"/>
          <w:szCs w:val="24"/>
          <w:lang w:eastAsia="es-ES"/>
        </w:rPr>
        <w:t>Nota aclaratoria: La Unión Sindical Obrera (USO) es un sindicato español. Fue fundado en los años 1950 en núcleos cristianos de clase obrera. Alcanzó una notoria presencia durante la transición. Actualmente es la tercera fuerza sindical de ámbito nacional español tanto en número de afiliados como por delegados sindicales. Es una entidad gremial española, que no vive de la subvención pública (léase, “no mama de la teta presupuestaria” y, por tanto, no debe estar “al servicio del gobierno de turno”, como UGT, CCOO o CEOE), sino de las cuotas de sus afiliados, por lo que puede mantener una absoluta independencia en sus apreciaciones, postulados, y actuaciones. Lo que sigue, es su pensamiento sobre el problema del empleo de la juventud.</w:t>
      </w:r>
    </w:p>
    <w:p w:rsidR="00EF5FA4" w:rsidRDefault="00EF5FA4" w:rsidP="00EF5FA4">
      <w:pPr>
        <w:pStyle w:val="Ttulo1"/>
        <w:shd w:val="clear" w:color="auto" w:fill="F6F6F6"/>
        <w:spacing w:before="0" w:beforeAutospacing="0" w:after="0" w:afterAutospacing="0"/>
        <w:jc w:val="both"/>
        <w:textAlignment w:val="baseline"/>
        <w:rPr>
          <w:rStyle w:val="current"/>
          <w:sz w:val="24"/>
          <w:szCs w:val="24"/>
          <w:bdr w:val="none" w:sz="0" w:space="0" w:color="auto" w:frame="1"/>
        </w:rPr>
      </w:pPr>
      <w:r w:rsidRPr="00C65C70">
        <w:rPr>
          <w:rStyle w:val="current"/>
          <w:sz w:val="24"/>
          <w:szCs w:val="24"/>
          <w:bdr w:val="none" w:sz="0" w:space="0" w:color="auto" w:frame="1"/>
        </w:rPr>
        <w:t>2022, Año Europeo de la Juventud: necesitan medidas efectivas</w:t>
      </w:r>
      <w:r>
        <w:rPr>
          <w:rStyle w:val="current"/>
          <w:sz w:val="24"/>
          <w:szCs w:val="24"/>
          <w:bdr w:val="none" w:sz="0" w:space="0" w:color="auto" w:frame="1"/>
        </w:rPr>
        <w:t xml:space="preserve"> (USO - 7/1/22)</w:t>
      </w:r>
    </w:p>
    <w:p w:rsidR="00EF5FA4" w:rsidRPr="000C055E" w:rsidRDefault="00EF5FA4" w:rsidP="00EF5FA4">
      <w:pPr>
        <w:pStyle w:val="Ttulo1"/>
        <w:shd w:val="clear" w:color="auto" w:fill="F6F6F6"/>
        <w:spacing w:before="0" w:beforeAutospacing="0" w:after="0" w:afterAutospacing="0"/>
        <w:jc w:val="both"/>
        <w:textAlignment w:val="baseline"/>
        <w:rPr>
          <w:caps/>
          <w:sz w:val="24"/>
          <w:szCs w:val="24"/>
        </w:rPr>
      </w:pPr>
    </w:p>
    <w:p w:rsidR="00EF5FA4" w:rsidRPr="00C65C70" w:rsidRDefault="00EF5FA4" w:rsidP="00EF5FA4">
      <w:pPr>
        <w:pStyle w:val="Ttulo2"/>
        <w:spacing w:before="0" w:after="300" w:line="240" w:lineRule="auto"/>
        <w:jc w:val="both"/>
        <w:textAlignment w:val="baseline"/>
        <w:rPr>
          <w:rFonts w:ascii="Times New Roman" w:hAnsi="Times New Roman" w:cs="Times New Roman"/>
          <w:b w:val="0"/>
          <w:bCs w:val="0"/>
          <w:color w:val="auto"/>
          <w:sz w:val="24"/>
          <w:szCs w:val="24"/>
        </w:rPr>
      </w:pPr>
      <w:r w:rsidRPr="00C65C70">
        <w:rPr>
          <w:rFonts w:ascii="Times New Roman" w:hAnsi="Times New Roman" w:cs="Times New Roman"/>
          <w:b w:val="0"/>
          <w:bCs w:val="0"/>
          <w:color w:val="auto"/>
          <w:sz w:val="24"/>
          <w:szCs w:val="24"/>
        </w:rPr>
        <w:t>2022 es el Año Europeo de la Juventud. Desde USO reclamamos medidas efectivas que den solución a la difícil situación de los jóvenes en el mundo del trabajo</w:t>
      </w:r>
    </w:p>
    <w:p w:rsidR="00EF5FA4" w:rsidRPr="00C65C70" w:rsidRDefault="00EF5FA4" w:rsidP="00EF5FA4">
      <w:pPr>
        <w:pStyle w:val="NormalWeb"/>
        <w:spacing w:before="0" w:beforeAutospacing="0" w:after="300" w:afterAutospacing="0"/>
        <w:jc w:val="both"/>
        <w:textAlignment w:val="baseline"/>
      </w:pPr>
      <w:r w:rsidRPr="00C65C70">
        <w:t>El Parlamento Europeo y el Consejo de la Unión Europea han declarado 2022 como el Año Europeo de la Juventud, con la intención de dedicarlo a trabajar por el interés de todas las personas jóvenes en Europa.</w:t>
      </w:r>
    </w:p>
    <w:p w:rsidR="00EF5FA4" w:rsidRPr="00C65C70" w:rsidRDefault="00EF5FA4" w:rsidP="00EF5FA4">
      <w:pPr>
        <w:pStyle w:val="NormalWeb"/>
        <w:spacing w:before="0" w:beforeAutospacing="0" w:after="300" w:afterAutospacing="0"/>
        <w:jc w:val="both"/>
        <w:textAlignment w:val="baseline"/>
      </w:pPr>
      <w:r w:rsidRPr="00C65C70">
        <w:t>Con esta declaración se pretenden aunar los esfuerzos de la Unión, los Estados miembros y las autoridades regionales y locales, junto con los agentes de la sociedad civil, para contribuir al empoderamiento, reconocimiento y apoyo a la juventud, estableciendo un diálogo con ellos.</w:t>
      </w:r>
    </w:p>
    <w:p w:rsidR="00EF5FA4" w:rsidRPr="00C65C70" w:rsidRDefault="00EF5FA4" w:rsidP="00EF5FA4">
      <w:pPr>
        <w:pStyle w:val="NormalWeb"/>
        <w:spacing w:before="0" w:beforeAutospacing="0" w:after="300" w:afterAutospacing="0"/>
        <w:jc w:val="both"/>
        <w:textAlignment w:val="baseline"/>
      </w:pPr>
      <w:r w:rsidRPr="00C65C70">
        <w:t>USO acoge esta declaración de forma positiva, esperando que sirva, también especialmente, para encontrar soluciones a la difícil situación de los jóvenes en el mundo del trabajo, donde abundan el desempleo y la precariedad laboral.</w:t>
      </w:r>
    </w:p>
    <w:p w:rsidR="00EF5FA4" w:rsidRPr="00C65C70" w:rsidRDefault="00EF5FA4" w:rsidP="00EF5FA4">
      <w:pPr>
        <w:pStyle w:val="Ttulo3"/>
        <w:spacing w:before="450" w:after="150" w:line="240" w:lineRule="auto"/>
        <w:jc w:val="both"/>
        <w:textAlignment w:val="baseline"/>
        <w:rPr>
          <w:rFonts w:ascii="Times New Roman" w:hAnsi="Times New Roman" w:cs="Times New Roman"/>
          <w:color w:val="auto"/>
          <w:sz w:val="24"/>
          <w:szCs w:val="24"/>
        </w:rPr>
      </w:pPr>
      <w:r w:rsidRPr="00C65C70">
        <w:rPr>
          <w:rFonts w:ascii="Times New Roman" w:hAnsi="Times New Roman" w:cs="Times New Roman"/>
          <w:color w:val="auto"/>
          <w:sz w:val="24"/>
          <w:szCs w:val="24"/>
        </w:rPr>
        <w:t>Los problemas de la juventud, una tarea pendiente en Europa</w:t>
      </w:r>
    </w:p>
    <w:p w:rsidR="00EF5FA4" w:rsidRPr="00C65C70" w:rsidRDefault="00EF5FA4" w:rsidP="00EF5FA4">
      <w:pPr>
        <w:pStyle w:val="NormalWeb"/>
        <w:spacing w:before="0" w:beforeAutospacing="0" w:after="300" w:afterAutospacing="0"/>
        <w:jc w:val="both"/>
        <w:textAlignment w:val="baseline"/>
      </w:pPr>
      <w:r w:rsidRPr="00C65C70">
        <w:t>La Unión Europea tiene el mandato de fomentar la participación de los jóvenes en la vida democrática de Europa, como así establece el apartado 2 del artículo 165 del Tratado de Funcionamiento de la Unión Europea (TFUE). En los últimos años, los veintisiete Estados miembros se han comprometido en numerosas ocasiones a trabajar para conseguir una Unión que ofrezca mejores oportunidades educativas y de empleo a los jóvenes en todo el continente.</w:t>
      </w:r>
    </w:p>
    <w:p w:rsidR="00EF5FA4" w:rsidRPr="00C65C70" w:rsidRDefault="00EF5FA4" w:rsidP="00EF5FA4">
      <w:pPr>
        <w:pStyle w:val="NormalWeb"/>
        <w:spacing w:before="0" w:beforeAutospacing="0" w:after="300" w:afterAutospacing="0"/>
        <w:jc w:val="both"/>
        <w:textAlignment w:val="baseline"/>
      </w:pPr>
      <w:r w:rsidRPr="00C65C70">
        <w:t>Un aspecto que se pretende impulsar a través del plan de recuperación para Europa, aprobado tras la llegada de la crisis provocada por el covid: el NextGenerationEU. La UE plantea que los jóvenes participen en el despliegue del plan de recuperación y vean reforzado, de esta manera, su papel en las transiciones ecológica y digital.</w:t>
      </w:r>
    </w:p>
    <w:p w:rsidR="00EF5FA4" w:rsidRPr="00C65C70" w:rsidRDefault="00EF5FA4" w:rsidP="00EF5FA4">
      <w:pPr>
        <w:pStyle w:val="NormalWeb"/>
        <w:spacing w:before="0" w:beforeAutospacing="0" w:after="300" w:afterAutospacing="0"/>
        <w:jc w:val="both"/>
        <w:textAlignment w:val="baseline"/>
      </w:pPr>
      <w:r w:rsidRPr="00C65C70">
        <w:t>Asimismo, la Agenda 2030 para el Desarrollo Sostenible de las Naciones Unidas reconoce el papel fundamental de los jóvenes en cuanto agentes del cambio en la escena internacional. El Año Europeo de la Juventud puede proporcionar un nuevo impulso a la aplicación de dicha Agenda, para contribuir al desarrollo sostenible y a la capacidad de los jóvenes de configurar el presente y el futuro; no solo de la UE, sino también de los países socios de esta y del planeta en su conjunto.</w:t>
      </w:r>
    </w:p>
    <w:p w:rsidR="00EF5FA4" w:rsidRPr="00C65C70" w:rsidRDefault="00EF5FA4" w:rsidP="00EF5FA4">
      <w:pPr>
        <w:pStyle w:val="Ttulo3"/>
        <w:spacing w:before="450" w:after="150" w:line="240" w:lineRule="auto"/>
        <w:jc w:val="both"/>
        <w:textAlignment w:val="baseline"/>
        <w:rPr>
          <w:rFonts w:ascii="Times New Roman" w:hAnsi="Times New Roman" w:cs="Times New Roman"/>
          <w:color w:val="auto"/>
          <w:sz w:val="24"/>
          <w:szCs w:val="24"/>
        </w:rPr>
      </w:pPr>
      <w:r w:rsidRPr="00C65C70">
        <w:rPr>
          <w:rFonts w:ascii="Times New Roman" w:hAnsi="Times New Roman" w:cs="Times New Roman"/>
          <w:color w:val="auto"/>
          <w:sz w:val="24"/>
          <w:szCs w:val="24"/>
        </w:rPr>
        <w:lastRenderedPageBreak/>
        <w:t>Paro y precariedad y salud mental</w:t>
      </w:r>
    </w:p>
    <w:p w:rsidR="00EF5FA4" w:rsidRPr="00C65C70" w:rsidRDefault="00EF5FA4" w:rsidP="00EF5FA4">
      <w:pPr>
        <w:pStyle w:val="NormalWeb"/>
        <w:spacing w:before="0" w:beforeAutospacing="0" w:after="300" w:afterAutospacing="0"/>
        <w:jc w:val="both"/>
        <w:textAlignment w:val="baseline"/>
      </w:pPr>
      <w:r w:rsidRPr="00C65C70">
        <w:t>Sin duda, los retos que afronta la UE en cuanto a la situación de los jóvenes no son menores. Un informe reciente publicado por la Comisión Europea refleja el impacto que ha supuesto en la vida de los jóvenes la llegada de la pandemia, tanto a nivel formativo, como laboral y psicosocial.</w:t>
      </w:r>
    </w:p>
    <w:p w:rsidR="00EF5FA4" w:rsidRPr="00C65C70" w:rsidRDefault="00EF5FA4" w:rsidP="00EF5FA4">
      <w:pPr>
        <w:pStyle w:val="NormalWeb"/>
        <w:spacing w:before="0" w:beforeAutospacing="0" w:after="300" w:afterAutospacing="0"/>
        <w:jc w:val="both"/>
        <w:textAlignment w:val="baseline"/>
      </w:pPr>
      <w:r w:rsidRPr="00C65C70">
        <w:t>La pandemia ha agravado las desigualdades preexistentes entre los jóvenes europeos en el mercado laboral en comparación con el resto de la población trabajadora. La pandemia ha supuesto un retroceso en la recuperación económica tras la crisis del 2008 que llegó a situar en el 25% su pico de desempleo entre los jóvenes, elevándose a más del 50% en países como Grecia o España.</w:t>
      </w:r>
    </w:p>
    <w:p w:rsidR="00EF5FA4" w:rsidRPr="00C65C70" w:rsidRDefault="00EF5FA4" w:rsidP="00EF5FA4">
      <w:pPr>
        <w:pStyle w:val="NormalWeb"/>
        <w:spacing w:before="0" w:beforeAutospacing="0" w:after="300" w:afterAutospacing="0"/>
        <w:jc w:val="both"/>
        <w:textAlignment w:val="baseline"/>
      </w:pPr>
      <w:r w:rsidRPr="00C65C70">
        <w:t>En 2019, se había logrado bajar este dato al 14,1%, una cifra que aumentó hasta el 18% en 2021; situándose España de nuevo a la cabeza con el 37,7% de paro juvenil. A pesar de la recuperación del empleo de los jóvenes tras la crisis del 2008, esta se ha producido en buena medida a través de un aumento del empleo temporal con salarios bajos.</w:t>
      </w:r>
    </w:p>
    <w:p w:rsidR="00EF5FA4" w:rsidRPr="00C65C70" w:rsidRDefault="00EF5FA4" w:rsidP="00EF5FA4">
      <w:pPr>
        <w:pStyle w:val="NormalWeb"/>
        <w:spacing w:before="0" w:beforeAutospacing="0" w:after="300" w:afterAutospacing="0"/>
        <w:jc w:val="both"/>
        <w:textAlignment w:val="baseline"/>
      </w:pPr>
      <w:r w:rsidRPr="00C65C70">
        <w:t>Además, la pandemia está teniendo un impacto sin precedentes en la salud mental y emocional de las personas jóvenes, al transformar radicalmente sus relaciones interpersonales; viéndose muy afectados por las alteraciones de los vínculos familiares y sociales, y por la crisis económica causada por los confinamientos.</w:t>
      </w:r>
    </w:p>
    <w:p w:rsidR="00EF5FA4" w:rsidRPr="00EF5FA4" w:rsidRDefault="00EF5FA4" w:rsidP="00EF5FA4">
      <w:pPr>
        <w:pStyle w:val="NormalWeb"/>
        <w:spacing w:before="0" w:beforeAutospacing="0" w:after="0" w:afterAutospacing="0"/>
        <w:jc w:val="both"/>
        <w:textAlignment w:val="baseline"/>
      </w:pPr>
      <w:r w:rsidRPr="00EF5FA4">
        <w:t>Por otro lado, el reciente </w:t>
      </w:r>
      <w:hyperlink r:id="rId24" w:tgtFrame="_blank" w:history="1">
        <w:r w:rsidRPr="00EF5FA4">
          <w:rPr>
            <w:rStyle w:val="Hipervnculo"/>
            <w:color w:val="auto"/>
            <w:u w:val="none"/>
            <w:bdr w:val="none" w:sz="0" w:space="0" w:color="auto" w:frame="1"/>
          </w:rPr>
          <w:t>Observatorio de Emancipación publicado por el Consejo de la Juventud de España (CJE)</w:t>
        </w:r>
      </w:hyperlink>
      <w:r w:rsidRPr="00EF5FA4">
        <w:t> revela las nefastas consecuencias de la precariedad laboral en la vida personal de los jóvenes y la dificultad que estos tienen para llevar a cabo una vida independiente en nuestro país.</w:t>
      </w:r>
    </w:p>
    <w:p w:rsidR="00EF5FA4" w:rsidRPr="00C65C70" w:rsidRDefault="00EF5FA4" w:rsidP="00EF5FA4">
      <w:pPr>
        <w:pStyle w:val="Ttulo3"/>
        <w:spacing w:before="450" w:after="150" w:line="240" w:lineRule="auto"/>
        <w:jc w:val="both"/>
        <w:textAlignment w:val="baseline"/>
        <w:rPr>
          <w:rFonts w:ascii="Times New Roman" w:hAnsi="Times New Roman" w:cs="Times New Roman"/>
          <w:color w:val="auto"/>
          <w:sz w:val="24"/>
          <w:szCs w:val="24"/>
        </w:rPr>
      </w:pPr>
      <w:r w:rsidRPr="00C65C70">
        <w:rPr>
          <w:rFonts w:ascii="Times New Roman" w:hAnsi="Times New Roman" w:cs="Times New Roman"/>
          <w:color w:val="auto"/>
          <w:sz w:val="24"/>
          <w:szCs w:val="24"/>
        </w:rPr>
        <w:t>Efectos de la pandemia sobre la educación</w:t>
      </w:r>
    </w:p>
    <w:p w:rsidR="00EF5FA4" w:rsidRPr="00C65C70" w:rsidRDefault="00EF5FA4" w:rsidP="00EF5FA4">
      <w:pPr>
        <w:pStyle w:val="NormalWeb"/>
        <w:spacing w:before="0" w:beforeAutospacing="0" w:after="300" w:afterAutospacing="0"/>
        <w:jc w:val="both"/>
        <w:textAlignment w:val="baseline"/>
      </w:pPr>
      <w:r w:rsidRPr="00C65C70">
        <w:t>En cuanto al aspecto formativo, el cierre de las instituciones educativas ha afectado al avance en el aprendizaje de todos los estudiantes. Sin embargo el cambio hacia el aprendizaje a distancia ha tenido un impacto desproporcionadamente negativo en las personas que ya se encontraban en una situación de desventaja, aumentando la probabilidad de abandono de los estudiantes en situación de riesgo. En los años anteriores se había producido una disminución constante de la proporción de jóvenes que ni estudian, ni trabajan, ni reciben formación. Pero en 2020, las cifras regresaron al nivel de 2017 (el 13,7%, en el caso de España y el 19,9%, solo por detrás de Italia con un 24,8%).</w:t>
      </w:r>
    </w:p>
    <w:p w:rsidR="00EF5FA4" w:rsidRPr="00C65C70" w:rsidRDefault="00EF5FA4" w:rsidP="00EF5FA4">
      <w:pPr>
        <w:pStyle w:val="Ttulo3"/>
        <w:spacing w:before="450" w:after="150" w:line="240" w:lineRule="auto"/>
        <w:jc w:val="both"/>
        <w:textAlignment w:val="baseline"/>
        <w:rPr>
          <w:rFonts w:ascii="Times New Roman" w:hAnsi="Times New Roman" w:cs="Times New Roman"/>
          <w:color w:val="auto"/>
          <w:sz w:val="24"/>
          <w:szCs w:val="24"/>
        </w:rPr>
      </w:pPr>
      <w:r w:rsidRPr="00C65C70">
        <w:rPr>
          <w:rFonts w:ascii="Times New Roman" w:hAnsi="Times New Roman" w:cs="Times New Roman"/>
          <w:color w:val="auto"/>
          <w:sz w:val="24"/>
          <w:szCs w:val="24"/>
        </w:rPr>
        <w:t>Los objetivos del Año Europeo de la Juventud</w:t>
      </w:r>
    </w:p>
    <w:p w:rsidR="00EF5FA4" w:rsidRPr="00C65C70" w:rsidRDefault="00EF5FA4" w:rsidP="00EF5FA4">
      <w:pPr>
        <w:pStyle w:val="NormalWeb"/>
        <w:spacing w:before="0" w:beforeAutospacing="0" w:after="300" w:afterAutospacing="0"/>
        <w:jc w:val="both"/>
        <w:textAlignment w:val="baseline"/>
      </w:pPr>
      <w:r w:rsidRPr="00C65C70">
        <w:t>El objetivo general del Año Europeo de la Juventud será “impulsar los esfuerzos de la Unión, los Estados miembros y las autoridades regionales y locales, junto con los agentes de la sociedad civil, por empoderar, reconocer y apoyar a los jóvenes, y entablar un diálogo con ellos, incluidos los jóvenes con menos oportunidades, con la perspectiva de la etapa posterior a la pandemia de COVID-19, con miras a lograr una repercusión positiva a largo plazo para los jóvenes”.</w:t>
      </w:r>
    </w:p>
    <w:p w:rsidR="00EF5FA4" w:rsidRPr="00C65C70" w:rsidRDefault="00EF5FA4" w:rsidP="00EF5FA4">
      <w:pPr>
        <w:pStyle w:val="NormalWeb"/>
        <w:spacing w:before="0" w:beforeAutospacing="0" w:after="300" w:afterAutospacing="0"/>
        <w:jc w:val="both"/>
        <w:textAlignment w:val="baseline"/>
      </w:pPr>
      <w:r w:rsidRPr="00C65C70">
        <w:t>Más concretamente, se pretende:</w:t>
      </w:r>
    </w:p>
    <w:p w:rsidR="00EF5FA4" w:rsidRPr="00C65C70" w:rsidRDefault="00EF5FA4" w:rsidP="00EF5FA4">
      <w:pPr>
        <w:numPr>
          <w:ilvl w:val="0"/>
          <w:numId w:val="2"/>
        </w:numPr>
        <w:spacing w:after="0" w:line="240" w:lineRule="auto"/>
        <w:ind w:left="375"/>
        <w:jc w:val="both"/>
        <w:textAlignment w:val="baseline"/>
        <w:rPr>
          <w:rFonts w:ascii="Times New Roman" w:hAnsi="Times New Roman" w:cs="Times New Roman"/>
          <w:sz w:val="24"/>
          <w:szCs w:val="24"/>
        </w:rPr>
      </w:pPr>
      <w:r w:rsidRPr="00C65C70">
        <w:rPr>
          <w:rFonts w:ascii="Times New Roman" w:hAnsi="Times New Roman" w:cs="Times New Roman"/>
          <w:sz w:val="24"/>
          <w:szCs w:val="24"/>
        </w:rPr>
        <w:lastRenderedPageBreak/>
        <w:t>renovar las perspectivas positivas de los jóvenes, prestando especial atención a aquellos efectos negativos que ha tenido sobre ellos la pandemia, al mismo tiempo que destacar las oportunidades que pueden brindarles las transiciones ecológica y digital;</w:t>
      </w:r>
    </w:p>
    <w:p w:rsidR="00EF5FA4" w:rsidRPr="00C65C70" w:rsidRDefault="00EF5FA4" w:rsidP="00EF5FA4">
      <w:pPr>
        <w:numPr>
          <w:ilvl w:val="0"/>
          <w:numId w:val="2"/>
        </w:numPr>
        <w:spacing w:after="0" w:line="240" w:lineRule="auto"/>
        <w:ind w:left="375"/>
        <w:jc w:val="both"/>
        <w:textAlignment w:val="baseline"/>
        <w:rPr>
          <w:rFonts w:ascii="Times New Roman" w:hAnsi="Times New Roman" w:cs="Times New Roman"/>
          <w:sz w:val="24"/>
          <w:szCs w:val="24"/>
        </w:rPr>
      </w:pPr>
      <w:r w:rsidRPr="00C65C70">
        <w:rPr>
          <w:rFonts w:ascii="Times New Roman" w:hAnsi="Times New Roman" w:cs="Times New Roman"/>
          <w:sz w:val="24"/>
          <w:szCs w:val="24"/>
        </w:rPr>
        <w:t>empoderar y ayudar a los jóvenes, especialmente a aquellos con menos oportunidades, a los pertenecientes a grupos vulnerables y marginados, a los procedentes de zonas rurales, remotas, periféricas o menos desarrolladas, para que adquieran conocimientos y competencias relevantes; de modo que se conviertan en ciudadanos comprometidos e impulsores del cambio en la UE;</w:t>
      </w:r>
    </w:p>
    <w:p w:rsidR="00EF5FA4" w:rsidRPr="00C65C70" w:rsidRDefault="00EF5FA4" w:rsidP="00EF5FA4">
      <w:pPr>
        <w:numPr>
          <w:ilvl w:val="0"/>
          <w:numId w:val="2"/>
        </w:numPr>
        <w:spacing w:after="0" w:line="240" w:lineRule="auto"/>
        <w:ind w:left="375"/>
        <w:jc w:val="both"/>
        <w:textAlignment w:val="baseline"/>
        <w:rPr>
          <w:rFonts w:ascii="Times New Roman" w:hAnsi="Times New Roman" w:cs="Times New Roman"/>
          <w:sz w:val="24"/>
          <w:szCs w:val="24"/>
        </w:rPr>
      </w:pPr>
      <w:r w:rsidRPr="00C65C70">
        <w:rPr>
          <w:rFonts w:ascii="Times New Roman" w:hAnsi="Times New Roman" w:cs="Times New Roman"/>
          <w:sz w:val="24"/>
          <w:szCs w:val="24"/>
        </w:rPr>
        <w:t>ayudar a los jóvenes a comprender mejor y fomentar activamente las diversas oportunidades de que disponen derivadas de las políticas públicas a nivel de la Unión, nacional, regional y local, de modo que se logre su desarrollo personal, social, económico y profesional;</w:t>
      </w:r>
    </w:p>
    <w:p w:rsidR="00EF5FA4" w:rsidRDefault="00EF5FA4" w:rsidP="00EF5FA4">
      <w:pPr>
        <w:numPr>
          <w:ilvl w:val="0"/>
          <w:numId w:val="2"/>
        </w:numPr>
        <w:spacing w:after="0" w:line="240" w:lineRule="auto"/>
        <w:ind w:left="375"/>
        <w:jc w:val="both"/>
        <w:textAlignment w:val="baseline"/>
        <w:rPr>
          <w:rFonts w:ascii="Times New Roman" w:hAnsi="Times New Roman" w:cs="Times New Roman"/>
          <w:sz w:val="24"/>
          <w:szCs w:val="24"/>
        </w:rPr>
      </w:pPr>
      <w:r w:rsidRPr="00C65C70">
        <w:rPr>
          <w:rFonts w:ascii="Times New Roman" w:hAnsi="Times New Roman" w:cs="Times New Roman"/>
          <w:sz w:val="24"/>
          <w:szCs w:val="24"/>
        </w:rPr>
        <w:t>integrar la política de la juventud en todos los ámbitos políticos pertinentes de la Unión en consonancia con la Estrategia de la Unión Europea para la Juventud 2019-2027, a fin de alentar la incorporación de una perspectiva de la juventud en todos los niveles de la formulación de políticas. Este objetivo deberá llevarse a cabo a través de diferentes actividades como conferencias, actos e iniciativas en materia de políticas orientadas a los jóvenes para promover un debate inclusivo y accesible sobre los retos, incluido el impacto de la pandemia, a los que se enfrentan los jóvenes. También a través de métodos participativos, campañas de información, de educación, concienciación; además de estudios, investigaciones sobre la situación de los jóvenes en la UE, etc.</w:t>
      </w:r>
    </w:p>
    <w:p w:rsidR="00EF5FA4" w:rsidRPr="00C65C70" w:rsidRDefault="00EF5FA4" w:rsidP="00EF5FA4">
      <w:pPr>
        <w:spacing w:after="0" w:line="240" w:lineRule="auto"/>
        <w:ind w:left="375"/>
        <w:jc w:val="both"/>
        <w:textAlignment w:val="baseline"/>
        <w:rPr>
          <w:rFonts w:ascii="Times New Roman" w:hAnsi="Times New Roman" w:cs="Times New Roman"/>
          <w:sz w:val="24"/>
          <w:szCs w:val="24"/>
        </w:rPr>
      </w:pPr>
    </w:p>
    <w:p w:rsidR="00EF5FA4" w:rsidRDefault="00EF5FA4" w:rsidP="00EF5FA4">
      <w:pPr>
        <w:pStyle w:val="NormalWeb"/>
        <w:spacing w:before="0" w:beforeAutospacing="0" w:after="300" w:afterAutospacing="0"/>
        <w:jc w:val="both"/>
        <w:textAlignment w:val="baseline"/>
      </w:pPr>
      <w:r w:rsidRPr="00C65C70">
        <w:t>USO valora la declaración de 2022 como Año Europeo de la Juventud y la oportunidad que esto brinda para abrir un espacio de diálogo en torno a la situación de los jóvenes. Consideramos imprescindible la participación de las secretarías de juventud de los sindicatos en el debate y diseño de posibles políticas públicas, de modo que puedan abordarse los problemas que enfrenta la juventud europea.</w:t>
      </w:r>
    </w:p>
    <w:p w:rsidR="00EF5FA4" w:rsidRDefault="00EF5FA4" w:rsidP="00EF5FA4">
      <w:pPr>
        <w:jc w:val="both"/>
        <w:rPr>
          <w:rFonts w:ascii="Times New Roman" w:hAnsi="Times New Roman" w:cs="Times New Roman"/>
          <w:b/>
          <w:sz w:val="24"/>
          <w:szCs w:val="24"/>
        </w:rPr>
      </w:pPr>
      <w:r w:rsidRPr="003F3B30">
        <w:rPr>
          <w:rFonts w:ascii="Times New Roman" w:hAnsi="Times New Roman" w:cs="Times New Roman"/>
          <w:b/>
          <w:sz w:val="24"/>
          <w:szCs w:val="24"/>
        </w:rPr>
        <w:t>¿Qué hace la Unión Europea por la juventud?</w:t>
      </w:r>
    </w:p>
    <w:p w:rsidR="00EF5FA4" w:rsidRDefault="00EF5FA4" w:rsidP="00EF5FA4">
      <w:pPr>
        <w:jc w:val="both"/>
        <w:rPr>
          <w:rFonts w:ascii="Times New Roman" w:hAnsi="Times New Roman" w:cs="Times New Roman"/>
          <w:b/>
          <w:sz w:val="24"/>
          <w:szCs w:val="24"/>
        </w:rPr>
      </w:pPr>
      <w:r>
        <w:rPr>
          <w:rFonts w:ascii="Times New Roman" w:hAnsi="Times New Roman" w:cs="Times New Roman"/>
          <w:b/>
          <w:sz w:val="24"/>
          <w:szCs w:val="24"/>
        </w:rPr>
        <w:t xml:space="preserve">Año Europeo de la Juventud 2022 </w:t>
      </w:r>
    </w:p>
    <w:p w:rsidR="00EF5FA4" w:rsidRPr="0070331F" w:rsidRDefault="00EF5FA4" w:rsidP="00EF5FA4">
      <w:pPr>
        <w:jc w:val="both"/>
        <w:rPr>
          <w:rFonts w:ascii="Times New Roman" w:hAnsi="Times New Roman" w:cs="Times New Roman"/>
          <w:sz w:val="24"/>
          <w:szCs w:val="24"/>
        </w:rPr>
      </w:pPr>
      <w:r>
        <w:rPr>
          <w:rFonts w:ascii="Times New Roman" w:hAnsi="Times New Roman" w:cs="Times New Roman"/>
          <w:b/>
          <w:sz w:val="24"/>
          <w:szCs w:val="24"/>
        </w:rPr>
        <w:t xml:space="preserve">Comisión </w:t>
      </w:r>
      <w:r w:rsidRPr="003F3B30">
        <w:rPr>
          <w:rFonts w:ascii="Times New Roman" w:hAnsi="Times New Roman" w:cs="Times New Roman"/>
          <w:b/>
          <w:sz w:val="24"/>
          <w:szCs w:val="24"/>
        </w:rPr>
        <w:t>Europea</w:t>
      </w:r>
      <w:r>
        <w:rPr>
          <w:rFonts w:ascii="Times New Roman" w:hAnsi="Times New Roman" w:cs="Times New Roman"/>
          <w:b/>
          <w:sz w:val="24"/>
          <w:szCs w:val="24"/>
        </w:rPr>
        <w:t xml:space="preserve"> - </w:t>
      </w:r>
      <w:r w:rsidRPr="0070331F">
        <w:rPr>
          <w:rFonts w:ascii="Times New Roman" w:hAnsi="Times New Roman" w:cs="Times New Roman"/>
          <w:sz w:val="24"/>
          <w:szCs w:val="24"/>
        </w:rPr>
        <w:t>https://europa.eu/youth/year-of-youth_es</w:t>
      </w:r>
    </w:p>
    <w:p w:rsidR="00EF5FA4" w:rsidRPr="003F3B30" w:rsidRDefault="00EF5FA4" w:rsidP="00EF5FA4">
      <w:pPr>
        <w:spacing w:line="240" w:lineRule="auto"/>
        <w:jc w:val="both"/>
        <w:rPr>
          <w:rFonts w:ascii="Times New Roman" w:hAnsi="Times New Roman" w:cs="Times New Roman"/>
          <w:sz w:val="24"/>
          <w:szCs w:val="24"/>
        </w:rPr>
      </w:pPr>
      <w:r w:rsidRPr="003F3B30">
        <w:rPr>
          <w:rFonts w:ascii="Times New Roman" w:hAnsi="Times New Roman" w:cs="Times New Roman"/>
          <w:sz w:val="24"/>
          <w:szCs w:val="24"/>
        </w:rPr>
        <w:t>Iniciativas políticas de juventud europeas</w:t>
      </w:r>
    </w:p>
    <w:p w:rsidR="00EF5FA4" w:rsidRPr="003F3B30" w:rsidRDefault="00EF5FA4" w:rsidP="00EF5FA4">
      <w:pPr>
        <w:spacing w:line="240" w:lineRule="auto"/>
        <w:jc w:val="both"/>
        <w:rPr>
          <w:rFonts w:ascii="Times New Roman" w:hAnsi="Times New Roman" w:cs="Times New Roman"/>
          <w:sz w:val="24"/>
          <w:szCs w:val="24"/>
        </w:rPr>
      </w:pPr>
      <w:r w:rsidRPr="003F3B30">
        <w:rPr>
          <w:rFonts w:ascii="Times New Roman" w:hAnsi="Times New Roman" w:cs="Times New Roman"/>
          <w:sz w:val="24"/>
          <w:szCs w:val="24"/>
        </w:rPr>
        <w:t>Empleo e inclusión</w:t>
      </w:r>
    </w:p>
    <w:p w:rsidR="00EF5FA4" w:rsidRPr="003F3B30" w:rsidRDefault="00EF5FA4" w:rsidP="00EF5FA4">
      <w:pPr>
        <w:spacing w:line="240" w:lineRule="auto"/>
        <w:jc w:val="both"/>
        <w:rPr>
          <w:rFonts w:ascii="Times New Roman" w:hAnsi="Times New Roman" w:cs="Times New Roman"/>
          <w:sz w:val="24"/>
          <w:szCs w:val="24"/>
        </w:rPr>
      </w:pPr>
      <w:r w:rsidRPr="003F3B30">
        <w:rPr>
          <w:rFonts w:ascii="Times New Roman" w:hAnsi="Times New Roman" w:cs="Times New Roman"/>
          <w:sz w:val="24"/>
          <w:szCs w:val="24"/>
        </w:rPr>
        <w:t>Planes de Recuperación y Resiliencia</w:t>
      </w:r>
    </w:p>
    <w:p w:rsidR="00EF5FA4" w:rsidRPr="003F3B30" w:rsidRDefault="00EF5FA4" w:rsidP="00EF5FA4">
      <w:pPr>
        <w:spacing w:line="240" w:lineRule="auto"/>
        <w:jc w:val="both"/>
        <w:rPr>
          <w:rFonts w:ascii="Times New Roman" w:hAnsi="Times New Roman" w:cs="Times New Roman"/>
          <w:sz w:val="24"/>
          <w:szCs w:val="24"/>
        </w:rPr>
      </w:pPr>
      <w:r w:rsidRPr="003F3B30">
        <w:rPr>
          <w:rFonts w:ascii="Times New Roman" w:hAnsi="Times New Roman" w:cs="Times New Roman"/>
          <w:sz w:val="24"/>
          <w:szCs w:val="24"/>
        </w:rPr>
        <w:t>Para beneficiarse del apoyo del Mecanismo de Recuperación y Resiliencia (MRR), los Estados miembros han presentado sus planes de recuperación y resiliencia a la Comisión Europea, estableciendo las reformas e inversiones que tienen previsto aplicar en los próximos seis años. Uno de los seis p</w:t>
      </w:r>
      <w:r>
        <w:rPr>
          <w:rFonts w:ascii="Times New Roman" w:hAnsi="Times New Roman" w:cs="Times New Roman"/>
          <w:sz w:val="24"/>
          <w:szCs w:val="24"/>
        </w:rPr>
        <w:t>ilares del MRR está dedicado a “</w:t>
      </w:r>
      <w:r w:rsidRPr="003F3B30">
        <w:rPr>
          <w:rFonts w:ascii="Times New Roman" w:hAnsi="Times New Roman" w:cs="Times New Roman"/>
          <w:sz w:val="24"/>
          <w:szCs w:val="24"/>
        </w:rPr>
        <w:t>Políticas para la próxima generación, los niños y los jóvenes, como</w:t>
      </w:r>
      <w:r>
        <w:rPr>
          <w:rFonts w:ascii="Times New Roman" w:hAnsi="Times New Roman" w:cs="Times New Roman"/>
          <w:sz w:val="24"/>
          <w:szCs w:val="24"/>
        </w:rPr>
        <w:t xml:space="preserve"> la educación y las habilidades”</w:t>
      </w:r>
      <w:r w:rsidRPr="003F3B30">
        <w:rPr>
          <w:rFonts w:ascii="Times New Roman" w:hAnsi="Times New Roman" w:cs="Times New Roman"/>
          <w:sz w:val="24"/>
          <w:szCs w:val="24"/>
        </w:rPr>
        <w:t xml:space="preserve">. Las reformas y las inversiones en los niños y los jóvenes son esenciales para garantizar que la próxima generación de europeos no se vea afectada permanentemente por el impacto de la crisis de la COVID-19 y que la brecha generacional no se profundice aún más. Los PRR deben contribuir adecuadamente a los seis pilares, incluido este.  </w:t>
      </w:r>
    </w:p>
    <w:p w:rsidR="00EF5FA4" w:rsidRPr="003F3B30" w:rsidRDefault="00EF5FA4" w:rsidP="00EF5FA4">
      <w:pPr>
        <w:spacing w:line="240" w:lineRule="auto"/>
        <w:jc w:val="both"/>
        <w:rPr>
          <w:rFonts w:ascii="Times New Roman" w:hAnsi="Times New Roman" w:cs="Times New Roman"/>
          <w:sz w:val="24"/>
          <w:szCs w:val="24"/>
        </w:rPr>
      </w:pPr>
      <w:r w:rsidRPr="003F3B30">
        <w:rPr>
          <w:rFonts w:ascii="Times New Roman" w:hAnsi="Times New Roman" w:cs="Times New Roman"/>
          <w:sz w:val="24"/>
          <w:szCs w:val="24"/>
        </w:rPr>
        <w:lastRenderedPageBreak/>
        <w:t xml:space="preserve">Entrar en el detalle de los planes nacionales de recuperación y resiliencia presentados hasta ahora permite identificar muchas medidas pertinentes para la juventud, principalmente relacionadas con la educación y el mercado laboral. Los Estados miembros han mostrado un firme compromiso de apoyar y promover las políticas para la próxima generación. La Comisión ha señalado un total de 310 medidas presentadas por los Estados miembros cuyo objetivo principal es apoyar a los niños y los jóvenes. La mayoría de las medidas se centrarán en el acceso y la calidad e inclusión de la educación general, profesional y superior, mientras que otras medidas cubrirán el apoyo al empleo juvenil. La mayoría de los Estados miembros disponen de medidas específicas en estos ámbitos, y se pueden encontrar ejemplos, por ejemplo, en Eslovenia y Grecia. </w:t>
      </w:r>
    </w:p>
    <w:p w:rsidR="00EF5FA4" w:rsidRPr="003F3B30" w:rsidRDefault="00EF5FA4" w:rsidP="00EF5FA4">
      <w:pPr>
        <w:spacing w:line="240" w:lineRule="auto"/>
        <w:jc w:val="both"/>
        <w:rPr>
          <w:rFonts w:ascii="Times New Roman" w:hAnsi="Times New Roman" w:cs="Times New Roman"/>
          <w:sz w:val="24"/>
          <w:szCs w:val="24"/>
        </w:rPr>
      </w:pPr>
      <w:r w:rsidRPr="003F3B30">
        <w:rPr>
          <w:rFonts w:ascii="Times New Roman" w:hAnsi="Times New Roman" w:cs="Times New Roman"/>
          <w:sz w:val="24"/>
          <w:szCs w:val="24"/>
        </w:rPr>
        <w:t>¿Qué implica para la gente joven?</w:t>
      </w:r>
    </w:p>
    <w:p w:rsidR="00EF5FA4" w:rsidRPr="003F3B30" w:rsidRDefault="00EF5FA4" w:rsidP="00EF5FA4">
      <w:pPr>
        <w:spacing w:line="240" w:lineRule="auto"/>
        <w:jc w:val="both"/>
        <w:rPr>
          <w:rFonts w:ascii="Times New Roman" w:hAnsi="Times New Roman" w:cs="Times New Roman"/>
          <w:sz w:val="24"/>
          <w:szCs w:val="24"/>
        </w:rPr>
      </w:pPr>
      <w:r w:rsidRPr="003F3B30">
        <w:rPr>
          <w:rFonts w:ascii="Times New Roman" w:hAnsi="Times New Roman" w:cs="Times New Roman"/>
          <w:sz w:val="24"/>
          <w:szCs w:val="24"/>
        </w:rPr>
        <w:t xml:space="preserve">El PIR de Eslovenia, con una inversión de 27,5 millones EUR, ofrece incentivos financieros para que los empleadores contraten a jóvenes de hasta 25 años con contratos indefinidos. Los empleadores también deben comprometerse a proporcionar un mentor adecuado para ayudar y capacitar a los jóvenes en un trabajo específico. Durante el período de subvención de 18 meses, se espera que los jóvenes adquieran competencias adicionales para ejercer la profesión y mejorar sus conocimientos teóricos con experiencia laboral. Durante este período, el nuevo empleado y su mentor deben participar en una formación de al menos 30 horas con un enfoque en la mejora de las competencias digitales.  </w:t>
      </w:r>
    </w:p>
    <w:p w:rsidR="00EF5FA4" w:rsidRDefault="00EF5FA4" w:rsidP="00EF5FA4">
      <w:pPr>
        <w:spacing w:line="240" w:lineRule="auto"/>
        <w:jc w:val="both"/>
        <w:rPr>
          <w:rFonts w:ascii="Times New Roman" w:hAnsi="Times New Roman" w:cs="Times New Roman"/>
          <w:sz w:val="24"/>
          <w:szCs w:val="24"/>
        </w:rPr>
      </w:pPr>
      <w:r w:rsidRPr="003F3B30">
        <w:rPr>
          <w:rFonts w:ascii="Times New Roman" w:hAnsi="Times New Roman" w:cs="Times New Roman"/>
          <w:sz w:val="24"/>
          <w:szCs w:val="24"/>
        </w:rPr>
        <w:t>El plan griego contiene un paquete de reformas e inversiones por un total de aproximadamente 1 300 millones de euros, cuyo objetivo es mejorar la calidad, la eficiencia y la eficacia del sistema educativo. Se prevé, por ejemplo, una reforma de 143 millones EUR para reforzar el sistema de formación de aprendices. El objetivo de la reforma es restablecer las escuelas profesionales de aprendizaje del servicio público de empleo (OAED EPAS) como parte integrante de la estrategia gubernamental de educación y formación profesional (EFP) y empleo juvenil</w:t>
      </w:r>
      <w:r>
        <w:rPr>
          <w:rFonts w:ascii="Times New Roman" w:hAnsi="Times New Roman" w:cs="Times New Roman"/>
          <w:sz w:val="24"/>
          <w:szCs w:val="24"/>
        </w:rPr>
        <w:t>…</w:t>
      </w:r>
    </w:p>
    <w:p w:rsidR="00EF5FA4" w:rsidRPr="00F133D9" w:rsidRDefault="00EF5FA4" w:rsidP="00EF5FA4">
      <w:pPr>
        <w:spacing w:line="240" w:lineRule="auto"/>
        <w:jc w:val="both"/>
        <w:rPr>
          <w:rFonts w:ascii="Times New Roman" w:hAnsi="Times New Roman" w:cs="Times New Roman"/>
          <w:b/>
          <w:sz w:val="24"/>
          <w:szCs w:val="24"/>
        </w:rPr>
      </w:pPr>
      <w:r w:rsidRPr="00F133D9">
        <w:rPr>
          <w:rFonts w:ascii="Times New Roman" w:hAnsi="Times New Roman" w:cs="Times New Roman"/>
          <w:b/>
          <w:sz w:val="24"/>
          <w:szCs w:val="24"/>
        </w:rPr>
        <w:t>EURES - 25 años de éxito</w:t>
      </w:r>
      <w:r>
        <w:rPr>
          <w:rFonts w:ascii="Times New Roman" w:hAnsi="Times New Roman" w:cs="Times New Roman"/>
          <w:b/>
          <w:sz w:val="24"/>
          <w:szCs w:val="24"/>
        </w:rPr>
        <w:t xml:space="preserve"> (ELA - European Labour Authority)</w:t>
      </w:r>
    </w:p>
    <w:p w:rsidR="00EF5FA4" w:rsidRDefault="00EF5FA4" w:rsidP="00EF5FA4">
      <w:pPr>
        <w:spacing w:line="240" w:lineRule="auto"/>
        <w:jc w:val="both"/>
        <w:rPr>
          <w:rFonts w:ascii="Times New Roman" w:hAnsi="Times New Roman" w:cs="Times New Roman"/>
          <w:sz w:val="24"/>
          <w:szCs w:val="24"/>
        </w:rPr>
      </w:pPr>
      <w:r w:rsidRPr="00F133D9">
        <w:rPr>
          <w:rFonts w:ascii="Times New Roman" w:hAnsi="Times New Roman" w:cs="Times New Roman"/>
          <w:sz w:val="24"/>
          <w:szCs w:val="24"/>
        </w:rPr>
        <w:t>Lanzada en 1994, EURES es una red de cooperación europea de servicios de empleo, diseñada para facilitar la libre circulación de trabajadores. La red siempre ha trabajado duro para garantizar que los ciudadanos europeos puedan beneficiarse de las mismas oportunidades, a pesar de las barreras del idioma, las diferencias culturales, los desafíos burocráticos, las diversas leyes laborales y la falta de reconocimiento de los certificados educativos en toda Europa.</w:t>
      </w:r>
    </w:p>
    <w:p w:rsidR="00EF5FA4" w:rsidRPr="00F133D9" w:rsidRDefault="00EF5FA4" w:rsidP="00EF5FA4">
      <w:pPr>
        <w:spacing w:line="240" w:lineRule="auto"/>
        <w:jc w:val="both"/>
        <w:rPr>
          <w:rFonts w:ascii="Times New Roman" w:hAnsi="Times New Roman" w:cs="Times New Roman"/>
          <w:b/>
          <w:sz w:val="24"/>
          <w:szCs w:val="24"/>
        </w:rPr>
      </w:pPr>
      <w:r w:rsidRPr="00F133D9">
        <w:rPr>
          <w:rFonts w:ascii="Times New Roman" w:hAnsi="Times New Roman" w:cs="Times New Roman"/>
          <w:b/>
          <w:sz w:val="24"/>
          <w:szCs w:val="24"/>
        </w:rPr>
        <w:t>EURES, encontrar trabajo en Europa</w:t>
      </w:r>
    </w:p>
    <w:p w:rsidR="00EF5FA4" w:rsidRDefault="00EF5FA4" w:rsidP="00EF5FA4">
      <w:pPr>
        <w:spacing w:line="240" w:lineRule="auto"/>
        <w:jc w:val="both"/>
        <w:rPr>
          <w:rFonts w:ascii="Times New Roman" w:hAnsi="Times New Roman" w:cs="Times New Roman"/>
          <w:sz w:val="24"/>
          <w:szCs w:val="24"/>
        </w:rPr>
      </w:pPr>
      <w:r w:rsidRPr="00F133D9">
        <w:rPr>
          <w:rFonts w:ascii="Times New Roman" w:hAnsi="Times New Roman" w:cs="Times New Roman"/>
          <w:sz w:val="24"/>
          <w:szCs w:val="24"/>
        </w:rPr>
        <w:t>Los servicios de EURES son completos y están disponibles para todos los solicitantes de empleo europeos, antes, durante y después de la búsqueda de empleo. Abordan todos los aspectos de la vida y el trabajo en el extranjero, desde proporcionar orientación profesional, revisar y traducir currículos, analizar ofertas y facilitar videoconferencias para entrevistas, hasta proporcionar información sobre el mercado laboral europeo, dar informac</w:t>
      </w:r>
      <w:r>
        <w:rPr>
          <w:rFonts w:ascii="Times New Roman" w:hAnsi="Times New Roman" w:cs="Times New Roman"/>
          <w:sz w:val="24"/>
          <w:szCs w:val="24"/>
        </w:rPr>
        <w:t xml:space="preserve">ión legal y de seguridad social, </w:t>
      </w:r>
      <w:r w:rsidRPr="00F133D9">
        <w:rPr>
          <w:rFonts w:ascii="Times New Roman" w:hAnsi="Times New Roman" w:cs="Times New Roman"/>
          <w:sz w:val="24"/>
          <w:szCs w:val="24"/>
        </w:rPr>
        <w:t>asesoramiento, organización de ferias de empleo y asesoramiento sobre formación, aprendizaje de idiomas y oportunidades de financiación, ¡por nombrar solo algunas!</w:t>
      </w:r>
    </w:p>
    <w:p w:rsidR="00EF5FA4" w:rsidRDefault="00EF5FA4" w:rsidP="00EF5FA4">
      <w:pPr>
        <w:spacing w:line="240" w:lineRule="auto"/>
        <w:jc w:val="both"/>
        <w:rPr>
          <w:rFonts w:ascii="Times New Roman" w:hAnsi="Times New Roman" w:cs="Times New Roman"/>
          <w:sz w:val="24"/>
          <w:szCs w:val="24"/>
        </w:rPr>
      </w:pPr>
    </w:p>
    <w:p w:rsidR="00EF5FA4" w:rsidRDefault="00EF5FA4" w:rsidP="00EF5FA4">
      <w:pPr>
        <w:spacing w:line="240" w:lineRule="auto"/>
        <w:jc w:val="both"/>
        <w:rPr>
          <w:rFonts w:ascii="Times New Roman" w:hAnsi="Times New Roman" w:cs="Times New Roman"/>
          <w:sz w:val="24"/>
          <w:szCs w:val="24"/>
        </w:rPr>
      </w:pPr>
    </w:p>
    <w:p w:rsidR="00EF5FA4" w:rsidRPr="008206BD" w:rsidRDefault="00EF5FA4" w:rsidP="00EF5FA4">
      <w:pPr>
        <w:shd w:val="clear" w:color="auto" w:fill="F2F5F9"/>
        <w:rPr>
          <w:rFonts w:ascii="Times New Roman" w:hAnsi="Times New Roman" w:cs="Times New Roman"/>
          <w:b/>
          <w:color w:val="000000"/>
          <w:sz w:val="24"/>
          <w:szCs w:val="24"/>
        </w:rPr>
      </w:pPr>
      <w:r w:rsidRPr="008206BD">
        <w:rPr>
          <w:rFonts w:ascii="Times New Roman" w:hAnsi="Times New Roman" w:cs="Times New Roman"/>
          <w:b/>
          <w:color w:val="000000"/>
          <w:sz w:val="24"/>
          <w:szCs w:val="24"/>
        </w:rPr>
        <w:lastRenderedPageBreak/>
        <w:t>Datos y cifras del portal EURES</w:t>
      </w:r>
    </w:p>
    <w:p w:rsidR="00EF5FA4" w:rsidRPr="008206BD" w:rsidRDefault="00EF5FA4" w:rsidP="00EF5FA4">
      <w:pPr>
        <w:shd w:val="clear" w:color="auto" w:fill="F2F5F9"/>
        <w:rPr>
          <w:rFonts w:ascii="Times New Roman" w:hAnsi="Times New Roman" w:cs="Times New Roman"/>
          <w:color w:val="000000"/>
          <w:sz w:val="24"/>
          <w:szCs w:val="24"/>
        </w:rPr>
      </w:pPr>
      <w:r>
        <w:rPr>
          <w:rFonts w:ascii="Times New Roman" w:hAnsi="Times New Roman" w:cs="Times New Roman"/>
          <w:color w:val="000000"/>
          <w:sz w:val="24"/>
          <w:szCs w:val="24"/>
        </w:rPr>
        <w:t xml:space="preserve">3 millones trabajos - 900 mil CV - </w:t>
      </w:r>
      <w:r w:rsidRPr="008206BD">
        <w:rPr>
          <w:rFonts w:ascii="Times New Roman" w:hAnsi="Times New Roman" w:cs="Times New Roman"/>
          <w:color w:val="000000"/>
          <w:sz w:val="24"/>
          <w:szCs w:val="24"/>
        </w:rPr>
        <w:t>4 mil empleadores registrados</w:t>
      </w:r>
    </w:p>
    <w:p w:rsidR="00EF5FA4" w:rsidRPr="00A31BBD" w:rsidRDefault="00EF5FA4" w:rsidP="00EF5FA4">
      <w:pPr>
        <w:jc w:val="both"/>
        <w:rPr>
          <w:rFonts w:ascii="Times New Roman" w:hAnsi="Times New Roman" w:cs="Times New Roman"/>
          <w:b/>
          <w:sz w:val="24"/>
          <w:szCs w:val="24"/>
        </w:rPr>
      </w:pPr>
      <w:r w:rsidRPr="003F3B30">
        <w:rPr>
          <w:rFonts w:ascii="Times New Roman" w:hAnsi="Times New Roman" w:cs="Times New Roman"/>
          <w:b/>
          <w:sz w:val="24"/>
          <w:szCs w:val="24"/>
        </w:rPr>
        <w:t>A</w:t>
      </w:r>
      <w:r>
        <w:rPr>
          <w:rFonts w:ascii="Times New Roman" w:hAnsi="Times New Roman" w:cs="Times New Roman"/>
          <w:b/>
          <w:sz w:val="24"/>
          <w:szCs w:val="24"/>
        </w:rPr>
        <w:t xml:space="preserve">ño Europeo de la Juventud </w:t>
      </w:r>
      <w:r w:rsidRPr="003F3B30">
        <w:rPr>
          <w:rFonts w:ascii="Times New Roman" w:hAnsi="Times New Roman" w:cs="Times New Roman"/>
          <w:b/>
          <w:sz w:val="24"/>
          <w:szCs w:val="24"/>
        </w:rPr>
        <w:t>2022</w:t>
      </w:r>
      <w:r>
        <w:rPr>
          <w:rFonts w:ascii="Times New Roman" w:hAnsi="Times New Roman" w:cs="Times New Roman"/>
          <w:b/>
          <w:sz w:val="24"/>
          <w:szCs w:val="24"/>
        </w:rPr>
        <w:t xml:space="preserve">  - </w:t>
      </w:r>
      <w:r w:rsidRPr="00A31BBD">
        <w:rPr>
          <w:rFonts w:ascii="Times New Roman" w:hAnsi="Times New Roman" w:cs="Times New Roman"/>
          <w:b/>
          <w:sz w:val="24"/>
          <w:szCs w:val="24"/>
        </w:rPr>
        <w:t>Actividades</w:t>
      </w:r>
    </w:p>
    <w:p w:rsidR="00EF5FA4" w:rsidRDefault="00EF5FA4" w:rsidP="00EF5FA4">
      <w:pPr>
        <w:spacing w:line="240" w:lineRule="auto"/>
        <w:jc w:val="both"/>
        <w:rPr>
          <w:rFonts w:ascii="Times New Roman" w:hAnsi="Times New Roman" w:cs="Times New Roman"/>
          <w:sz w:val="24"/>
          <w:szCs w:val="24"/>
        </w:rPr>
      </w:pPr>
      <w:r w:rsidRPr="003F3B30">
        <w:rPr>
          <w:rFonts w:ascii="Times New Roman" w:hAnsi="Times New Roman" w:cs="Times New Roman"/>
          <w:sz w:val="24"/>
          <w:szCs w:val="24"/>
        </w:rPr>
        <w:t xml:space="preserve">Participa en actividades en toda Europa y más allá de nuestras fronteras  </w:t>
      </w:r>
    </w:p>
    <w:p w:rsidR="00EF5FA4" w:rsidRDefault="00EF5FA4" w:rsidP="00EF5FA4">
      <w:pPr>
        <w:spacing w:line="240" w:lineRule="auto"/>
        <w:jc w:val="both"/>
        <w:rPr>
          <w:rFonts w:ascii="Times New Roman" w:hAnsi="Times New Roman" w:cs="Times New Roman"/>
          <w:sz w:val="24"/>
          <w:szCs w:val="24"/>
        </w:rPr>
      </w:pPr>
      <w:r w:rsidRPr="003F3B30">
        <w:rPr>
          <w:rFonts w:ascii="Times New Roman" w:hAnsi="Times New Roman" w:cs="Times New Roman"/>
          <w:noProof/>
          <w:sz w:val="24"/>
          <w:szCs w:val="24"/>
          <w:lang w:val="en-GB" w:eastAsia="zh-CN"/>
        </w:rPr>
        <w:drawing>
          <wp:inline distT="0" distB="0" distL="0" distR="0">
            <wp:extent cx="5727511" cy="3873500"/>
            <wp:effectExtent l="0" t="0" r="6985" b="0"/>
            <wp:docPr id="142" name="Imagen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5731510" cy="3876204"/>
                    </a:xfrm>
                    <a:prstGeom prst="rect">
                      <a:avLst/>
                    </a:prstGeom>
                  </pic:spPr>
                </pic:pic>
              </a:graphicData>
            </a:graphic>
          </wp:inline>
        </w:drawing>
      </w:r>
    </w:p>
    <w:p w:rsidR="00EF5FA4" w:rsidRPr="00CE25F5" w:rsidRDefault="00EF5FA4" w:rsidP="00EF5FA4">
      <w:pPr>
        <w:pStyle w:val="ATHeading1"/>
        <w:jc w:val="both"/>
        <w:rPr>
          <w:sz w:val="24"/>
          <w:szCs w:val="24"/>
        </w:rPr>
      </w:pPr>
      <w:r>
        <w:rPr>
          <w:sz w:val="24"/>
          <w:szCs w:val="24"/>
        </w:rPr>
        <w:t>Parlamento Europeo 2019-2024 - Textos aprobados (</w:t>
      </w:r>
      <w:r w:rsidRPr="00CE25F5">
        <w:rPr>
          <w:sz w:val="24"/>
          <w:szCs w:val="24"/>
        </w:rPr>
        <w:t>P9_TA (2022) 0045</w:t>
      </w:r>
      <w:r>
        <w:rPr>
          <w:sz w:val="24"/>
          <w:szCs w:val="24"/>
        </w:rPr>
        <w:t>)</w:t>
      </w:r>
    </w:p>
    <w:p w:rsidR="00EF5FA4" w:rsidRPr="00CE25F5" w:rsidRDefault="00EF5FA4" w:rsidP="00EF5FA4">
      <w:pPr>
        <w:pStyle w:val="ATHeading2"/>
        <w:jc w:val="both"/>
        <w:rPr>
          <w:sz w:val="24"/>
          <w:szCs w:val="24"/>
        </w:rPr>
      </w:pPr>
      <w:r w:rsidRPr="00CE25F5">
        <w:rPr>
          <w:sz w:val="24"/>
          <w:szCs w:val="24"/>
        </w:rPr>
        <w:t>Empoderamiento de la juventud europea: emple</w:t>
      </w:r>
      <w:r>
        <w:rPr>
          <w:sz w:val="24"/>
          <w:szCs w:val="24"/>
        </w:rPr>
        <w:t xml:space="preserve">o y recuperación social tras la </w:t>
      </w:r>
      <w:r w:rsidRPr="00CE25F5">
        <w:rPr>
          <w:sz w:val="24"/>
          <w:szCs w:val="24"/>
        </w:rPr>
        <w:t xml:space="preserve">pandemia </w:t>
      </w:r>
    </w:p>
    <w:p w:rsidR="00EF5FA4" w:rsidRDefault="00E55F23" w:rsidP="00EF5FA4">
      <w:pPr>
        <w:jc w:val="both"/>
        <w:rPr>
          <w:i/>
          <w:vanish/>
        </w:rPr>
      </w:pPr>
      <w:r>
        <w:rPr>
          <w:i/>
        </w:rPr>
        <w:fldChar w:fldCharType="begin"/>
      </w:r>
      <w:r w:rsidR="00EF5FA4">
        <w:rPr>
          <w:i/>
        </w:rPr>
        <w:instrText xml:space="preserve"> TC"(B9-0091/2022)"\l3 \n&gt; \* MERGEFORMAT </w:instrText>
      </w:r>
      <w:r>
        <w:rPr>
          <w:i/>
        </w:rPr>
        <w:fldChar w:fldCharType="end"/>
      </w:r>
    </w:p>
    <w:p w:rsidR="00EF5FA4" w:rsidRDefault="00EF5FA4" w:rsidP="00EF5FA4">
      <w:pPr>
        <w:jc w:val="both"/>
        <w:rPr>
          <w:vanish/>
        </w:rPr>
      </w:pPr>
      <w:r>
        <w:rPr>
          <w:vanish/>
        </w:rPr>
        <w:t>PE719.354</w:t>
      </w:r>
    </w:p>
    <w:p w:rsidR="00EF5FA4" w:rsidRPr="00CE25F5" w:rsidRDefault="00EF5FA4" w:rsidP="00EF5FA4">
      <w:pPr>
        <w:pStyle w:val="ATHeading3"/>
        <w:jc w:val="both"/>
      </w:pPr>
      <w:r>
        <w:t>Resolución del Parlamento Europeo, de 17 de febrero de 2022, sobre el empoderamiento de la juventud europea: empleo y recuperación social tras la pandemia -2021/2952(RSP)</w:t>
      </w:r>
    </w:p>
    <w:p w:rsidR="00EF5FA4" w:rsidRPr="00CE25F5" w:rsidRDefault="00EF5FA4" w:rsidP="00EF5FA4">
      <w:pPr>
        <w:pStyle w:val="EPComma"/>
        <w:spacing w:before="120"/>
        <w:jc w:val="both"/>
        <w:rPr>
          <w:b/>
          <w:szCs w:val="24"/>
        </w:rPr>
      </w:pPr>
      <w:r w:rsidRPr="00CE25F5">
        <w:rPr>
          <w:b/>
          <w:i/>
          <w:szCs w:val="24"/>
        </w:rPr>
        <w:t>El Parlamento Europeo</w:t>
      </w:r>
      <w:r w:rsidRPr="00CE25F5">
        <w:rPr>
          <w:b/>
          <w:szCs w:val="24"/>
        </w:rPr>
        <w:t>,</w:t>
      </w:r>
    </w:p>
    <w:p w:rsidR="00EF5FA4" w:rsidRPr="00CE25F5" w:rsidRDefault="00EF5FA4" w:rsidP="00EF5FA4">
      <w:pPr>
        <w:pStyle w:val="EPComma"/>
        <w:spacing w:before="120"/>
        <w:jc w:val="both"/>
        <w:rPr>
          <w:szCs w:val="24"/>
        </w:rPr>
      </w:pPr>
      <w:r w:rsidRPr="00CE25F5">
        <w:rPr>
          <w:szCs w:val="24"/>
        </w:rPr>
        <w:t>Visto…</w:t>
      </w:r>
    </w:p>
    <w:p w:rsidR="00EF5FA4" w:rsidRPr="00CE25F5" w:rsidRDefault="00EF5FA4" w:rsidP="00EF5FA4">
      <w:pPr>
        <w:pStyle w:val="EPComma"/>
        <w:spacing w:before="120"/>
        <w:jc w:val="both"/>
        <w:rPr>
          <w:szCs w:val="24"/>
        </w:rPr>
      </w:pPr>
      <w:r w:rsidRPr="00CE25F5">
        <w:rPr>
          <w:szCs w:val="24"/>
        </w:rPr>
        <w:t>Considerando…</w:t>
      </w:r>
    </w:p>
    <w:p w:rsidR="00EF5FA4" w:rsidRPr="00CE25F5" w:rsidRDefault="00EF5FA4" w:rsidP="00EF5FA4">
      <w:pPr>
        <w:pStyle w:val="NormalHanging12a"/>
        <w:jc w:val="both"/>
        <w:rPr>
          <w:rFonts w:ascii="Times New Roman" w:hAnsi="Times New Roman" w:cs="Times New Roman"/>
          <w:szCs w:val="24"/>
        </w:rPr>
      </w:pPr>
      <w:r w:rsidRPr="00CE25F5">
        <w:rPr>
          <w:rFonts w:ascii="Times New Roman" w:hAnsi="Times New Roman" w:cs="Times New Roman"/>
          <w:szCs w:val="24"/>
        </w:rPr>
        <w:t>AG.</w:t>
      </w:r>
      <w:r w:rsidRPr="00CE25F5">
        <w:rPr>
          <w:rFonts w:ascii="Times New Roman" w:hAnsi="Times New Roman" w:cs="Times New Roman"/>
          <w:szCs w:val="24"/>
        </w:rPr>
        <w:tab/>
        <w:t>Considerando que en el Informe sobre las ideas de la juventud para la Conferencia sobre el Futuro de Europa elaborado durante el Evento Europeo de la Juventud de 2021 se concluye que:</w:t>
      </w:r>
    </w:p>
    <w:p w:rsidR="00EF5FA4" w:rsidRPr="00CE25F5" w:rsidRDefault="00EF5FA4" w:rsidP="00EF5FA4">
      <w:pPr>
        <w:pStyle w:val="NormalHanging12a"/>
        <w:numPr>
          <w:ilvl w:val="0"/>
          <w:numId w:val="1"/>
        </w:numPr>
        <w:jc w:val="both"/>
        <w:rPr>
          <w:rFonts w:ascii="Times New Roman" w:hAnsi="Times New Roman" w:cs="Times New Roman"/>
          <w:szCs w:val="24"/>
        </w:rPr>
      </w:pPr>
      <w:r w:rsidRPr="00CE25F5">
        <w:rPr>
          <w:rFonts w:ascii="Times New Roman" w:hAnsi="Times New Roman" w:cs="Times New Roman"/>
          <w:szCs w:val="24"/>
        </w:rPr>
        <w:t>los jóvenes exigen ayudas para formar y capacitar a expertos de la salud mental en las escuelas,</w:t>
      </w:r>
    </w:p>
    <w:p w:rsidR="00EF5FA4" w:rsidRPr="00CE25F5" w:rsidRDefault="00EF5FA4" w:rsidP="00EF5FA4">
      <w:pPr>
        <w:pStyle w:val="NormalHanging12a"/>
        <w:numPr>
          <w:ilvl w:val="0"/>
          <w:numId w:val="1"/>
        </w:numPr>
        <w:jc w:val="both"/>
        <w:rPr>
          <w:rFonts w:ascii="Times New Roman" w:hAnsi="Times New Roman" w:cs="Times New Roman"/>
          <w:szCs w:val="24"/>
        </w:rPr>
      </w:pPr>
      <w:r w:rsidRPr="00CE25F5">
        <w:rPr>
          <w:rFonts w:ascii="Times New Roman" w:hAnsi="Times New Roman" w:cs="Times New Roman"/>
          <w:szCs w:val="24"/>
        </w:rPr>
        <w:lastRenderedPageBreak/>
        <w:t>el desempleo juvenil debe ser una prioridad para la Unión, y es necesario poner fin a los períodos de prácticas no remunerados, independientemente del nivel educativo y del estatus social; las organizaciones juveniles y los empleadores de</w:t>
      </w:r>
      <w:r>
        <w:rPr>
          <w:rFonts w:ascii="Times New Roman" w:hAnsi="Times New Roman" w:cs="Times New Roman"/>
          <w:szCs w:val="24"/>
        </w:rPr>
        <w:t>ben cooperar para llegar a las “</w:t>
      </w:r>
      <w:r w:rsidRPr="00CE25F5">
        <w:rPr>
          <w:rFonts w:ascii="Times New Roman" w:hAnsi="Times New Roman" w:cs="Times New Roman"/>
          <w:szCs w:val="24"/>
        </w:rPr>
        <w:t>personas que pueden abandonar prematurame</w:t>
      </w:r>
      <w:r>
        <w:rPr>
          <w:rFonts w:ascii="Times New Roman" w:hAnsi="Times New Roman" w:cs="Times New Roman"/>
          <w:szCs w:val="24"/>
        </w:rPr>
        <w:t>nte la educación y la formación”</w:t>
      </w:r>
      <w:r w:rsidRPr="00CE25F5">
        <w:rPr>
          <w:rFonts w:ascii="Times New Roman" w:hAnsi="Times New Roman" w:cs="Times New Roman"/>
          <w:szCs w:val="24"/>
        </w:rPr>
        <w:t xml:space="preserve"> e informarles sobre sus opciones; convendría, asimismo, prestar asistencia a los Estados miembros para que organicen programas de aprendizaje profesional para solicitantes de asilo,</w:t>
      </w:r>
    </w:p>
    <w:p w:rsidR="00EF5FA4" w:rsidRPr="00CE25F5" w:rsidRDefault="00EF5FA4" w:rsidP="00EF5FA4">
      <w:pPr>
        <w:pStyle w:val="NormalHanging12a"/>
        <w:numPr>
          <w:ilvl w:val="0"/>
          <w:numId w:val="1"/>
        </w:numPr>
        <w:jc w:val="both"/>
        <w:rPr>
          <w:rFonts w:ascii="Times New Roman" w:hAnsi="Times New Roman" w:cs="Times New Roman"/>
          <w:szCs w:val="24"/>
        </w:rPr>
      </w:pPr>
      <w:r w:rsidRPr="00CE25F5">
        <w:rPr>
          <w:rFonts w:ascii="Times New Roman" w:hAnsi="Times New Roman" w:cs="Times New Roman"/>
          <w:szCs w:val="24"/>
        </w:rPr>
        <w:t>nadie debe quedarse atrás en el mundo digital y todas las generaciones deben recibir formación para que sepan llevar a cabo con seguridad sus actividades en la red; la alfabetización digital debe integrarse en los planes de estudios,</w:t>
      </w:r>
    </w:p>
    <w:p w:rsidR="00EF5FA4" w:rsidRPr="00CE25F5" w:rsidRDefault="00EF5FA4" w:rsidP="00EF5FA4">
      <w:pPr>
        <w:pStyle w:val="NormalHanging12a"/>
        <w:numPr>
          <w:ilvl w:val="0"/>
          <w:numId w:val="1"/>
        </w:numPr>
        <w:jc w:val="both"/>
        <w:rPr>
          <w:rFonts w:ascii="Times New Roman" w:hAnsi="Times New Roman" w:cs="Times New Roman"/>
          <w:szCs w:val="24"/>
        </w:rPr>
      </w:pPr>
      <w:r w:rsidRPr="00CE25F5">
        <w:rPr>
          <w:rFonts w:ascii="Times New Roman" w:hAnsi="Times New Roman" w:cs="Times New Roman"/>
          <w:szCs w:val="24"/>
        </w:rPr>
        <w:t>la Unión debe asignar más fondos para que todos los jóvenes europeos puedan participar en la educación no formal, y para crear una plataforma para conectar a docentes y proveedores de servicios que ofrezcan asesoramiento en cuanto a qué contenidos son pertinentes para la vida moderna;</w:t>
      </w:r>
    </w:p>
    <w:p w:rsidR="00EF5FA4" w:rsidRPr="00CE25F5" w:rsidRDefault="00EF5FA4" w:rsidP="00EF5FA4">
      <w:pPr>
        <w:pStyle w:val="NormalHanging12a"/>
        <w:jc w:val="both"/>
        <w:rPr>
          <w:rFonts w:ascii="Times New Roman" w:hAnsi="Times New Roman" w:cs="Times New Roman"/>
          <w:szCs w:val="24"/>
        </w:rPr>
      </w:pPr>
      <w:r w:rsidRPr="00CE25F5">
        <w:rPr>
          <w:rFonts w:ascii="Times New Roman" w:hAnsi="Times New Roman" w:cs="Times New Roman"/>
          <w:szCs w:val="24"/>
        </w:rPr>
        <w:t>1.</w:t>
      </w:r>
      <w:r w:rsidRPr="00CE25F5">
        <w:rPr>
          <w:rFonts w:ascii="Times New Roman" w:hAnsi="Times New Roman" w:cs="Times New Roman"/>
          <w:szCs w:val="24"/>
        </w:rPr>
        <w:tab/>
        <w:t>Acoge con satisfacción el hecho de que la presidenta Von der Leyen haya designado el año 2022 como Año Europeo de la Juventud; considera que 2022 debería proporcionar un impulso adicional a la ejecución pertinente y plena de la estrategia europea para la juventud mediante acciones ambiciosas encaminadas a abordar los retos a los que se enfrentan los jóvenes, en particular los efectos negativos de la pandemia de COVID 19 en curso, y mediante la aplicación concreta de otras herramientas existentes, como la Garantía Juvenil reforzada, para combatir el desempleo y los efectos sociales de la COVID-19; pide a la Comisión y al Consejo que garanticen que todas las políticas dirigidas a los jóvenes sean de carácter interseccional y tengan en cuenta la diversidad de los jóvenes en toda Europa y los retos a los que se enfrentan; considera que el Año Europeo de la Juventud debe contribuir a la ejecución de los principios 1 y 3 del pilar europeo de derechos sociales;</w:t>
      </w:r>
    </w:p>
    <w:p w:rsidR="00EF5FA4" w:rsidRPr="00CE25F5" w:rsidRDefault="00EF5FA4" w:rsidP="00EF5FA4">
      <w:pPr>
        <w:pStyle w:val="NormalHanging12a"/>
        <w:jc w:val="both"/>
        <w:rPr>
          <w:rFonts w:ascii="Times New Roman" w:hAnsi="Times New Roman" w:cs="Times New Roman"/>
          <w:szCs w:val="24"/>
        </w:rPr>
      </w:pPr>
      <w:r w:rsidRPr="00CE25F5">
        <w:rPr>
          <w:rFonts w:ascii="Times New Roman" w:hAnsi="Times New Roman" w:cs="Times New Roman"/>
          <w:szCs w:val="24"/>
        </w:rPr>
        <w:t>2.</w:t>
      </w:r>
      <w:r w:rsidRPr="00CE25F5">
        <w:rPr>
          <w:rFonts w:ascii="Times New Roman" w:hAnsi="Times New Roman" w:cs="Times New Roman"/>
          <w:szCs w:val="24"/>
        </w:rPr>
        <w:tab/>
        <w:t>Pone de relieve que la crisis de la COVID-19 ha dejado ya a muchas personas sin empleo, en particular a los jóvenes que se encuentran con mayor frecuencia en situaciones de empleo precario, que tienen más probabilidades de trabajar sujetos a contratos temporales o a tiempo parcial y que carecen de ahorros; acoge con satisfacción, en este contexto, los planes de la Comisión para reforzar la Garantía Juvenil, y pide a la Comisión y a los Estados miembros que den prioridad a la lucha contra el desempleo juvenil;</w:t>
      </w:r>
    </w:p>
    <w:p w:rsidR="00EF5FA4" w:rsidRPr="00CE25F5" w:rsidRDefault="00EF5FA4" w:rsidP="00EF5FA4">
      <w:pPr>
        <w:pStyle w:val="NormalHanging12a"/>
        <w:jc w:val="both"/>
        <w:rPr>
          <w:rFonts w:ascii="Times New Roman" w:hAnsi="Times New Roman" w:cs="Times New Roman"/>
          <w:szCs w:val="24"/>
        </w:rPr>
      </w:pPr>
      <w:r w:rsidRPr="00CE25F5">
        <w:rPr>
          <w:rFonts w:ascii="Times New Roman" w:hAnsi="Times New Roman" w:cs="Times New Roman"/>
          <w:szCs w:val="24"/>
        </w:rPr>
        <w:t>3.</w:t>
      </w:r>
      <w:r w:rsidRPr="00CE25F5">
        <w:rPr>
          <w:rFonts w:ascii="Times New Roman" w:hAnsi="Times New Roman" w:cs="Times New Roman"/>
          <w:szCs w:val="24"/>
        </w:rPr>
        <w:tab/>
        <w:t>Observa con gran preocupación el elevado nivel de desempleo juvenil en varios Estados miembros y la fragilidad de los contratos de trabajo de los jóvenes trabajadores, particularmente en sectores gravemente afectados por la COVID-19; pide que un instrumento de Garantía Juvenil reforzado cuyo objetivo sea reducir el desempleo de larga duración y el desempleo juvenil en al menos un 50 % de aquí a 2030, y también incluya criterios para la creación de empleo de calidad en consonancia con el Objetivo de Desarrollo Sostenible 8 de la Agenda 2030 para el Desarrollo Sostenible de las Naciones Unidas; considera que ha llegado el momento de hacer que la Garantía Juvenil reforzada sea vinculante e integradora para todos los Estados miembros, también con medidas de extensión activas dirigidas a los ninis de larga duración y a los jóvenes procedentes de entornos socioeconómicos desfavorecidos, como los jóvenes con discapacidad, los jóvenes LGBTQI+ y los romaníes;</w:t>
      </w:r>
    </w:p>
    <w:p w:rsidR="00EF5FA4" w:rsidRPr="00CE25F5" w:rsidRDefault="00EF5FA4" w:rsidP="00EF5FA4">
      <w:pPr>
        <w:pStyle w:val="NormalHanging12a"/>
        <w:jc w:val="both"/>
        <w:rPr>
          <w:rFonts w:ascii="Times New Roman" w:hAnsi="Times New Roman" w:cs="Times New Roman"/>
          <w:szCs w:val="24"/>
        </w:rPr>
      </w:pPr>
      <w:r w:rsidRPr="00CE25F5">
        <w:rPr>
          <w:rFonts w:ascii="Times New Roman" w:hAnsi="Times New Roman" w:cs="Times New Roman"/>
          <w:szCs w:val="24"/>
        </w:rPr>
        <w:lastRenderedPageBreak/>
        <w:t>4.</w:t>
      </w:r>
      <w:r w:rsidRPr="00CE25F5">
        <w:rPr>
          <w:rFonts w:ascii="Times New Roman" w:hAnsi="Times New Roman" w:cs="Times New Roman"/>
          <w:szCs w:val="24"/>
        </w:rPr>
        <w:tab/>
        <w:t>Elogia que se incluya la salud mental como una de las prioridades en las metas de las juventud, como se especifica en el marco del Año Europeo de la Juventud, e insta a la Comisión a priorizar también la salud mental en la próxima estrategia de la Unión en materia de cuidados; subraya que debe abordarse el vínculo entre los factores socioeconómicos, como el desempleo, la inseguridad en relación con la vivienda, la salud mental y el bienestar, con el fin de garantizar un enfoque global y exhaustivo respecto a la salud mental a escala de la Unión; destaca que la incertidumbre respecto al futuro, incluido el impacto del cambio climático, está teniendo un efecto perjudicial en la salud mental de los jóvenes; pide a los Estados miembros que, por tanto, integren la salud mental en la recuperación socioeconómica de la Unión tras la pandemia y que la consideren una prioridad en materia de salud en el trabajo, especialmente en los entornos educativo y laboral; pide que los servicios de salud mental sean accesibles y asequibles para todos los grupos de edad, especialmente para los jóvenes y los niños, y que se aborden las desigualdades en materia de salud mediante la prestación de un apoyo adecuado a los grupos vulnerables de jóvenes; pide a la Comisión que lleve a cabo un estudio exhaustivo sobre las diferentes causas de dolor psicológico de los jóvenes en Europa;</w:t>
      </w:r>
    </w:p>
    <w:p w:rsidR="00EF5FA4" w:rsidRPr="00CE25F5" w:rsidRDefault="00EF5FA4" w:rsidP="00EF5FA4">
      <w:pPr>
        <w:pStyle w:val="NormalHanging12a"/>
        <w:jc w:val="both"/>
        <w:rPr>
          <w:rFonts w:ascii="Times New Roman" w:hAnsi="Times New Roman" w:cs="Times New Roman"/>
          <w:szCs w:val="24"/>
        </w:rPr>
      </w:pPr>
      <w:r w:rsidRPr="00CE25F5">
        <w:rPr>
          <w:rFonts w:ascii="Times New Roman" w:hAnsi="Times New Roman" w:cs="Times New Roman"/>
          <w:szCs w:val="24"/>
        </w:rPr>
        <w:t>5.</w:t>
      </w:r>
      <w:r w:rsidRPr="00CE25F5">
        <w:rPr>
          <w:rFonts w:ascii="Times New Roman" w:hAnsi="Times New Roman" w:cs="Times New Roman"/>
          <w:szCs w:val="24"/>
        </w:rPr>
        <w:tab/>
        <w:t>Resalta el papel esencial que deben desempeñar los jóvenes en la remodelación de las políticas sociales y de empleo en Europa; acoge con satisfacción el diálogo sobre la juventud de la Unión, así como el trabajo en el ámbito de la juventud y las organizaciones juveniles que acercan la Unión a los jóvenes, siempre que a los procesos de participación juvenil les sigan iniciativas concretas de los responsables de la toma de decisiones; anima a promover el principio de cogestión en el desarrollo de políticas de la juventud, según el que se debe incluir a los jóvenes y a sus representantes en el proceso de desarrollo de las políticas; pide a la Comisión que reconozca el impacto positivo del tercer sector, incluidas las organizaciones juveniles, y las oportunidades de aprendizaje no formal e informal que ofrecen, entre otras vías, mediante el voluntariado y la participación de los jóvenes, y que reconozca formalmente los conocimientos y las destrezas adquiridos por los jóvenes a través del tercer sector, con el fin de ayudar a los jóvenes a reforzar sus perspectivas en el mercado laboral; promueve el reconocimiento de la participación ciudadana como experiencia laboral meritoria en los procesos de contratación; insta a la Comisión a que considere la posibilidad de apoyar el proyecto Capitales Europeas de la Juventud como una continuación del Año Europeo de la Juventud; pide a la Comisión y a los Estados miembros que, al presentar nuevas iniciativas de cualquier ámbito político, consideren la posibilidad de establecer una cláusula relativa a la juventud que evalúe el impacto de las iniciativas en los jóvenes;</w:t>
      </w:r>
    </w:p>
    <w:p w:rsidR="00EF5FA4" w:rsidRDefault="00EF5FA4" w:rsidP="00EF5FA4">
      <w:pPr>
        <w:pStyle w:val="NormalHanging12a"/>
        <w:jc w:val="both"/>
        <w:rPr>
          <w:rFonts w:ascii="Times New Roman" w:hAnsi="Times New Roman" w:cs="Times New Roman"/>
          <w:szCs w:val="24"/>
        </w:rPr>
      </w:pPr>
      <w:r w:rsidRPr="00CE25F5">
        <w:rPr>
          <w:rFonts w:ascii="Times New Roman" w:hAnsi="Times New Roman" w:cs="Times New Roman"/>
          <w:szCs w:val="24"/>
        </w:rPr>
        <w:t>6.</w:t>
      </w:r>
      <w:r w:rsidRPr="00CE25F5">
        <w:rPr>
          <w:rFonts w:ascii="Times New Roman" w:hAnsi="Times New Roman" w:cs="Times New Roman"/>
          <w:szCs w:val="24"/>
        </w:rPr>
        <w:tab/>
        <w:t>Señala que es necesario que los Estados miembros sigan invirtiendo suficientes recursos del FSE+ en medidas de apoyo al empleo juvenil; subraya que los Estados miembros deben, por tanto, asignar al menos el 15 % de sus recursos del FSE+ en régimen de gestión compartida a determinadas acciones y reformas estructurales para respaldar el empleo juvenil de calidad; recuerda la necesidad de una Garantía Juvenil vinculante, más eficaz e inclusiva en el marco de unos criterios de calidad inequívocos que ofrezca períodos de prácticas, programas de aprendizaje profesional y períodos de formación en régimen de becario remunerados a todos los ninis;</w:t>
      </w:r>
    </w:p>
    <w:p w:rsidR="00EF5FA4" w:rsidRPr="00CE25F5" w:rsidRDefault="00EF5FA4" w:rsidP="00EF5FA4">
      <w:pPr>
        <w:pStyle w:val="NormalHanging12a"/>
        <w:ind w:left="0" w:firstLine="0"/>
        <w:jc w:val="both"/>
        <w:rPr>
          <w:rFonts w:ascii="Times New Roman" w:hAnsi="Times New Roman" w:cs="Times New Roman"/>
          <w:b/>
          <w:i/>
          <w:szCs w:val="24"/>
        </w:rPr>
      </w:pPr>
      <w:r w:rsidRPr="00CE25F5">
        <w:rPr>
          <w:rFonts w:ascii="Times New Roman" w:hAnsi="Times New Roman" w:cs="Times New Roman"/>
          <w:b/>
          <w:i/>
          <w:szCs w:val="24"/>
        </w:rPr>
        <w:t>Invertir en la generación joven</w:t>
      </w:r>
    </w:p>
    <w:p w:rsidR="00EF5FA4" w:rsidRPr="00CE25F5" w:rsidRDefault="00EF5FA4" w:rsidP="00EF5FA4">
      <w:pPr>
        <w:pStyle w:val="NormalHanging12a"/>
        <w:jc w:val="both"/>
        <w:rPr>
          <w:rFonts w:ascii="Times New Roman" w:hAnsi="Times New Roman" w:cs="Times New Roman"/>
          <w:szCs w:val="24"/>
        </w:rPr>
      </w:pPr>
      <w:r w:rsidRPr="00CE25F5">
        <w:rPr>
          <w:rFonts w:ascii="Times New Roman" w:hAnsi="Times New Roman" w:cs="Times New Roman"/>
          <w:szCs w:val="24"/>
        </w:rPr>
        <w:t>7.</w:t>
      </w:r>
      <w:r w:rsidRPr="00CE25F5">
        <w:rPr>
          <w:rFonts w:ascii="Times New Roman" w:hAnsi="Times New Roman" w:cs="Times New Roman"/>
          <w:szCs w:val="24"/>
        </w:rPr>
        <w:tab/>
        <w:t xml:space="preserve">Pide a la Comisión y al Consejo que utilicen de manera plena y óptima la financiación disponible en el marco financiero plurianual 2021-2027, sin perjuicio de los programas </w:t>
      </w:r>
      <w:r w:rsidRPr="00CE25F5">
        <w:rPr>
          <w:rFonts w:ascii="Times New Roman" w:hAnsi="Times New Roman" w:cs="Times New Roman"/>
          <w:szCs w:val="24"/>
        </w:rPr>
        <w:lastRenderedPageBreak/>
        <w:t>ya existentes en el contexto del FSE+, dados los problemas estructurales relacionados con el desempleo y la pobreza juveniles; recuerda que las regiones ultraperiféricas se ven especialmente afectadas por estos problemas y, por tanto, necesitan un apoyo específico; acoge con satisfacción, en este sentido, la disponibilidad de fondos en el marco del MRR para medidas destinadas a los niños y los jóvenes, y espera que esto dé lugar a la creación de oportunidades significativas para los jóvenes en Europa; pide que se procure la participación de los interlocutores sociales y de las organizaciones juveniles en el seguimiento y la evaluación de los planes nacionales de recuperación y resiliencia; pide a los Estados miembros que garanticen que el Fondo de Transición Justa y el FSE+ respalden planes integrados a escala local para contribuir a el perfeccionamiento y el reciclaje profesionales, en particular de los grupos más vulnerables afectados por la transición;</w:t>
      </w:r>
    </w:p>
    <w:p w:rsidR="00EF5FA4" w:rsidRPr="00CE25F5" w:rsidRDefault="00EF5FA4" w:rsidP="00EF5FA4">
      <w:pPr>
        <w:pStyle w:val="NormalHanging12a"/>
        <w:jc w:val="both"/>
        <w:rPr>
          <w:rFonts w:ascii="Times New Roman" w:hAnsi="Times New Roman" w:cs="Times New Roman"/>
          <w:szCs w:val="24"/>
        </w:rPr>
      </w:pPr>
      <w:r w:rsidRPr="00CE25F5">
        <w:rPr>
          <w:rFonts w:ascii="Times New Roman" w:hAnsi="Times New Roman" w:cs="Times New Roman"/>
          <w:szCs w:val="24"/>
        </w:rPr>
        <w:t>8.</w:t>
      </w:r>
      <w:r w:rsidRPr="00CE25F5">
        <w:rPr>
          <w:rFonts w:ascii="Times New Roman" w:hAnsi="Times New Roman" w:cs="Times New Roman"/>
          <w:szCs w:val="24"/>
        </w:rPr>
        <w:tab/>
        <w:t>Pide a los Estados miembros que garanticen la complementariedad entre las medidas adoptadas en el marco del MRR y otros programas de la Unión, como la Garantía Juvenil reforzada y la Garantía Infantil Europea, y las inversiones y medidas nacionales para promover la adquisición de competencias, la educación, la formación y la integración en el mercado laboral, de conformidad con sus propias necesidades y sus condiciones nacionales específicas; invita a la Comisión a seguir supervisando la inversión y el gasto en las prioridades relacionadas con la juventud en el marco de NextGenerationEU, el MRR y el FSE+, y a procurar la participación activa del Parlamento a este respecto; recuerda la oportunidad que ofrece la ventanilla de inversión social y de capacidades InvestEU para generar inversiones que produzcan un impacto social; toma nota de la creciente atención prestada al concepto de los bonos de impacto social y los contratos con resultados sociales dirigidos a los jóvenes, procurando asimismo la participación del sector privado en su diseño y ejecución;</w:t>
      </w:r>
    </w:p>
    <w:p w:rsidR="00EF5FA4" w:rsidRPr="00CE25F5" w:rsidRDefault="00EF5FA4" w:rsidP="00EF5FA4">
      <w:pPr>
        <w:pStyle w:val="NormalHanging12a"/>
        <w:jc w:val="both"/>
        <w:rPr>
          <w:rFonts w:ascii="Times New Roman" w:hAnsi="Times New Roman" w:cs="Times New Roman"/>
          <w:szCs w:val="24"/>
        </w:rPr>
      </w:pPr>
      <w:r w:rsidRPr="00CE25F5">
        <w:rPr>
          <w:rFonts w:ascii="Times New Roman" w:hAnsi="Times New Roman" w:cs="Times New Roman"/>
          <w:szCs w:val="24"/>
        </w:rPr>
        <w:t>9.</w:t>
      </w:r>
      <w:r w:rsidRPr="00CE25F5">
        <w:rPr>
          <w:rFonts w:ascii="Times New Roman" w:hAnsi="Times New Roman" w:cs="Times New Roman"/>
          <w:szCs w:val="24"/>
        </w:rPr>
        <w:tab/>
        <w:t>Acoge con satisfacción el aumento del apoyo a los jóvenes agricultores en la próxima política agrícola común;</w:t>
      </w:r>
    </w:p>
    <w:p w:rsidR="00EF5FA4" w:rsidRPr="00CE25F5" w:rsidRDefault="00EF5FA4" w:rsidP="00EF5FA4">
      <w:pPr>
        <w:pStyle w:val="NormalHanging12a"/>
        <w:jc w:val="both"/>
        <w:rPr>
          <w:rFonts w:ascii="Times New Roman" w:hAnsi="Times New Roman" w:cs="Times New Roman"/>
          <w:szCs w:val="24"/>
        </w:rPr>
      </w:pPr>
      <w:r w:rsidRPr="00CE25F5">
        <w:rPr>
          <w:rFonts w:ascii="Times New Roman" w:hAnsi="Times New Roman" w:cs="Times New Roman"/>
          <w:szCs w:val="24"/>
        </w:rPr>
        <w:t>10.</w:t>
      </w:r>
      <w:r w:rsidRPr="00CE25F5">
        <w:rPr>
          <w:rFonts w:ascii="Times New Roman" w:hAnsi="Times New Roman" w:cs="Times New Roman"/>
          <w:szCs w:val="24"/>
        </w:rPr>
        <w:tab/>
        <w:t>Acoge con satisfacción la ampliación del ámbito de aplicación de la Garantía Juvenil reforzada para abarcar el grupo de edad de 15 a 29 años; recuerda que la Garantía Juvenil reforzada debe garantizar oportunidades de empleo reales, en lugar de períodos de prácticas de escasa calidad o actividades de formación interminables;</w:t>
      </w:r>
    </w:p>
    <w:p w:rsidR="00EF5FA4" w:rsidRPr="00CE25F5" w:rsidRDefault="00EF5FA4" w:rsidP="00EF5FA4">
      <w:pPr>
        <w:pStyle w:val="NormalHanging12a"/>
        <w:jc w:val="both"/>
        <w:rPr>
          <w:rFonts w:ascii="Times New Roman" w:hAnsi="Times New Roman" w:cs="Times New Roman"/>
          <w:b/>
          <w:i/>
          <w:szCs w:val="24"/>
        </w:rPr>
      </w:pPr>
      <w:r w:rsidRPr="00CE25F5">
        <w:rPr>
          <w:rFonts w:ascii="Times New Roman" w:hAnsi="Times New Roman" w:cs="Times New Roman"/>
          <w:b/>
          <w:i/>
          <w:szCs w:val="24"/>
        </w:rPr>
        <w:t>Integración de los jóvenes en el mercado laboral</w:t>
      </w:r>
    </w:p>
    <w:p w:rsidR="00EF5FA4" w:rsidRPr="00CE25F5" w:rsidRDefault="00EF5FA4" w:rsidP="00EF5FA4">
      <w:pPr>
        <w:pStyle w:val="NormalHanging12a"/>
        <w:jc w:val="both"/>
        <w:rPr>
          <w:rFonts w:ascii="Times New Roman" w:hAnsi="Times New Roman" w:cs="Times New Roman"/>
          <w:szCs w:val="24"/>
        </w:rPr>
      </w:pPr>
      <w:r w:rsidRPr="00CE25F5">
        <w:rPr>
          <w:rFonts w:ascii="Times New Roman" w:hAnsi="Times New Roman" w:cs="Times New Roman"/>
          <w:szCs w:val="24"/>
        </w:rPr>
        <w:t>11.</w:t>
      </w:r>
      <w:r w:rsidRPr="00CE25F5">
        <w:rPr>
          <w:rFonts w:ascii="Times New Roman" w:hAnsi="Times New Roman" w:cs="Times New Roman"/>
          <w:szCs w:val="24"/>
        </w:rPr>
        <w:tab/>
        <w:t xml:space="preserve">Observa con preocupación que, hasta la fecha, la Garantía Juvenil no ha alcanzado plenamente sus objetivos, y pide medidas reforzadas que incluyan el aprovechamiento pleno de las oportunidades ofrecidas por el FSE+, con el fin de promover el empleo mediante intervenciones activas para la integración en el mercado laboral y la creación de puestos de trabajo sostenibles para ocupaciones básicas que garanticen el acceso de los jóvenes a la seguridad social y a una remuneración justa; pide a la Comisión que solicite a los Estados miembros que presenten sistemas actualizados de la Garantía Juvenil reforzada, y que adopten un marco con normas de calidad claras y vinculantes para las ofertas presentadas en el marco de las iniciativas encaminadas a promover la consecución de resultados positivos y sostenibles para los jóvenes y el éxito en la transición al mercado laboral; pide a la Comisión y a los Estados miembros que animen a las empresas a desempeñar un papel activo en la Garantía Juvenil reforzada; recuerda que uno de los objetivos del FSE+ es promover una participación equilibrada de género en el mercado laboral mediante medidas dirigidas a garantizar, entre otras cosas, unas </w:t>
      </w:r>
      <w:r w:rsidRPr="00CE25F5">
        <w:rPr>
          <w:rFonts w:ascii="Times New Roman" w:hAnsi="Times New Roman" w:cs="Times New Roman"/>
          <w:szCs w:val="24"/>
        </w:rPr>
        <w:lastRenderedPageBreak/>
        <w:t>condiciones de trabajo equitativas, la mejora del equilibrio entre la vida profesional y la vida privada y del acceso a la atención a la infancia, incluidos la educación infantil y los cuidados de la primera infancia; recuerda, asimismo, que el FSE+ debe tener como objetivo ofrecer un entorno de trabajo saludable y bien adaptado, a fin de responder a los riesgos para la salud relacionados con las formas de trabajo cambiantes y a las necesidades planteadas por el envejecimiento de la mano de obra;</w:t>
      </w:r>
    </w:p>
    <w:p w:rsidR="00EF5FA4" w:rsidRPr="00CE25F5" w:rsidRDefault="00EF5FA4" w:rsidP="00EF5FA4">
      <w:pPr>
        <w:pStyle w:val="NormalHanging12a"/>
        <w:jc w:val="both"/>
        <w:rPr>
          <w:rFonts w:ascii="Times New Roman" w:hAnsi="Times New Roman" w:cs="Times New Roman"/>
          <w:szCs w:val="24"/>
        </w:rPr>
      </w:pPr>
      <w:r w:rsidRPr="00CE25F5">
        <w:rPr>
          <w:rFonts w:ascii="Times New Roman" w:hAnsi="Times New Roman" w:cs="Times New Roman"/>
          <w:szCs w:val="24"/>
        </w:rPr>
        <w:t>12.</w:t>
      </w:r>
      <w:r w:rsidRPr="00CE25F5">
        <w:rPr>
          <w:rFonts w:ascii="Times New Roman" w:hAnsi="Times New Roman" w:cs="Times New Roman"/>
          <w:szCs w:val="24"/>
        </w:rPr>
        <w:tab/>
        <w:t>Recuerda que las asociaciones con las partes interesadas constituyen un elemento esencial de la Garantía Juvenil reforzada, pero que no existe actualmente ningún órgano o mecanismo formal a escala de la Unión para que estas participen en el seguimiento y la ejecución de los regímenes de Garantía Juvenil; pide a la Comisión que supervise la ejecución de los regímenes de Garantía Juvenil reforzada a través del Comité de Empleo (EMCO), y que informe regularmente al EMCO sobre la ejecución y los resultados de tales regímenes, manteniendo informado al mismo tiempo al Parlamento; invita a la Comisión a crear un grupo de trabajo para la ejecución de la Garantía Juvenil reforzada, que reúna a las partes interesadas pertinentes, incluidos los interlocutores cívicos, las organizaciones juveniles y los interlocutores sociales, en el marco del trabajo del EMCO, con el fin de facilitar la coordinación y el intercambio de buenas prácticas entre la Unión y las autoridades nacionales, junto con los interlocutores cívicos y las organizaciones juveniles, así como de evaluar periódicamente su impacto y proponer recomendaciones de mejora;</w:t>
      </w:r>
    </w:p>
    <w:p w:rsidR="00EF5FA4" w:rsidRPr="00CE25F5" w:rsidRDefault="00EF5FA4" w:rsidP="00EF5FA4">
      <w:pPr>
        <w:pStyle w:val="NormalHanging12a"/>
        <w:jc w:val="both"/>
        <w:rPr>
          <w:rFonts w:ascii="Times New Roman" w:hAnsi="Times New Roman" w:cs="Times New Roman"/>
          <w:szCs w:val="24"/>
        </w:rPr>
      </w:pPr>
      <w:r w:rsidRPr="00CE25F5">
        <w:rPr>
          <w:rFonts w:ascii="Times New Roman" w:hAnsi="Times New Roman" w:cs="Times New Roman"/>
          <w:szCs w:val="24"/>
        </w:rPr>
        <w:t>13.</w:t>
      </w:r>
      <w:r w:rsidRPr="00CE25F5">
        <w:rPr>
          <w:rFonts w:ascii="Times New Roman" w:hAnsi="Times New Roman" w:cs="Times New Roman"/>
          <w:szCs w:val="24"/>
        </w:rPr>
        <w:tab/>
        <w:t>Pide a los Estados miembros que garanticen que los servicios públicos de empleo (SPE) colaboren con las autoridades locales, el sector de la educación, las organizaciones juveniles, y el sector privado a través de la red europea de SPE con el fin de fomentar el empleo de calidad, estable y bien remunerado e impulsar el apoyo personalizado para la formación, la búsqueda de empleo y el asesoramiento de los jóvenes, y anima a los Estados miembros a dotar adecuadamente a los SPE para proporcionar recursos y formación para mantener la salud mental a pesar de un clima económico incierto y a lo largo de los retos que plantean las búsquedas de empleo;</w:t>
      </w:r>
    </w:p>
    <w:p w:rsidR="00EF5FA4" w:rsidRPr="00CE25F5" w:rsidRDefault="00EF5FA4" w:rsidP="00EF5FA4">
      <w:pPr>
        <w:pStyle w:val="NormalHanging12a"/>
        <w:jc w:val="both"/>
        <w:rPr>
          <w:rFonts w:ascii="Times New Roman" w:hAnsi="Times New Roman" w:cs="Times New Roman"/>
          <w:szCs w:val="24"/>
        </w:rPr>
      </w:pPr>
      <w:r w:rsidRPr="00CE25F5">
        <w:rPr>
          <w:rFonts w:ascii="Times New Roman" w:hAnsi="Times New Roman" w:cs="Times New Roman"/>
          <w:szCs w:val="24"/>
        </w:rPr>
        <w:t>14.</w:t>
      </w:r>
      <w:r w:rsidRPr="00CE25F5">
        <w:rPr>
          <w:rFonts w:ascii="Times New Roman" w:hAnsi="Times New Roman" w:cs="Times New Roman"/>
          <w:szCs w:val="24"/>
        </w:rPr>
        <w:tab/>
        <w:t>Recomienda que se refuerce el enfoque en el empleo de los sistemas de salud mental, en particular haciendo hincapié en la contribución positiva que puede suponer el trabajo de calidad para la recuperación de la salud mental;</w:t>
      </w:r>
    </w:p>
    <w:p w:rsidR="00EF5FA4" w:rsidRPr="00CE25F5" w:rsidRDefault="00EF5FA4" w:rsidP="00EF5FA4">
      <w:pPr>
        <w:pStyle w:val="NormalHanging12a"/>
        <w:jc w:val="both"/>
        <w:rPr>
          <w:rFonts w:ascii="Times New Roman" w:hAnsi="Times New Roman" w:cs="Times New Roman"/>
          <w:szCs w:val="24"/>
        </w:rPr>
      </w:pPr>
      <w:r w:rsidRPr="00CE25F5">
        <w:rPr>
          <w:rFonts w:ascii="Times New Roman" w:hAnsi="Times New Roman" w:cs="Times New Roman"/>
          <w:szCs w:val="24"/>
        </w:rPr>
        <w:t>15.</w:t>
      </w:r>
      <w:r w:rsidRPr="00CE25F5">
        <w:rPr>
          <w:rFonts w:ascii="Times New Roman" w:hAnsi="Times New Roman" w:cs="Times New Roman"/>
          <w:szCs w:val="24"/>
        </w:rPr>
        <w:tab/>
        <w:t>Pide a los Estados miembros que faciliten el acceso de los jóvenes a períodos de prácticas y de aprendizaje profesional remunerados, de calidad e inclusivos; solicita que se refuercen los planes de seguimiento, garantizando que los jóvenes disfruten de primeras experiencias laborales adecuadas y de calidad, y de oportunidades para mejorar sus capacidades y obtener nuevas cualificaciones o titulaciones; condena la no remuneración de los períodos de prácticas como una forma de explotación de trabajadores jóvenes y una violación de sus derechos, y pide a la Comisión y a los Estados miembros que, en colaboración con el Parlamento y con arreglo al principio de subsidiariedad, propongan un marco jurídico común para garantizar una remuneración justa para los períodos de prácticas y de aprendizaje profesional, a fin de evitar prácticas de explotación; condena la práctica de los contratos de cero horas y pide a los Estados miembros que presten apoyo a los empleadores que ofrecen períodos de prácticas y de aprendizaje profesional a jóvenes con discapacidad;</w:t>
      </w:r>
    </w:p>
    <w:p w:rsidR="00EF5FA4" w:rsidRPr="00CE25F5" w:rsidRDefault="00EF5FA4" w:rsidP="00EF5FA4">
      <w:pPr>
        <w:pStyle w:val="NormalHanging12a"/>
        <w:jc w:val="both"/>
        <w:rPr>
          <w:rFonts w:ascii="Times New Roman" w:hAnsi="Times New Roman" w:cs="Times New Roman"/>
          <w:szCs w:val="24"/>
        </w:rPr>
      </w:pPr>
      <w:r w:rsidRPr="00CE25F5">
        <w:rPr>
          <w:rFonts w:ascii="Times New Roman" w:hAnsi="Times New Roman" w:cs="Times New Roman"/>
          <w:szCs w:val="24"/>
        </w:rPr>
        <w:t>16.</w:t>
      </w:r>
      <w:r w:rsidRPr="00CE25F5">
        <w:rPr>
          <w:rFonts w:ascii="Times New Roman" w:hAnsi="Times New Roman" w:cs="Times New Roman"/>
          <w:szCs w:val="24"/>
        </w:rPr>
        <w:tab/>
        <w:t xml:space="preserve">Pide a la Comisión que revise los instrumentos europeos existentes, como el marco de calidad para los períodos de prácticas y el Marco Europeo para una formación de </w:t>
      </w:r>
      <w:r w:rsidRPr="00CE25F5">
        <w:rPr>
          <w:rFonts w:ascii="Times New Roman" w:hAnsi="Times New Roman" w:cs="Times New Roman"/>
          <w:szCs w:val="24"/>
        </w:rPr>
        <w:lastRenderedPageBreak/>
        <w:t>Aprendices de Calidad y Eficaz, y que introduzca criterios de calidad para las ofertas hechas a los jóvenes, incluido el principio de remuneración justa de los aprendices y becarios, el acceso a la protección social, el empleo sostenible y los derechos sociales;</w:t>
      </w:r>
    </w:p>
    <w:p w:rsidR="00EF5FA4" w:rsidRPr="00CE25F5" w:rsidRDefault="00EF5FA4" w:rsidP="00EF5FA4">
      <w:pPr>
        <w:pStyle w:val="NormalHanging12a"/>
        <w:jc w:val="both"/>
        <w:rPr>
          <w:rFonts w:ascii="Times New Roman" w:hAnsi="Times New Roman" w:cs="Times New Roman"/>
          <w:b/>
          <w:i/>
          <w:iCs/>
          <w:szCs w:val="24"/>
        </w:rPr>
      </w:pPr>
      <w:r w:rsidRPr="00CE25F5">
        <w:rPr>
          <w:rFonts w:ascii="Times New Roman" w:hAnsi="Times New Roman" w:cs="Times New Roman"/>
          <w:b/>
          <w:i/>
          <w:szCs w:val="24"/>
        </w:rPr>
        <w:t>Movilidad laboral y capacidades para el futuro</w:t>
      </w:r>
    </w:p>
    <w:p w:rsidR="00EF5FA4" w:rsidRPr="00CE25F5" w:rsidRDefault="00EF5FA4" w:rsidP="00EF5FA4">
      <w:pPr>
        <w:pStyle w:val="NormalHanging12a"/>
        <w:jc w:val="both"/>
        <w:rPr>
          <w:rFonts w:ascii="Times New Roman" w:hAnsi="Times New Roman" w:cs="Times New Roman"/>
          <w:szCs w:val="24"/>
        </w:rPr>
      </w:pPr>
      <w:r w:rsidRPr="00CE25F5">
        <w:rPr>
          <w:rFonts w:ascii="Times New Roman" w:hAnsi="Times New Roman" w:cs="Times New Roman"/>
          <w:szCs w:val="24"/>
        </w:rPr>
        <w:t>17.</w:t>
      </w:r>
      <w:r w:rsidRPr="00CE25F5">
        <w:rPr>
          <w:rFonts w:ascii="Times New Roman" w:hAnsi="Times New Roman" w:cs="Times New Roman"/>
          <w:szCs w:val="24"/>
        </w:rPr>
        <w:tab/>
        <w:t>Pide a la Comisión que garantice que la nueva iniciativa ALMA ayude a los jóvenes, en especial a los que ni estudian, ni trabajan, ni reciben formación (ninis), a encontrar una experiencia laboral temporal de calidad en otro Estado miembro; insiste en que la iniciativa ALMA debe atenerse a normas de calidad que velen por que se respeten los derechos laborales de los jóvenes, como los relativos a una remuneración digna, unas condiciones de trabajo adecuadas y el acceso a la protección social;</w:t>
      </w:r>
    </w:p>
    <w:p w:rsidR="00EF5FA4" w:rsidRPr="00CE25F5" w:rsidRDefault="00EF5FA4" w:rsidP="00EF5FA4">
      <w:pPr>
        <w:pStyle w:val="NormalHanging12a"/>
        <w:jc w:val="both"/>
        <w:rPr>
          <w:rFonts w:ascii="Times New Roman" w:hAnsi="Times New Roman" w:cs="Times New Roman"/>
          <w:szCs w:val="24"/>
        </w:rPr>
      </w:pPr>
      <w:r w:rsidRPr="00CE25F5">
        <w:rPr>
          <w:rFonts w:ascii="Times New Roman" w:hAnsi="Times New Roman" w:cs="Times New Roman"/>
          <w:szCs w:val="24"/>
        </w:rPr>
        <w:t>18.</w:t>
      </w:r>
      <w:r w:rsidRPr="00CE25F5">
        <w:rPr>
          <w:rFonts w:ascii="Times New Roman" w:hAnsi="Times New Roman" w:cs="Times New Roman"/>
          <w:szCs w:val="24"/>
        </w:rPr>
        <w:tab/>
        <w:t>Subraya que las capacidades digitales son esenciales para los jóvenes y todos los sectores en el siglo XXI, e invita a la Comisión y a los Estados miembros a considerar el desarrollo de un acceso permanente, certificado y gratuito para los jóvenes a cursos en línea y fuera de línea para la adquisición de capacidades y alfabetización digitales en todas las lenguas de la Unión, en colaboración con entidades públicas y empresas privadas; pide la creación de espacios de intercambio sobre el aprendizaje y la enseñanza electrónicos; insiste en que la Unión y los Estados miembros desarrollen más programas como eTwinning y la plataforma electrónica para el aprendizaje de adultos en Europa; señala que en muchos Estados miembros es necesario superar graves limitaciones en lo que se refiere al acceso a equipos informáticos, instalaciones, formadores adecuados e infraestructuras digitales apropiadas; recuerda, por tanto, la necesidad de vincular el acceso a los cursos en línea con las iniciativas reforzadas para abordar la escasez en cuanto al acceso a internet y las herramientas digitales, con el fin de no dejar a nadie atrás, e insiste en que los cursos deben elaborarse de manera accesible para evitar la exclusión de los jóvenes con discapacidad;</w:t>
      </w:r>
    </w:p>
    <w:p w:rsidR="00EF5FA4" w:rsidRPr="00CE25F5" w:rsidRDefault="00EF5FA4" w:rsidP="00EF5FA4">
      <w:pPr>
        <w:pStyle w:val="NormalHanging12a"/>
        <w:jc w:val="both"/>
        <w:rPr>
          <w:rFonts w:ascii="Times New Roman" w:hAnsi="Times New Roman" w:cs="Times New Roman"/>
          <w:szCs w:val="24"/>
        </w:rPr>
      </w:pPr>
      <w:r w:rsidRPr="00CE25F5">
        <w:rPr>
          <w:rFonts w:ascii="Times New Roman" w:hAnsi="Times New Roman" w:cs="Times New Roman"/>
          <w:szCs w:val="24"/>
        </w:rPr>
        <w:t>19.</w:t>
      </w:r>
      <w:r w:rsidRPr="00CE25F5">
        <w:rPr>
          <w:rFonts w:ascii="Times New Roman" w:hAnsi="Times New Roman" w:cs="Times New Roman"/>
          <w:szCs w:val="24"/>
        </w:rPr>
        <w:tab/>
        <w:t>Resalta la importancia del desarrollo de capacidades ecológicas y de las oportunidades de empleo de calidad en una economía climáticamente neutra, eficiente en materia de energía y circular, sobre todo en las regiones más afectadas por la transición ecológica, como las que dependen en gran medida del sector agrario y las que participan en la lucha contra el cambio climático, la producción de energía a partir de fuentes renovables, la reducción de las emisiones de carbono, el aumento de la eficiencia energética, la gestión de los residuos y el agua, la mejora de la calidad del aire y la recuperación y la conservación de la biodiversidad; pide a los empleadores que garanticen el perfeccionamiento y reciclaje profesionales de su mano de obra y que potencien la oferta de programas de aprendizaje profesional más efectivos en consonancia con el Marco Europeo para una formación de Aprendices de Calidad y Eficaz;</w:t>
      </w:r>
    </w:p>
    <w:p w:rsidR="00EF5FA4" w:rsidRPr="00CE25F5" w:rsidRDefault="00EF5FA4" w:rsidP="00EF5FA4">
      <w:pPr>
        <w:pStyle w:val="NormalHanging12a"/>
        <w:jc w:val="both"/>
        <w:rPr>
          <w:rFonts w:ascii="Times New Roman" w:hAnsi="Times New Roman" w:cs="Times New Roman"/>
          <w:szCs w:val="24"/>
        </w:rPr>
      </w:pPr>
      <w:r w:rsidRPr="00CE25F5">
        <w:rPr>
          <w:rFonts w:ascii="Times New Roman" w:hAnsi="Times New Roman" w:cs="Times New Roman"/>
          <w:szCs w:val="24"/>
        </w:rPr>
        <w:t>20.</w:t>
      </w:r>
      <w:r w:rsidRPr="00CE25F5">
        <w:rPr>
          <w:rFonts w:ascii="Times New Roman" w:hAnsi="Times New Roman" w:cs="Times New Roman"/>
          <w:szCs w:val="24"/>
        </w:rPr>
        <w:tab/>
        <w:t>Invita a la Comisión a proponer en 2022 nuevas herramientas e iniciativas destinadas a desarrollar el emprendimiento y la inversión social de los jóvenes en el plan de acción para la economía social;</w:t>
      </w:r>
    </w:p>
    <w:p w:rsidR="00EF5FA4" w:rsidRPr="00CE25F5" w:rsidRDefault="00EF5FA4" w:rsidP="00EF5FA4">
      <w:pPr>
        <w:pStyle w:val="NormalHanging12a"/>
        <w:jc w:val="both"/>
        <w:rPr>
          <w:rFonts w:ascii="Times New Roman" w:hAnsi="Times New Roman" w:cs="Times New Roman"/>
          <w:szCs w:val="24"/>
        </w:rPr>
      </w:pPr>
      <w:r w:rsidRPr="00CE25F5">
        <w:rPr>
          <w:rFonts w:ascii="Times New Roman" w:hAnsi="Times New Roman" w:cs="Times New Roman"/>
          <w:szCs w:val="24"/>
        </w:rPr>
        <w:t>21.</w:t>
      </w:r>
      <w:r w:rsidRPr="00CE25F5">
        <w:rPr>
          <w:rFonts w:ascii="Times New Roman" w:hAnsi="Times New Roman" w:cs="Times New Roman"/>
          <w:szCs w:val="24"/>
        </w:rPr>
        <w:tab/>
        <w:t xml:space="preserve">Lamenta la insuficiente correlación entre las reformas e inversiones en educación y formación y las medidas que garantizan la inclusión en el mercado laboral de los jóvenes, en particular de los ninis; anima a que se creen vías de aprendizaje flexibles, inclusivas, accesibles y abiertas por medio de cuentas de aprendizaje individuales y microcredenciales para jóvenes, trabajadores en el ámbito de la juventud, formadores y </w:t>
      </w:r>
      <w:r w:rsidRPr="00CE25F5">
        <w:rPr>
          <w:rFonts w:ascii="Times New Roman" w:hAnsi="Times New Roman" w:cs="Times New Roman"/>
          <w:szCs w:val="24"/>
        </w:rPr>
        <w:lastRenderedPageBreak/>
        <w:t>profesionales, también mediante las destrezas y competencias adquiridas en el marco de la educación no formal y el aprendizaje informal; subraya que el refuerzo de la orientación profesional desde una edad temprana y el apoyo a la igualdad de acceso a la información y el asesoramiento para los estudiantes y los alumnos adultos pueden ayudar a los jóvenes a elegir vías de educación y formación profesional adecuadas que les conduzcan a oportunidades de empleo que se adapten a ellos;</w:t>
      </w:r>
    </w:p>
    <w:p w:rsidR="00EF5FA4" w:rsidRPr="00CE25F5" w:rsidRDefault="00EF5FA4" w:rsidP="00EF5FA4">
      <w:pPr>
        <w:pStyle w:val="NormalHanging12a"/>
        <w:jc w:val="both"/>
        <w:rPr>
          <w:rFonts w:ascii="Times New Roman" w:hAnsi="Times New Roman" w:cs="Times New Roman"/>
          <w:szCs w:val="24"/>
        </w:rPr>
      </w:pPr>
      <w:r w:rsidRPr="00CE25F5">
        <w:rPr>
          <w:rFonts w:ascii="Times New Roman" w:hAnsi="Times New Roman" w:cs="Times New Roman"/>
          <w:szCs w:val="24"/>
        </w:rPr>
        <w:t>22.</w:t>
      </w:r>
      <w:r w:rsidRPr="00CE25F5">
        <w:rPr>
          <w:rFonts w:ascii="Times New Roman" w:hAnsi="Times New Roman" w:cs="Times New Roman"/>
          <w:szCs w:val="24"/>
        </w:rPr>
        <w:tab/>
        <w:t>Reitera su llamamiento a la Comisión y al Consejo para que sigan fomentando el desarrollo de la formación profesional (FP) y promuevan mejor las capacidades para el desempeño de oficios, procurando evitar la percepción negativa de la educación no formal que existe de manera generalizada en varios Estados miembros, al mismo tiempo que se refuerza el atractivo de la FP por medio de campañas de comunicación y divulgación, planes de estudios, centros o plataformas de capacidades comerciales para jóvenes, ecosistemas especiales para la FP en las comunidades locales, sistemas de educación dual y movilidad a largo plazo para los aprendices; acoge con satisfacción, a este respecto, la iniciativa de crear Centros Europeos de Excelencia Profesional, emprendida con el objetivo de proporcionar cualificaciones profesionales de alta calidad y apoyar las actividades de emprendimiento; pide a la Comisión y a los Estados miembros que creen un espacio de FP independiente y un estatuto del aprendiz europeo; reitera que los períodos de prácticas deben formar parte del desarrollo educativo y profesional y que, por tanto, han de tener una dimensión pedagógica; subraya la importancia de mejorar los mecanismos de reconocimiento transfronterizo de competencias y cualificaciones, e insiste en la promoción y el apoyo de prácticas como las de la solidaridad intergeneracional y las tutorías para reducir las desigualdades y garantizar el apoyo a los jóvenes;</w:t>
      </w:r>
    </w:p>
    <w:p w:rsidR="00EF5FA4" w:rsidRPr="00CE25F5" w:rsidRDefault="00EF5FA4" w:rsidP="00EF5FA4">
      <w:pPr>
        <w:pStyle w:val="NormalHanging12a"/>
        <w:jc w:val="both"/>
        <w:rPr>
          <w:rFonts w:ascii="Times New Roman" w:hAnsi="Times New Roman" w:cs="Times New Roman"/>
          <w:szCs w:val="24"/>
        </w:rPr>
      </w:pPr>
      <w:r w:rsidRPr="00CE25F5">
        <w:rPr>
          <w:rFonts w:ascii="Times New Roman" w:hAnsi="Times New Roman" w:cs="Times New Roman"/>
          <w:szCs w:val="24"/>
        </w:rPr>
        <w:t>23.</w:t>
      </w:r>
      <w:r w:rsidRPr="00CE25F5">
        <w:rPr>
          <w:rFonts w:ascii="Times New Roman" w:hAnsi="Times New Roman" w:cs="Times New Roman"/>
          <w:szCs w:val="24"/>
        </w:rPr>
        <w:tab/>
        <w:t>Promueve la inclusión de las actividades relacionadas con la participación cívica entre las actividades que los lugares de trabajo consideran beneficiosas para el desarrollo personal y profesional de los empleados, especialmente de los jóvenes;</w:t>
      </w:r>
    </w:p>
    <w:p w:rsidR="00EF5FA4" w:rsidRPr="00CE25F5" w:rsidRDefault="00EF5FA4" w:rsidP="00EF5FA4">
      <w:pPr>
        <w:pStyle w:val="NormalHanging12a"/>
        <w:jc w:val="both"/>
        <w:rPr>
          <w:rFonts w:ascii="Times New Roman" w:hAnsi="Times New Roman" w:cs="Times New Roman"/>
          <w:szCs w:val="24"/>
        </w:rPr>
      </w:pPr>
      <w:r w:rsidRPr="00CE25F5">
        <w:rPr>
          <w:rFonts w:ascii="Times New Roman" w:hAnsi="Times New Roman" w:cs="Times New Roman"/>
          <w:szCs w:val="24"/>
        </w:rPr>
        <w:t>24.</w:t>
      </w:r>
      <w:r w:rsidRPr="00CE25F5">
        <w:rPr>
          <w:rFonts w:ascii="Times New Roman" w:hAnsi="Times New Roman" w:cs="Times New Roman"/>
          <w:szCs w:val="24"/>
        </w:rPr>
        <w:tab/>
        <w:t>Destaca que se ha demostrado que la protección del salario mínimo constituye un medio eficaz de luchar contra la pobreza de los ocupados; subraya que, en algunos Estados miembros, los trabajadores jóvenes reciben en la práctica una remuneración inferior al salario mínimo legal debido a las variaciones actuales, perpetuando así una situación de discriminación estructural por razón de edad; pide a los Estados miembros que garanticen la igualdad de trato de los jóvenes en el mercado laboral, también en lo que respecta al salario mínimo legal, en la propuesta de Directiva sobre unos salarios mínimos adecuados en la Unión Europea (COM(2020)0682);</w:t>
      </w:r>
    </w:p>
    <w:p w:rsidR="00EF5FA4" w:rsidRPr="00CE25F5" w:rsidRDefault="00EF5FA4" w:rsidP="00EF5FA4">
      <w:pPr>
        <w:pStyle w:val="NormalHanging12a"/>
        <w:jc w:val="both"/>
        <w:rPr>
          <w:rFonts w:ascii="Times New Roman" w:hAnsi="Times New Roman" w:cs="Times New Roman"/>
          <w:szCs w:val="24"/>
        </w:rPr>
      </w:pPr>
      <w:r w:rsidRPr="00CE25F5">
        <w:rPr>
          <w:rFonts w:ascii="Times New Roman" w:hAnsi="Times New Roman" w:cs="Times New Roman"/>
          <w:szCs w:val="24"/>
        </w:rPr>
        <w:t>25.</w:t>
      </w:r>
      <w:r w:rsidRPr="00CE25F5">
        <w:rPr>
          <w:rFonts w:ascii="Times New Roman" w:hAnsi="Times New Roman" w:cs="Times New Roman"/>
          <w:szCs w:val="24"/>
        </w:rPr>
        <w:tab/>
        <w:t>Destaca que los jóvenes no pueden acceder plenamente a los sistemas de renta mínima, o se les excluye de estos por completo en muchos Estados miembros, debido a los criterios de admisibilidad basados en la edad; pide a la Comisión y a los Estados miembros que adopten medidas para facilitar el acceso de los jóvenes a estos sistemas en la próxima Recomendación del Consejo sobre la renta mínima;</w:t>
      </w:r>
    </w:p>
    <w:p w:rsidR="00EF5FA4" w:rsidRPr="00CE25F5" w:rsidRDefault="00EF5FA4" w:rsidP="00EF5FA4">
      <w:pPr>
        <w:pStyle w:val="NormalHanging12a"/>
        <w:jc w:val="both"/>
        <w:rPr>
          <w:rFonts w:ascii="Times New Roman" w:hAnsi="Times New Roman" w:cs="Times New Roman"/>
          <w:b/>
          <w:szCs w:val="24"/>
        </w:rPr>
      </w:pPr>
      <w:r w:rsidRPr="00CE25F5">
        <w:rPr>
          <w:rFonts w:ascii="Times New Roman" w:hAnsi="Times New Roman" w:cs="Times New Roman"/>
          <w:b/>
          <w:i/>
          <w:szCs w:val="24"/>
        </w:rPr>
        <w:t>Luchar contra la exclusión juvenil y evitar una generación perdida</w:t>
      </w:r>
    </w:p>
    <w:p w:rsidR="00EF5FA4" w:rsidRPr="00CE25F5" w:rsidRDefault="00EF5FA4" w:rsidP="00EF5FA4">
      <w:pPr>
        <w:pStyle w:val="NormalHanging12a"/>
        <w:jc w:val="both"/>
        <w:rPr>
          <w:rFonts w:ascii="Times New Roman" w:hAnsi="Times New Roman" w:cs="Times New Roman"/>
          <w:szCs w:val="24"/>
        </w:rPr>
      </w:pPr>
      <w:r w:rsidRPr="00CE25F5">
        <w:rPr>
          <w:rFonts w:ascii="Times New Roman" w:hAnsi="Times New Roman" w:cs="Times New Roman"/>
          <w:szCs w:val="24"/>
        </w:rPr>
        <w:t>26.</w:t>
      </w:r>
      <w:r w:rsidRPr="00CE25F5">
        <w:rPr>
          <w:rFonts w:ascii="Times New Roman" w:hAnsi="Times New Roman" w:cs="Times New Roman"/>
          <w:szCs w:val="24"/>
        </w:rPr>
        <w:tab/>
        <w:t xml:space="preserve">Pide a la Comisión que formule una recomendación para garantizar que los períodos de prácticas y de aprendizaje profesional y la formación en centros de trabajo cuenten como experiencia laboral y, por consiguiente, permitan acceder a prestaciones sociales; pide que se reduzca el período mínimo de cotización necesario para acceder a las </w:t>
      </w:r>
      <w:r w:rsidRPr="00CE25F5">
        <w:rPr>
          <w:rFonts w:ascii="Times New Roman" w:hAnsi="Times New Roman" w:cs="Times New Roman"/>
          <w:szCs w:val="24"/>
        </w:rPr>
        <w:lastRenderedPageBreak/>
        <w:t>prestaciones sociales; acoge con satisfacción la iniciativa de la Comisión de crear un grupo de expertos de alto nivel para estudiar el futuro del estado del bienestar y los principales retos a los que se enfrentan los jóvenes para beneficiarse de la protección social;</w:t>
      </w:r>
    </w:p>
    <w:p w:rsidR="00EF5FA4" w:rsidRPr="00CE25F5" w:rsidRDefault="00EF5FA4" w:rsidP="00EF5FA4">
      <w:pPr>
        <w:pStyle w:val="NormalHanging12a"/>
        <w:jc w:val="both"/>
        <w:rPr>
          <w:rFonts w:ascii="Times New Roman" w:hAnsi="Times New Roman" w:cs="Times New Roman"/>
          <w:szCs w:val="24"/>
        </w:rPr>
      </w:pPr>
      <w:r w:rsidRPr="00CE25F5">
        <w:rPr>
          <w:rFonts w:ascii="Times New Roman" w:hAnsi="Times New Roman" w:cs="Times New Roman"/>
          <w:szCs w:val="24"/>
        </w:rPr>
        <w:t>27.</w:t>
      </w:r>
      <w:r w:rsidRPr="00CE25F5">
        <w:rPr>
          <w:rFonts w:ascii="Times New Roman" w:hAnsi="Times New Roman" w:cs="Times New Roman"/>
          <w:szCs w:val="24"/>
        </w:rPr>
        <w:tab/>
        <w:t>Pide a la Comisión que estudie la viabilidad de fusionar las actuales plataformas del Portal Europeo de la Juventud, Europass y Eures en un espacio digital único con el fin de proporcionar información y oportunidades a todos los jóvenes europeos en materia de formación, empleo, períodos de prácticas, ofertas de educación y formación profesional, ayuda financiera, programas de movilidad, asesoramiento sobre la creación de empresas, programas de tutoría, programas de voluntariado, derechos asociados a la ciudadanía europea, acceso a la cultura, etc.; sugiere que la plataforma única pueda centralizar las aplicaciones para diversas ofertas y programas y proporcionar referencias a todas las oportunidades que la Unión ofrece a los jóvenes europeos en función de su situación personal; acoge con satisfacción la creación de ventanillas únicas en algunos Estados miembros y apoya esta agregación de servicios fuera de línea, que es crucial para llegar a los beneficiarios y proporcionarles orientación y asistencia, y apoya su creación en todos los Estados miembros, en diversas ciudades, con el fin de llegar a los grupos de jóvenes más vulnerables;</w:t>
      </w:r>
    </w:p>
    <w:p w:rsidR="00EF5FA4" w:rsidRPr="00CE25F5" w:rsidRDefault="00EF5FA4" w:rsidP="00EF5FA4">
      <w:pPr>
        <w:pStyle w:val="NormalHanging12a"/>
        <w:jc w:val="both"/>
        <w:rPr>
          <w:rFonts w:ascii="Times New Roman" w:hAnsi="Times New Roman" w:cs="Times New Roman"/>
          <w:szCs w:val="24"/>
        </w:rPr>
      </w:pPr>
      <w:r w:rsidRPr="00CE25F5">
        <w:rPr>
          <w:rFonts w:ascii="Times New Roman" w:hAnsi="Times New Roman" w:cs="Times New Roman"/>
          <w:szCs w:val="24"/>
        </w:rPr>
        <w:t>28.</w:t>
      </w:r>
      <w:r w:rsidRPr="00CE25F5">
        <w:rPr>
          <w:rFonts w:ascii="Times New Roman" w:hAnsi="Times New Roman" w:cs="Times New Roman"/>
          <w:szCs w:val="24"/>
        </w:rPr>
        <w:tab/>
        <w:t>Pide a la Comisión que garantice que la nueva iniciativa ALMA ayude a los jóvenes, en particular a los ninis, a integrarse en la sociedad y en el mercado laboral en sus países de origen a través de la obtención de trabajo temporal de calidad y la adquisición de experiencia para su capacitación que se atengan a unas normas de calidad que protejan los derechos laborales de los jóvenes en otro Estado miembro, como una remuneración justa y el acceso a la protección social; subraya que es fundamental acompañar y ofrecer orientación a los jóvenes antes, durante y después de la participación en esta iniciativa; destaca que ALMA debe fomentar programas reales de movilidad y desarrollo de competencias de calidad, formación profesional o empleo para todos los participantes, incluidos los jóvenes con discapacidad o los jóvenes procedentes de entornos desfavorecidos, y debe incluir una estrategia de inclusión diseñada con las aportaciones organizaciones de la sociedad civil e interlocutores sociales para garantizar la igualdad en el acceso, prevenir la discriminación y abordar las barreras que puedan surgir, sin que ALMA se convierta en un instrumento que cree condiciones de empleo precarias para los jóvenes; señala que debe prestarse apoyo a los SPE nacionales para su ejecución a través de la línea presupuestaria del FSE+, en coordinación con socios privados y públicos, generando al mismo tiempo sinergias con el Espacio Europeo de Educación; insta a la Comisión a que garantice el valor añadido de ALMA además de las oportunidades existentes en el marco de Erasmus+ y el Cuerpo Europeo de Solidaridad, y a que vele por que el aprendizaje virtual y la cooperación sigan combinándose con la movilidad física en el marco del FSE+; invita a la Comisión a que evalúe si ALMA podría incluirse como uno de los componentes de movilidad de la Garantía Juvenil reforzada;</w:t>
      </w:r>
    </w:p>
    <w:p w:rsidR="00EF5FA4" w:rsidRPr="00CE25F5" w:rsidRDefault="00EF5FA4" w:rsidP="00EF5FA4">
      <w:pPr>
        <w:pStyle w:val="NormalHanging12a"/>
        <w:jc w:val="both"/>
        <w:rPr>
          <w:rFonts w:ascii="Times New Roman" w:hAnsi="Times New Roman" w:cs="Times New Roman"/>
          <w:szCs w:val="24"/>
        </w:rPr>
      </w:pPr>
      <w:r w:rsidRPr="00CE25F5">
        <w:rPr>
          <w:rFonts w:ascii="Times New Roman" w:hAnsi="Times New Roman" w:cs="Times New Roman"/>
          <w:szCs w:val="24"/>
        </w:rPr>
        <w:t>29.</w:t>
      </w:r>
      <w:r w:rsidRPr="00CE25F5">
        <w:rPr>
          <w:rFonts w:ascii="Times New Roman" w:hAnsi="Times New Roman" w:cs="Times New Roman"/>
          <w:szCs w:val="24"/>
        </w:rPr>
        <w:tab/>
        <w:t>Considera que el bienestar de los jóvenes es una responsabilidad compartida de los agentes públicos y privados; pide a la Comisión y a los Estados miembros que colaboren con los empresarios europeos y nacionales en la aplicación de las recomendaciones de responsabilidad social de las empresas (RSE) para ayudar a los jóvenes vulnerables e incluir disposiciones dedicadas a la juventud en las futuras iniciativas relacionadas con la RSE;</w:t>
      </w:r>
    </w:p>
    <w:p w:rsidR="00EF5FA4" w:rsidRPr="00CE25F5" w:rsidRDefault="00EF5FA4" w:rsidP="00EF5FA4">
      <w:pPr>
        <w:pStyle w:val="NormalHanging12a"/>
        <w:jc w:val="both"/>
        <w:rPr>
          <w:rFonts w:ascii="Times New Roman" w:hAnsi="Times New Roman" w:cs="Times New Roman"/>
          <w:szCs w:val="24"/>
        </w:rPr>
      </w:pPr>
      <w:r w:rsidRPr="00CE25F5">
        <w:rPr>
          <w:rFonts w:ascii="Times New Roman" w:hAnsi="Times New Roman" w:cs="Times New Roman"/>
          <w:szCs w:val="24"/>
        </w:rPr>
        <w:lastRenderedPageBreak/>
        <w:t>30.</w:t>
      </w:r>
      <w:r w:rsidRPr="00CE25F5">
        <w:rPr>
          <w:rFonts w:ascii="Times New Roman" w:hAnsi="Times New Roman" w:cs="Times New Roman"/>
          <w:szCs w:val="24"/>
        </w:rPr>
        <w:tab/>
        <w:t>Recuerda el hecho de que las mujeres jóvenes corren un mayor riesgo de sufrir discriminación en el puesto de trabajo, lo que se ve agravado por las desigualdades interseccionales, el desempleo y el hecho de ser madres solteras y cuidadoras informales de larga duración, lo que a menudo las excluye de la población activa o las mantiene por debajo del umbral de la pobreza; pide al Consejo y a la Comisión que consideren establecer objetivos mínimos indicativos de asistencia y programas de ayuda adaptados en las iniciativas en materia de juventud y empleo a partir de 2022 para las mujeres jóvenes en riesgo; pide a la Comisión que colabore con los Estados miembros para integrar los planes de acción nacionales de garantía infantil con las medidas de integración laboral de ámbito nacional, regional y local con el fin de apoyar a los progenitores jóvenes solteros;</w:t>
      </w:r>
    </w:p>
    <w:p w:rsidR="00EF5FA4" w:rsidRDefault="00EF5FA4" w:rsidP="00EF5FA4">
      <w:pPr>
        <w:pStyle w:val="NormalHanging12a"/>
        <w:jc w:val="both"/>
        <w:rPr>
          <w:rFonts w:ascii="Times New Roman" w:hAnsi="Times New Roman" w:cs="Times New Roman"/>
          <w:szCs w:val="24"/>
        </w:rPr>
      </w:pPr>
      <w:r w:rsidRPr="00CE25F5">
        <w:rPr>
          <w:rFonts w:ascii="Times New Roman" w:hAnsi="Times New Roman" w:cs="Times New Roman"/>
          <w:szCs w:val="24"/>
        </w:rPr>
        <w:t>31.</w:t>
      </w:r>
      <w:r w:rsidRPr="00CE25F5">
        <w:rPr>
          <w:rFonts w:ascii="Times New Roman" w:hAnsi="Times New Roman" w:cs="Times New Roman"/>
          <w:szCs w:val="24"/>
        </w:rPr>
        <w:tab/>
        <w:t>Reitera la importancia del acceso a una vivienda digna y asequible y a servicios sociales adaptados para los jóvenes, en particular los que pertenecen a grupos vulnerables, incluidos los jóvenes con discapacidad y los que proceden de familias numerosas; pide a la Comisión que colabore con los Estados miembros en programas de viviendas que den prioridad a los jóvenes, complementándolos con servicios de apoyo social y en materia de empleo y salud; resalta la importancia de la inversión privada y pública en infraestructuras sociales para los jóvenes; acoge con satisfacción la Plataforma Europea para Combatir el Sinhogarismo puesta en marcha por la Comisión y su objetivo último de acabar con las situaciones de carencia de hogar de aquí a 2030, así como el potencial que representa esta iniciativa para los jóvenes; pide a los Estados miembros y a la Comisión que adopten medidas y apliquen programas para los jóvenes que han cumplido dieciocho años y corren el riesgo de quedarse sin hogar, en particular para los grupos vulnerables como las personas LGBTIQ+ sin hogar; pide a la Comisión y a los Estados miembros que velen por que la Garantía Juvenil reforzada contribuya a abordar el problema de los va en aumento en muchos países de la Unión;</w:t>
      </w:r>
    </w:p>
    <w:p w:rsidR="00EF5FA4" w:rsidRPr="00CE25F5" w:rsidRDefault="00EF5FA4" w:rsidP="00EF5FA4">
      <w:pPr>
        <w:pStyle w:val="NormalHanging12a"/>
        <w:jc w:val="both"/>
        <w:rPr>
          <w:rFonts w:ascii="Times New Roman" w:hAnsi="Times New Roman" w:cs="Times New Roman"/>
          <w:szCs w:val="24"/>
        </w:rPr>
      </w:pPr>
      <w:r w:rsidRPr="00CE25F5">
        <w:rPr>
          <w:rFonts w:ascii="Times New Roman" w:hAnsi="Times New Roman" w:cs="Times New Roman"/>
          <w:szCs w:val="24"/>
        </w:rPr>
        <w:t>32.</w:t>
      </w:r>
      <w:r w:rsidRPr="00CE25F5">
        <w:rPr>
          <w:rFonts w:ascii="Times New Roman" w:hAnsi="Times New Roman" w:cs="Times New Roman"/>
          <w:szCs w:val="24"/>
        </w:rPr>
        <w:tab/>
        <w:t>Anima a la Comisión a abordar las principales barreras que dificultan a los jóvenes iniciarse en la agricultura, como el acceso a la tierra, a la financiación, al conocimiento y a la innovación;</w:t>
      </w:r>
    </w:p>
    <w:p w:rsidR="00EF5FA4" w:rsidRPr="00CE25F5" w:rsidRDefault="00EF5FA4" w:rsidP="00EF5FA4">
      <w:pPr>
        <w:pStyle w:val="NormalHanging12a"/>
        <w:jc w:val="both"/>
        <w:rPr>
          <w:rFonts w:ascii="Times New Roman" w:hAnsi="Times New Roman" w:cs="Times New Roman"/>
          <w:szCs w:val="24"/>
        </w:rPr>
      </w:pPr>
      <w:r w:rsidRPr="00CE25F5">
        <w:rPr>
          <w:rFonts w:ascii="Times New Roman" w:hAnsi="Times New Roman" w:cs="Times New Roman"/>
          <w:szCs w:val="24"/>
        </w:rPr>
        <w:t>33.</w:t>
      </w:r>
      <w:r w:rsidRPr="00CE25F5">
        <w:rPr>
          <w:rFonts w:ascii="Times New Roman" w:hAnsi="Times New Roman" w:cs="Times New Roman"/>
          <w:szCs w:val="24"/>
        </w:rPr>
        <w:tab/>
        <w:t>Observa con preocupación el empeoramiento de las condiciones de muchos jóvenes en general y, en particular, de los jóvenes vulnerables que ya sufren el desempleo de larga duración y exclusión social, como los jóvenes romaníes, los jóvenes con discapacidad, los jóvenes que pertenecen a la comunidad LGBTIQ+ y los jóvenes migrantes, y aboga por que se adopte un enfoque coordinado para crear y ofrecerles oportunidades de integración social en el marco de la Garantía Juvenil reforzada, el FSE+ y el Mecanismo de Recuperación y Resiliencia;</w:t>
      </w:r>
    </w:p>
    <w:p w:rsidR="00EF5FA4" w:rsidRPr="0070331F" w:rsidRDefault="00EF5FA4" w:rsidP="00EF5FA4">
      <w:pPr>
        <w:pStyle w:val="NormalHanging12a"/>
        <w:jc w:val="both"/>
        <w:rPr>
          <w:rFonts w:ascii="Times New Roman" w:hAnsi="Times New Roman" w:cs="Times New Roman"/>
          <w:szCs w:val="24"/>
          <w:lang w:val="es-ES"/>
        </w:rPr>
      </w:pPr>
      <w:r w:rsidRPr="00CE25F5">
        <w:rPr>
          <w:rFonts w:ascii="Times New Roman" w:hAnsi="Times New Roman" w:cs="Times New Roman"/>
          <w:szCs w:val="24"/>
        </w:rPr>
        <w:t>34.</w:t>
      </w:r>
      <w:r w:rsidRPr="00CE25F5">
        <w:rPr>
          <w:rFonts w:ascii="Times New Roman" w:hAnsi="Times New Roman" w:cs="Times New Roman"/>
          <w:szCs w:val="24"/>
        </w:rPr>
        <w:tab/>
        <w:t>Pide a las instituciones europeas y a los Estados miembros que garanticen un marco no discriminatorio de todas las políticas dirigidas a los jóvenes, teniendo en cuenta la diversidad de los jóvenes en toda Europa y los retos a los que se enfrentan;</w:t>
      </w:r>
    </w:p>
    <w:p w:rsidR="00EF5FA4" w:rsidRDefault="00EF5FA4" w:rsidP="00EF5FA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35.  </w:t>
      </w:r>
      <w:r w:rsidRPr="00CE25F5">
        <w:rPr>
          <w:rFonts w:ascii="Times New Roman" w:hAnsi="Times New Roman" w:cs="Times New Roman"/>
          <w:sz w:val="24"/>
          <w:szCs w:val="24"/>
        </w:rPr>
        <w:t>Encarga a su presidenta que transmita la presente Resolución al Consejo y a la Comisión</w:t>
      </w:r>
      <w:r>
        <w:rPr>
          <w:rFonts w:ascii="Times New Roman" w:hAnsi="Times New Roman" w:cs="Times New Roman"/>
          <w:sz w:val="24"/>
          <w:szCs w:val="24"/>
        </w:rPr>
        <w:t>.</w:t>
      </w:r>
    </w:p>
    <w:p w:rsidR="00EF5FA4" w:rsidRPr="001639AF" w:rsidRDefault="00151B4C" w:rsidP="00EF5FA4">
      <w:pPr>
        <w:spacing w:line="240" w:lineRule="auto"/>
        <w:jc w:val="both"/>
        <w:rPr>
          <w:rFonts w:ascii="Times New Roman" w:hAnsi="Times New Roman" w:cs="Times New Roman"/>
          <w:b/>
          <w:sz w:val="24"/>
          <w:szCs w:val="24"/>
        </w:rPr>
      </w:pPr>
      <w:r>
        <w:rPr>
          <w:rFonts w:ascii="Times New Roman" w:hAnsi="Times New Roman" w:cs="Times New Roman"/>
          <w:b/>
          <w:sz w:val="24"/>
          <w:szCs w:val="24"/>
        </w:rPr>
        <w:t>Nota: Con tantas</w:t>
      </w:r>
      <w:r w:rsidR="00EF5FA4" w:rsidRPr="001639AF">
        <w:rPr>
          <w:rFonts w:ascii="Times New Roman" w:hAnsi="Times New Roman" w:cs="Times New Roman"/>
          <w:b/>
          <w:sz w:val="24"/>
          <w:szCs w:val="24"/>
        </w:rPr>
        <w:t xml:space="preserve"> metas, acciones</w:t>
      </w:r>
      <w:r w:rsidR="00EF5FA4">
        <w:rPr>
          <w:rFonts w:ascii="Times New Roman" w:hAnsi="Times New Roman" w:cs="Times New Roman"/>
          <w:b/>
          <w:sz w:val="24"/>
          <w:szCs w:val="24"/>
        </w:rPr>
        <w:t xml:space="preserve"> y garantías… ¿por qué</w:t>
      </w:r>
      <w:r w:rsidR="00EF5FA4" w:rsidRPr="001639AF">
        <w:rPr>
          <w:rFonts w:ascii="Times New Roman" w:hAnsi="Times New Roman" w:cs="Times New Roman"/>
          <w:b/>
          <w:sz w:val="24"/>
          <w:szCs w:val="24"/>
        </w:rPr>
        <w:t xml:space="preserve"> no se resuelve el dilema del empleo en la juventud europea? ¿no habrá un problema de “modelo económico” (globalización, desindustrialización, librecambio)</w:t>
      </w:r>
      <w:r w:rsidR="00EF5FA4">
        <w:rPr>
          <w:rFonts w:ascii="Times New Roman" w:hAnsi="Times New Roman" w:cs="Times New Roman"/>
          <w:b/>
          <w:sz w:val="24"/>
          <w:szCs w:val="24"/>
        </w:rPr>
        <w:t xml:space="preserve">, en el origendel desempleo, el precariado, y </w:t>
      </w:r>
      <w:r w:rsidR="00EF5FA4" w:rsidRPr="001639AF">
        <w:rPr>
          <w:rFonts w:ascii="Times New Roman" w:hAnsi="Times New Roman" w:cs="Times New Roman"/>
          <w:b/>
          <w:sz w:val="24"/>
          <w:szCs w:val="24"/>
        </w:rPr>
        <w:t>la pérdida de ingresos?</w:t>
      </w:r>
      <w:r w:rsidR="00EF5FA4">
        <w:rPr>
          <w:rFonts w:ascii="Times New Roman" w:hAnsi="Times New Roman" w:cs="Times New Roman"/>
          <w:b/>
          <w:sz w:val="24"/>
          <w:szCs w:val="24"/>
        </w:rPr>
        <w:t xml:space="preserve"> ¿no será porque se deslocalizó el futuro laboral?</w:t>
      </w:r>
    </w:p>
    <w:p w:rsidR="00EF5FA4" w:rsidRDefault="00EF5FA4" w:rsidP="00EF5FA4">
      <w:pPr>
        <w:spacing w:line="240" w:lineRule="auto"/>
        <w:ind w:left="567" w:hanging="567"/>
        <w:jc w:val="both"/>
        <w:rPr>
          <w:rFonts w:ascii="Times New Roman" w:hAnsi="Times New Roman" w:cs="Times New Roman"/>
          <w:b/>
          <w:sz w:val="24"/>
          <w:szCs w:val="24"/>
        </w:rPr>
      </w:pPr>
      <w:r w:rsidRPr="00A86854">
        <w:rPr>
          <w:rFonts w:ascii="Times New Roman" w:hAnsi="Times New Roman" w:cs="Times New Roman"/>
          <w:b/>
          <w:sz w:val="24"/>
          <w:szCs w:val="24"/>
        </w:rPr>
        <w:lastRenderedPageBreak/>
        <w:t xml:space="preserve">- Entre el “meta-verso” (relato) y el desafío (reto) </w:t>
      </w:r>
    </w:p>
    <w:p w:rsidR="00EF5FA4" w:rsidRDefault="00EF5FA4" w:rsidP="00EF5FA4">
      <w:pPr>
        <w:spacing w:line="240" w:lineRule="auto"/>
        <w:ind w:left="567" w:hanging="567"/>
        <w:jc w:val="both"/>
        <w:rPr>
          <w:rFonts w:ascii="Times New Roman" w:hAnsi="Times New Roman" w:cs="Times New Roman"/>
          <w:b/>
          <w:sz w:val="24"/>
          <w:szCs w:val="24"/>
        </w:rPr>
      </w:pPr>
      <w:r>
        <w:rPr>
          <w:noProof/>
          <w:lang w:val="en-GB" w:eastAsia="zh-CN"/>
        </w:rPr>
        <w:drawing>
          <wp:inline distT="0" distB="0" distL="0" distR="0">
            <wp:extent cx="5732926" cy="3092450"/>
            <wp:effectExtent l="0" t="0" r="1270" b="0"/>
            <wp:docPr id="143" name="Imagen 143" descr="Fotos de Multitud celular, Imágenes de Multitud celular ⬇ Descargar |  Depositphot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otos de Multitud celular, Imágenes de Multitud celular ⬇ Descargar |  Depositphotos"/>
                    <pic:cNvPicPr>
                      <a:picLocks noChangeAspect="1" noChangeArrowheads="1"/>
                    </pic:cNvPicPr>
                  </pic:nvPicPr>
                  <pic:blipFill>
                    <a:blip r:embed="rId2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1510" cy="3091686"/>
                    </a:xfrm>
                    <a:prstGeom prst="rect">
                      <a:avLst/>
                    </a:prstGeom>
                    <a:noFill/>
                    <a:ln>
                      <a:noFill/>
                    </a:ln>
                  </pic:spPr>
                </pic:pic>
              </a:graphicData>
            </a:graphic>
          </wp:inline>
        </w:drawing>
      </w:r>
    </w:p>
    <w:p w:rsidR="00EF5FA4" w:rsidRPr="00A86854" w:rsidRDefault="00EF5FA4" w:rsidP="00EF5FA4">
      <w:pPr>
        <w:spacing w:line="240" w:lineRule="auto"/>
        <w:ind w:left="567" w:hanging="567"/>
        <w:jc w:val="both"/>
        <w:rPr>
          <w:rFonts w:ascii="Times New Roman" w:hAnsi="Times New Roman" w:cs="Times New Roman"/>
          <w:b/>
          <w:sz w:val="24"/>
          <w:szCs w:val="24"/>
        </w:rPr>
      </w:pPr>
      <w:r>
        <w:rPr>
          <w:noProof/>
          <w:lang w:val="en-GB" w:eastAsia="zh-CN"/>
        </w:rPr>
        <w:drawing>
          <wp:inline distT="0" distB="0" distL="0" distR="0">
            <wp:extent cx="5731925" cy="3136900"/>
            <wp:effectExtent l="0" t="0" r="2540" b="6350"/>
            <wp:docPr id="144" name="Imagen 144" descr="La rebelión de los 'Chalecos amarillos' se asoma a España en pleno debate  por el diés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La rebelión de los 'Chalecos amarillos' se asoma a España en pleno debate  por el diésel"/>
                    <pic:cNvPicPr>
                      <a:picLocks noChangeAspect="1" noChangeArrowheads="1"/>
                    </pic:cNvPicPr>
                  </pic:nvPicPr>
                  <pic:blipFill>
                    <a:blip r:embed="rId2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1510" cy="3136673"/>
                    </a:xfrm>
                    <a:prstGeom prst="rect">
                      <a:avLst/>
                    </a:prstGeom>
                    <a:noFill/>
                    <a:ln>
                      <a:noFill/>
                    </a:ln>
                  </pic:spPr>
                </pic:pic>
              </a:graphicData>
            </a:graphic>
          </wp:inline>
        </w:drawing>
      </w:r>
    </w:p>
    <w:p w:rsidR="00EF5FA4" w:rsidRPr="00750AD1" w:rsidRDefault="005C70F3" w:rsidP="00EF5FA4">
      <w:pPr>
        <w:spacing w:line="240" w:lineRule="auto"/>
        <w:jc w:val="both"/>
        <w:rPr>
          <w:rFonts w:ascii="Times New Roman" w:hAnsi="Times New Roman" w:cs="Times New Roman"/>
          <w:b/>
          <w:sz w:val="24"/>
          <w:szCs w:val="24"/>
        </w:rPr>
      </w:pPr>
      <w:r w:rsidRPr="00750AD1">
        <w:rPr>
          <w:rFonts w:ascii="Times New Roman" w:hAnsi="Times New Roman" w:cs="Times New Roman"/>
          <w:b/>
          <w:szCs w:val="24"/>
        </w:rPr>
        <w:t>Mirando estas fotos, s</w:t>
      </w:r>
      <w:r w:rsidR="00EF5FA4" w:rsidRPr="00750AD1">
        <w:rPr>
          <w:rFonts w:ascii="Times New Roman" w:hAnsi="Times New Roman" w:cs="Times New Roman"/>
          <w:b/>
          <w:szCs w:val="24"/>
        </w:rPr>
        <w:t xml:space="preserve">iento ganas de decir: ¡Ustedes eligen!: Si seguir con el chupete puesto, o enfrentar el reto. </w:t>
      </w:r>
      <w:r w:rsidR="00EF5FA4" w:rsidRPr="00750AD1">
        <w:rPr>
          <w:rFonts w:ascii="Times New Roman" w:hAnsi="Times New Roman" w:cs="Times New Roman"/>
          <w:b/>
          <w:sz w:val="24"/>
          <w:szCs w:val="24"/>
        </w:rPr>
        <w:t>Si seguir siendo un adicto a las nuevas tecnologías (y pedaleando para Uber Eats), o echarse las calles para volver a sentir las cosas (y gestionar su propia vida). Si seguir pastando en el presupuesto (pobrismo / clientelismo), o tener el valor de iniciar el camino de vuelta (aprender a vivir con la incertidumbre). Si seguir en el embote de las redes sociales (Facebook, Twitter</w:t>
      </w:r>
      <w:r w:rsidRPr="00750AD1">
        <w:rPr>
          <w:rFonts w:ascii="Times New Roman" w:hAnsi="Times New Roman" w:cs="Times New Roman"/>
          <w:b/>
          <w:sz w:val="24"/>
          <w:szCs w:val="24"/>
        </w:rPr>
        <w:t>, YouT</w:t>
      </w:r>
      <w:r w:rsidR="00EF5FA4" w:rsidRPr="00750AD1">
        <w:rPr>
          <w:rFonts w:ascii="Times New Roman" w:hAnsi="Times New Roman" w:cs="Times New Roman"/>
          <w:b/>
          <w:sz w:val="24"/>
          <w:szCs w:val="24"/>
        </w:rPr>
        <w:t>ube…), o darse la mano a uno mismo (para resistir la patadas que te arrojan fuera de la vida). Si seguir tragándose el meta-verso</w:t>
      </w:r>
      <w:r w:rsidRPr="00750AD1">
        <w:rPr>
          <w:rFonts w:ascii="Times New Roman" w:hAnsi="Times New Roman" w:cs="Times New Roman"/>
          <w:b/>
          <w:sz w:val="24"/>
          <w:szCs w:val="24"/>
        </w:rPr>
        <w:t xml:space="preserve"> oficial</w:t>
      </w:r>
      <w:r w:rsidR="00EF5FA4" w:rsidRPr="00750AD1">
        <w:rPr>
          <w:rFonts w:ascii="Times New Roman" w:hAnsi="Times New Roman" w:cs="Times New Roman"/>
          <w:b/>
          <w:sz w:val="24"/>
          <w:szCs w:val="24"/>
        </w:rPr>
        <w:t xml:space="preserve"> (relato), o perder el miedo al miedo (desafío). En definitiva</w:t>
      </w:r>
      <w:r w:rsidRPr="00750AD1">
        <w:rPr>
          <w:rFonts w:ascii="Times New Roman" w:hAnsi="Times New Roman" w:cs="Times New Roman"/>
          <w:b/>
          <w:sz w:val="24"/>
          <w:szCs w:val="24"/>
        </w:rPr>
        <w:t xml:space="preserve">… </w:t>
      </w:r>
      <w:r w:rsidR="00EF5FA4" w:rsidRPr="00750AD1">
        <w:rPr>
          <w:rFonts w:ascii="Times New Roman" w:hAnsi="Times New Roman" w:cs="Times New Roman"/>
          <w:b/>
          <w:sz w:val="24"/>
          <w:szCs w:val="24"/>
        </w:rPr>
        <w:t>si seguir siendo unos adolescentes eternos</w:t>
      </w:r>
      <w:r w:rsidRPr="00750AD1">
        <w:rPr>
          <w:rFonts w:ascii="Times New Roman" w:hAnsi="Times New Roman" w:cs="Times New Roman"/>
          <w:b/>
          <w:sz w:val="24"/>
          <w:szCs w:val="24"/>
        </w:rPr>
        <w:t xml:space="preserve"> (mirando pasar </w:t>
      </w:r>
      <w:r w:rsidR="00EF5FA4" w:rsidRPr="00750AD1">
        <w:rPr>
          <w:rFonts w:ascii="Times New Roman" w:hAnsi="Times New Roman" w:cs="Times New Roman"/>
          <w:b/>
          <w:sz w:val="24"/>
          <w:szCs w:val="24"/>
        </w:rPr>
        <w:t>la vida por TikTok), o despertar, aunque duela (resolviendo</w:t>
      </w:r>
      <w:r w:rsidRPr="00750AD1">
        <w:rPr>
          <w:rFonts w:ascii="Times New Roman" w:hAnsi="Times New Roman" w:cs="Times New Roman"/>
          <w:b/>
          <w:sz w:val="24"/>
          <w:szCs w:val="24"/>
        </w:rPr>
        <w:t xml:space="preserve"> qué</w:t>
      </w:r>
      <w:r w:rsidR="00EF5FA4" w:rsidRPr="00750AD1">
        <w:rPr>
          <w:rFonts w:ascii="Times New Roman" w:hAnsi="Times New Roman" w:cs="Times New Roman"/>
          <w:b/>
          <w:sz w:val="24"/>
          <w:szCs w:val="24"/>
        </w:rPr>
        <w:t xml:space="preserve"> quieren ser de mayores)… si seguir consumiendo historia (y ser olvidados), o producir historia (y ser recordados). </w:t>
      </w:r>
      <w:r w:rsidR="00CB1788">
        <w:rPr>
          <w:rFonts w:ascii="Times New Roman" w:hAnsi="Times New Roman" w:cs="Times New Roman"/>
          <w:b/>
          <w:sz w:val="24"/>
          <w:szCs w:val="24"/>
        </w:rPr>
        <w:t>“Parecer” o “ser”.</w:t>
      </w:r>
    </w:p>
    <w:p w:rsidR="005C70F3" w:rsidRDefault="00E431F8" w:rsidP="005C70F3">
      <w:pPr>
        <w:pStyle w:val="NormalWeb"/>
        <w:spacing w:after="300"/>
        <w:jc w:val="both"/>
        <w:textAlignment w:val="baseline"/>
        <w:rPr>
          <w:b/>
        </w:rPr>
      </w:pPr>
      <w:r>
        <w:rPr>
          <w:b/>
        </w:rPr>
        <w:lastRenderedPageBreak/>
        <w:t xml:space="preserve">“Maldita” hemeroteca: </w:t>
      </w:r>
      <w:r w:rsidR="00CB1788">
        <w:rPr>
          <w:b/>
        </w:rPr>
        <w:t>b</w:t>
      </w:r>
      <w:r w:rsidR="005C70F3">
        <w:rPr>
          <w:b/>
        </w:rPr>
        <w:t xml:space="preserve">reve “picoteo” sobre </w:t>
      </w:r>
      <w:r w:rsidR="005C70F3" w:rsidRPr="00CC546B">
        <w:rPr>
          <w:b/>
        </w:rPr>
        <w:t>el precariado y la descapitalización social</w:t>
      </w:r>
    </w:p>
    <w:p w:rsidR="005C70F3" w:rsidRDefault="005C70F3" w:rsidP="005C70F3">
      <w:pPr>
        <w:pStyle w:val="NormalWeb"/>
        <w:spacing w:after="300"/>
        <w:jc w:val="both"/>
        <w:textAlignment w:val="baseline"/>
      </w:pPr>
      <w:r>
        <w:t xml:space="preserve">- </w:t>
      </w:r>
      <w:r w:rsidRPr="00363D3C">
        <w:rPr>
          <w:u w:val="single"/>
        </w:rPr>
        <w:t>Cuando los hijos viven peor que los padres</w:t>
      </w:r>
      <w:r>
        <w:t xml:space="preserve"> (El País - </w:t>
      </w:r>
      <w:r w:rsidRPr="00E97FC2">
        <w:rPr>
          <w:b/>
        </w:rPr>
        <w:t>11/3/17</w:t>
      </w:r>
      <w:r>
        <w:t xml:space="preserve">) </w:t>
      </w:r>
    </w:p>
    <w:p w:rsidR="005C70F3" w:rsidRDefault="005C70F3" w:rsidP="005C70F3">
      <w:pPr>
        <w:pStyle w:val="NormalWeb"/>
        <w:spacing w:after="300"/>
        <w:jc w:val="both"/>
        <w:textAlignment w:val="baseline"/>
      </w:pPr>
      <w:r>
        <w:t>(Por Joaquín Estefanía)</w:t>
      </w:r>
    </w:p>
    <w:p w:rsidR="005C70F3" w:rsidRDefault="005C70F3" w:rsidP="005C70F3">
      <w:pPr>
        <w:pStyle w:val="NormalWeb"/>
        <w:spacing w:after="300"/>
        <w:jc w:val="both"/>
        <w:textAlignment w:val="baseline"/>
      </w:pPr>
      <w:r>
        <w:t>“Debemos dar a nuestros hijos más de lo que recibimos nosotros”, dice Jed Bartlet, el presidente de Estados Unidos en la mítica serie de televisión El ala oeste de la Casa Blanca, expresando así su idea del progreso. No ha ocurrido así en los últimos años. Al menos desde que comenzó la crisis económica a mitad del año 2007, el ascensor social ha dejado de funcionar para los jóvenes.</w:t>
      </w:r>
    </w:p>
    <w:p w:rsidR="005C70F3" w:rsidRDefault="005C70F3" w:rsidP="005C70F3">
      <w:pPr>
        <w:pStyle w:val="NormalWeb"/>
        <w:spacing w:after="300"/>
        <w:jc w:val="both"/>
        <w:textAlignment w:val="baseline"/>
      </w:pPr>
      <w:r>
        <w:t>Un día de principios de octubre de 2016, el principal titular del diario británico The Independent rezaba del siguiente modo: “Los niños de la era Thatcherˮ (1979-1990) tienen la mitad de la riqueza que la generación anterior”. La información se basaba en un estudio del Instituto de Estudios Fiscales. Las cifras que aportaba correspondían a la sociedad británica, pero la tendencia puede extrapolarse a la mayor parte de Europa, incluyendo a España. El primer sumario de la información era más expresivo aún: “Las personas nacidas en la década de los ochenta (los millennials) son la primera generación desde la posguerra que llega a los 30 años con ingresos menores que los nacidos en la década anterior”.</w:t>
      </w:r>
    </w:p>
    <w:p w:rsidR="005C70F3" w:rsidRDefault="005C70F3" w:rsidP="005C70F3">
      <w:pPr>
        <w:pStyle w:val="NormalWeb"/>
        <w:spacing w:after="300"/>
        <w:jc w:val="both"/>
        <w:textAlignment w:val="baseline"/>
      </w:pPr>
      <w:r>
        <w:t>Esta marcha atrás es propia de las generaciones más jóvenes, aunque no solo de ellas. Amplios sectores sociales sienten que muchas de las vigas centrales en las que se apoyaban sus vidas se han llenado de grietas: el empleo estable desaparece, los ingresos de toda una vida trabajando ya no están afianzados y quizá no puedan cobrar sus pensiones públicas o privadas, los pequeños negocios familiares corren el riesgo de quebrar, el valor de las casas cayó, las cualificaciones profesionales para las que tanto estudiaron caducan…</w:t>
      </w:r>
    </w:p>
    <w:p w:rsidR="005C70F3" w:rsidRDefault="005C70F3" w:rsidP="005C70F3">
      <w:pPr>
        <w:pStyle w:val="NormalWeb"/>
        <w:spacing w:after="300"/>
        <w:jc w:val="both"/>
        <w:textAlignment w:val="baseline"/>
      </w:pPr>
      <w:r>
        <w:t>Conclusión: se ha reducido la seguridad vital respecto a sus antecesores, la creencia de que las siguientes generaciones vivirán mejor que las actuales se ha puesto en cuestión. El caso de Reino Unido es escalofriante: en el momento en que llegan a sus treinta y pocos años, los nacidos en los ochenta, a la misma edad que los primeros, poseen aproximadamente la mitad de la riqueza que la que tenían los nacidos una década antes.</w:t>
      </w:r>
    </w:p>
    <w:p w:rsidR="005C70F3" w:rsidRDefault="005C70F3" w:rsidP="005C70F3">
      <w:pPr>
        <w:pStyle w:val="NormalWeb"/>
        <w:spacing w:after="300"/>
        <w:jc w:val="both"/>
        <w:textAlignment w:val="baseline"/>
      </w:pPr>
      <w:r>
        <w:t>Ello significa que el futuro ya está aquí. Se lleva casi una década -los años de las dificultades económicas- repitiendo como papagayos que en Europa, la zona más afectada por ellas, los hijos vivirán peor que sus antecesores, sin pararse a reflexionar suficientemente qué significa eso. Lo dicen mayoritariamente los ciudadanos en las encuestas, pero se ha hecho poco para corregir una tendencia de largo plazo. A partir de ahora no se trata ya solo de sondeos: también hay datos. Las marchas atrás en el bienestar deberían ser anomalías históricas, aunque desgraciadamente sean más frecuentes de lo que se desearía (causadas por los conflictos bélicos o económicos, las hambrunas, los accidentes naturales, las políticas equivocadas: lo que se denomina genéricamente “crisis”).</w:t>
      </w:r>
    </w:p>
    <w:p w:rsidR="005C70F3" w:rsidRDefault="005C70F3" w:rsidP="005C70F3">
      <w:pPr>
        <w:pStyle w:val="NormalWeb"/>
        <w:spacing w:after="300"/>
        <w:jc w:val="both"/>
        <w:textAlignment w:val="baseline"/>
      </w:pPr>
      <w:r>
        <w:t>En esta ocasión deberán pasar unos años más para corroborar si lo ocurrido entre dos generaciones consecutivas (la nuestra y la de nuestros hijos) es también otra anomalía histórica o algo más grave: que nuestros nietos también vivan peor que sus padres o que nosotros. ¿Accidente o tendencia? El historiador Niall Ferguson considera que “el mayor desafío que afrontan las democracias maduras es el de restaurar el contrato social entre generaciones”.</w:t>
      </w:r>
    </w:p>
    <w:p w:rsidR="005C70F3" w:rsidRDefault="005C70F3" w:rsidP="005C70F3">
      <w:pPr>
        <w:pStyle w:val="NormalWeb"/>
        <w:spacing w:after="300"/>
        <w:jc w:val="both"/>
        <w:textAlignment w:val="baseline"/>
      </w:pPr>
      <w:r>
        <w:lastRenderedPageBreak/>
        <w:t>Las similitudes de ahora con los años previos a la II Guerra Mundial son muy potentes, pero también lo son las diferencias. El historiador británico Richard J. Overy ha descrito con maestría el pastoso ambiente de crisis que se extendió en aquel tiempo sombrío, la amplia variedad y escala de las revueltas y conflictos, y la aguda sensación que abrigaban tantos ciudad</w:t>
      </w:r>
      <w:r w:rsidR="00BC563A">
        <w:t>anos -</w:t>
      </w:r>
      <w:r>
        <w:t>al revés que en los prol</w:t>
      </w:r>
      <w:r w:rsidR="00BC563A">
        <w:t>egómenos de la I Guerra Mundial-</w:t>
      </w:r>
      <w:r>
        <w:t xml:space="preserve"> de estar viviendo en una época de transición caótica y peligrosa en la que lo antiguo no acababa de morir y lo nuevo no terminaba de llegar. Las numerosas crisis y estallidos que se superpusieron provocaron una verdadera crisis moral. “En la década de los treinta”, escribe Overy, “las esperanzas optimistas de los años de la posguerra acerca de la restauración de la paz social y de la justicia internacional ya habían cedido paso a un sentimiento generalizado de malestar profundo, un reconocimiento angustiado de que el mundo se hallaba en una coyuntura crucial”.</w:t>
      </w:r>
    </w:p>
    <w:p w:rsidR="005C70F3" w:rsidRDefault="005C70F3" w:rsidP="005C70F3">
      <w:pPr>
        <w:pStyle w:val="NormalWeb"/>
        <w:spacing w:after="300"/>
        <w:jc w:val="both"/>
        <w:textAlignment w:val="baseline"/>
      </w:pPr>
      <w:r>
        <w:t>El escritor George Orwell, en su libro Subir a por aire, del año 1939, dice a través de su narrador: “Millones de otros como yo tienen la sensación de que el mundo va mal. Pueden sentir que las cosas se derrumban y crujen bajo sus pies”. ¿No resulta muy familiar en la actualidad esa sensación de malestar? La principal diferencia entre la década de los treinta del siglo pasado y la actual es, para bien y para mal, la globalización. Se debate su profundidad y la forma de gobernarla, el hecho de su deformidad cuando avanza mucho más en el terreno de la economía que en el de la política o en los derechos humanos, que no haya sido capaz de domeñar el problema global más urgente y peligroso para el conjunto de la humanidad, el cambio climático…, pero incluso los más críticos con ella son conscientes de que una vuelta a la autarquía sería una especie de suicidio del mundo.</w:t>
      </w:r>
    </w:p>
    <w:p w:rsidR="005C70F3" w:rsidRDefault="005C70F3" w:rsidP="005C70F3">
      <w:pPr>
        <w:pStyle w:val="NormalWeb"/>
        <w:spacing w:after="300"/>
        <w:jc w:val="both"/>
        <w:textAlignment w:val="baseline"/>
      </w:pPr>
      <w:r>
        <w:t>También existen otros instrumentos que no existían en los años treinta: un Estado de bienestar que sirve de colchón para las dificultades, que funciona en amplias zonas del mundo y que sirve de referencia para los países que no disponen de él; el concepto de derechos humanos universales e inalienables (con la Declaración Universal de 1948), o centenares de millones de personas con un nivel de instrucción inimaginable en aquellos años.</w:t>
      </w:r>
    </w:p>
    <w:p w:rsidR="005C70F3" w:rsidRDefault="005C70F3" w:rsidP="005C70F3">
      <w:pPr>
        <w:pStyle w:val="NormalWeb"/>
        <w:spacing w:after="300"/>
        <w:jc w:val="both"/>
        <w:textAlignment w:val="baseline"/>
      </w:pPr>
      <w:r>
        <w:t>La primera brecha que ha creado la crisis económica es la generacional. Los jóvenes son, con mucho, los que más han sufrido durante estos años los estragos de la crisis: el paro, la precarización, el apartheid salarial, la emigración para sobrevivir o, en el menos malo de los casos, para poder aplicar los conocimientos adquiridos, la mayor parte de las veces con dinero público, etcétera. Y como consecuencia de todo ello, la quiebra de sus expectativas de futuro, materiales o emocionales, que es la herida más lacerante de estos años bárbaros. El menosprecio por la juventud ha tenido como consecuencia una distribución desproporcionada en su contra de los costes de la crisis, lo que ha empujado a los componentes de esas cohortes de edad, en muchos casos, hacia los extremos de la sociedad.</w:t>
      </w:r>
    </w:p>
    <w:p w:rsidR="00BC563A" w:rsidRDefault="005C70F3" w:rsidP="005C70F3">
      <w:pPr>
        <w:pStyle w:val="NormalWeb"/>
        <w:spacing w:after="300"/>
        <w:jc w:val="both"/>
        <w:textAlignment w:val="baseline"/>
      </w:pPr>
      <w:r>
        <w:t>En la campaña electoral para ser presidente de Francia, en el año 2012, el socialista François Hollande declaró: “Si soy el próximo presidente, quiero ser evaluado por un único criterio: ¿viven los jóvenes mejor en 2017 que en 2012? Pido ser juzgado solo sobre ese compromiso, sobre esa verdad, sobre esa promesa”. A punto de terminar ese mandato, la historia no juzgará de modo favorable a Hollande.</w:t>
      </w:r>
    </w:p>
    <w:p w:rsidR="005C70F3" w:rsidRDefault="005C70F3" w:rsidP="005C70F3">
      <w:pPr>
        <w:pStyle w:val="NormalWeb"/>
        <w:spacing w:after="300"/>
        <w:jc w:val="both"/>
        <w:textAlignment w:val="baseline"/>
      </w:pPr>
      <w:r>
        <w:t>(</w:t>
      </w:r>
      <w:r w:rsidR="00BC563A">
        <w:t>Fragmento de “</w:t>
      </w:r>
      <w:r>
        <w:t>Abuelo, ¿cómo habéis consentido esto?</w:t>
      </w:r>
      <w:r w:rsidR="00BC563A">
        <w:t>”</w:t>
      </w:r>
      <w:r>
        <w:t>, de Joaquín Estefanía, Editorial Planeta)</w:t>
      </w:r>
    </w:p>
    <w:p w:rsidR="00BC563A" w:rsidRDefault="00BC563A" w:rsidP="00BC563A">
      <w:pPr>
        <w:pStyle w:val="NormalWeb"/>
        <w:spacing w:after="300"/>
        <w:jc w:val="both"/>
        <w:textAlignment w:val="baseline"/>
      </w:pPr>
      <w:r>
        <w:lastRenderedPageBreak/>
        <w:t xml:space="preserve">- </w:t>
      </w:r>
      <w:r>
        <w:rPr>
          <w:u w:val="single"/>
        </w:rPr>
        <w:t>Un estudio muestra que los “millennials”</w:t>
      </w:r>
      <w:r w:rsidRPr="00CC546B">
        <w:rPr>
          <w:u w:val="single"/>
        </w:rPr>
        <w:t xml:space="preserve"> ganan menos que sus padres a la misma edad</w:t>
      </w:r>
      <w:r>
        <w:t xml:space="preserve"> (El Economista - </w:t>
      </w:r>
      <w:r>
        <w:rPr>
          <w:b/>
        </w:rPr>
        <w:t>19/2/18</w:t>
      </w:r>
      <w:r>
        <w:t>)</w:t>
      </w:r>
    </w:p>
    <w:p w:rsidR="00BC563A" w:rsidRDefault="00BC563A" w:rsidP="00BC563A">
      <w:pPr>
        <w:pStyle w:val="NormalWeb"/>
        <w:spacing w:after="300"/>
        <w:jc w:val="both"/>
        <w:textAlignment w:val="baseline"/>
      </w:pPr>
      <w:r>
        <w:t>El auge de ingresos del que disfrutaron las personas nacidas entre 1966 y 1980 se ha convertido en una “caída” para la generación que les siguió, según un informe publicado el lunes. En un análisis de ocho países de altos ingresos, el centro de estudios Resolution Foundation descubrió que los millennials de poco más de 30 años de edad tienen ingresos familiares un 4% más bajos que los miembros de la llamada Generación X a la misma edad.</w:t>
      </w:r>
    </w:p>
    <w:p w:rsidR="00BC563A" w:rsidRDefault="00BC563A" w:rsidP="00BC563A">
      <w:pPr>
        <w:pStyle w:val="NormalWeb"/>
        <w:spacing w:after="300"/>
        <w:jc w:val="both"/>
        <w:textAlignment w:val="baseline"/>
      </w:pPr>
      <w:r>
        <w:t>Gran Bretaña y España son las más destacadas. En el Reino Unido, la Generación X estaba un 54% mejor que los baby boomers nacidos entre 1946 y 1965. Por el contrario, los millennials -nacidos entre 1980 y 2000- tenían ingresos solo un 6% más alto que los de la Generación X a la misma edad.</w:t>
      </w:r>
    </w:p>
    <w:p w:rsidR="00BC563A" w:rsidRDefault="00BC563A" w:rsidP="00BC563A">
      <w:pPr>
        <w:pStyle w:val="NormalWeb"/>
        <w:spacing w:after="300"/>
        <w:jc w:val="both"/>
        <w:textAlignment w:val="baseline"/>
      </w:pPr>
      <w:r>
        <w:t>El Reino Unido también se destaca por la caída en las tasas de propiedad de viviendas. Para los millennials entre 27 y 29 años, la cifra es del 33% en comparación con el 60% de los baby boomers a la misma edad. En Australia y Estados Unidos se registran menores descensos.</w:t>
      </w:r>
    </w:p>
    <w:p w:rsidR="00BC563A" w:rsidRDefault="00BC563A" w:rsidP="00BC563A">
      <w:pPr>
        <w:pStyle w:val="NormalWeb"/>
        <w:spacing w:after="300"/>
        <w:jc w:val="both"/>
        <w:textAlignment w:val="baseline"/>
      </w:pPr>
      <w:r>
        <w:t>“No es ningún secreto que la crisis financiera golpeó duramente a la gran mayoría de las economías avanzadas, retrasando el progreso de los ingresos de los millennials en países de todo el mundo”, dijo Daniel Tomlinson, analista político de Resolution Foundation. “Pero solo España se hace eco de la experiencia del Reino Unido, un ciclo de 'auge y caída' en el que aumentos significativos traspasados de generación en generación se han detenido para las generaciones más jóvenes”.</w:t>
      </w:r>
    </w:p>
    <w:p w:rsidR="00BC563A" w:rsidRDefault="00BC563A" w:rsidP="00BC563A">
      <w:pPr>
        <w:pStyle w:val="NormalWeb"/>
        <w:spacing w:after="300"/>
        <w:jc w:val="both"/>
        <w:textAlignment w:val="baseline"/>
      </w:pPr>
      <w:r>
        <w:t>Ajustado a la inflación, el salario para los millennials británicos ha caído un 13%, descenso superado solo por Grecia, según estimaciones del centro de estudios.</w:t>
      </w:r>
    </w:p>
    <w:p w:rsidR="00BC563A" w:rsidRPr="00C65C70" w:rsidRDefault="00BC563A" w:rsidP="00BC563A">
      <w:pPr>
        <w:pStyle w:val="NormalWeb"/>
        <w:spacing w:before="0" w:beforeAutospacing="0" w:after="300" w:afterAutospacing="0"/>
        <w:jc w:val="both"/>
        <w:textAlignment w:val="baseline"/>
      </w:pPr>
      <w:r>
        <w:t>En cuanto a otros países, Resolution Foundation dijo que Estados Unidos y Alemania habían registrado aumentos mínimos de generación en generación. Los ingresos representativos para los estadounidenses que se acercan a los 50 años no son más altos para los nacidos a fines de la década de los sesenta que para los nacidos en la década de los veinte. Sin embargo, Noruega y Dinamarca han tenido un mayor avance y Dinamarca lo ha logrado a pesar de experimentar una recesión tan profunda como la de Estados Unidos durante la crisis financiera.</w:t>
      </w:r>
    </w:p>
    <w:p w:rsidR="00BC563A" w:rsidRPr="00CC546B" w:rsidRDefault="00BC563A" w:rsidP="00BC563A">
      <w:pPr>
        <w:spacing w:line="240" w:lineRule="auto"/>
        <w:jc w:val="both"/>
        <w:rPr>
          <w:rFonts w:ascii="Times New Roman" w:hAnsi="Times New Roman" w:cs="Times New Roman"/>
          <w:sz w:val="24"/>
          <w:szCs w:val="24"/>
          <w:lang w:eastAsia="es-ES"/>
        </w:rPr>
      </w:pPr>
      <w:r>
        <w:rPr>
          <w:rFonts w:ascii="Times New Roman" w:hAnsi="Times New Roman" w:cs="Times New Roman"/>
          <w:sz w:val="24"/>
          <w:szCs w:val="24"/>
          <w:lang w:eastAsia="es-ES"/>
        </w:rPr>
        <w:t xml:space="preserve">- </w:t>
      </w:r>
      <w:r w:rsidRPr="00CC546B">
        <w:rPr>
          <w:rFonts w:ascii="Times New Roman" w:hAnsi="Times New Roman" w:cs="Times New Roman"/>
          <w:sz w:val="24"/>
          <w:szCs w:val="24"/>
          <w:lang w:eastAsia="es-ES"/>
        </w:rPr>
        <w:t>¿</w:t>
      </w:r>
      <w:r w:rsidRPr="00CC546B">
        <w:rPr>
          <w:rFonts w:ascii="Times New Roman" w:hAnsi="Times New Roman" w:cs="Times New Roman"/>
          <w:sz w:val="24"/>
          <w:szCs w:val="24"/>
          <w:u w:val="single"/>
          <w:lang w:eastAsia="es-ES"/>
        </w:rPr>
        <w:t>Por qué los jóvenes vivirán peor que sus padres</w:t>
      </w:r>
      <w:r w:rsidRPr="00CC546B">
        <w:rPr>
          <w:rFonts w:ascii="Times New Roman" w:hAnsi="Times New Roman" w:cs="Times New Roman"/>
          <w:sz w:val="24"/>
          <w:szCs w:val="24"/>
          <w:lang w:eastAsia="es-ES"/>
        </w:rPr>
        <w:t>?</w:t>
      </w:r>
      <w:r>
        <w:rPr>
          <w:rFonts w:ascii="Times New Roman" w:hAnsi="Times New Roman" w:cs="Times New Roman"/>
          <w:sz w:val="24"/>
          <w:szCs w:val="24"/>
          <w:lang w:eastAsia="es-ES"/>
        </w:rPr>
        <w:t xml:space="preserve"> (El País - </w:t>
      </w:r>
      <w:r w:rsidRPr="00CC546B">
        <w:rPr>
          <w:rFonts w:ascii="Times New Roman" w:hAnsi="Times New Roman" w:cs="Times New Roman"/>
          <w:b/>
          <w:sz w:val="24"/>
          <w:szCs w:val="24"/>
          <w:lang w:eastAsia="es-ES"/>
        </w:rPr>
        <w:t>12/11/18</w:t>
      </w:r>
      <w:r>
        <w:rPr>
          <w:rFonts w:ascii="Times New Roman" w:hAnsi="Times New Roman" w:cs="Times New Roman"/>
          <w:sz w:val="24"/>
          <w:szCs w:val="24"/>
          <w:lang w:eastAsia="es-ES"/>
        </w:rPr>
        <w:t>)</w:t>
      </w:r>
    </w:p>
    <w:p w:rsidR="00BC563A" w:rsidRPr="00CC546B" w:rsidRDefault="00BC563A" w:rsidP="00BC563A">
      <w:pPr>
        <w:spacing w:line="240" w:lineRule="auto"/>
        <w:jc w:val="both"/>
        <w:rPr>
          <w:rFonts w:ascii="Times New Roman" w:hAnsi="Times New Roman" w:cs="Times New Roman"/>
          <w:sz w:val="24"/>
          <w:szCs w:val="24"/>
          <w:lang w:eastAsia="es-ES"/>
        </w:rPr>
      </w:pPr>
      <w:r>
        <w:rPr>
          <w:rFonts w:ascii="Times New Roman" w:hAnsi="Times New Roman" w:cs="Times New Roman"/>
          <w:sz w:val="24"/>
          <w:szCs w:val="24"/>
          <w:lang w:eastAsia="es-ES"/>
        </w:rPr>
        <w:t xml:space="preserve">(Por </w:t>
      </w:r>
      <w:r w:rsidRPr="00CC546B">
        <w:rPr>
          <w:rFonts w:ascii="Times New Roman" w:hAnsi="Times New Roman" w:cs="Times New Roman"/>
          <w:sz w:val="24"/>
          <w:szCs w:val="24"/>
          <w:lang w:eastAsia="es-ES"/>
        </w:rPr>
        <w:t>Miguel Ángel García Vega</w:t>
      </w:r>
      <w:r>
        <w:rPr>
          <w:rFonts w:ascii="Times New Roman" w:hAnsi="Times New Roman" w:cs="Times New Roman"/>
          <w:sz w:val="24"/>
          <w:szCs w:val="24"/>
          <w:lang w:eastAsia="es-ES"/>
        </w:rPr>
        <w:t>)</w:t>
      </w:r>
    </w:p>
    <w:p w:rsidR="00BC563A" w:rsidRPr="00CC546B" w:rsidRDefault="00BC563A" w:rsidP="00BC563A">
      <w:pPr>
        <w:spacing w:line="240" w:lineRule="auto"/>
        <w:jc w:val="both"/>
        <w:rPr>
          <w:rFonts w:ascii="Times New Roman" w:hAnsi="Times New Roman" w:cs="Times New Roman"/>
          <w:sz w:val="24"/>
          <w:szCs w:val="24"/>
          <w:lang w:eastAsia="es-ES"/>
        </w:rPr>
      </w:pPr>
      <w:r w:rsidRPr="00CC546B">
        <w:rPr>
          <w:rFonts w:ascii="Times New Roman" w:hAnsi="Times New Roman" w:cs="Times New Roman"/>
          <w:sz w:val="24"/>
          <w:szCs w:val="24"/>
          <w:lang w:eastAsia="es-ES"/>
        </w:rPr>
        <w:t>Existe una fractura. Algunos la pueden recorrer con las yemas de los dedos. Otros conviven todos los días con ella. Atravesamos tiempos de inequidad. En los salarios, en la riqueza, en el mercado laboral, en la educación, en el hogar; en la existencia. Una desigualdad que hiende dos generaciones. Los jóvenes frente a los mayores. Diríase que el pacto generacional, que durante décadas conectó a ambos grupos, está entretejido hoy por hilos de seda. Los jóvenes, y sus bajos salarios, están haciendo un esfuerzo inmenso por sostener a 8,7 millones de pensionistas que cobran 9,6 millones de pensiones. Esta es la tarea que, como Sísifo, 4,7 millones de chicos y chicas de hasta 34 años repiten día tras día d</w:t>
      </w:r>
      <w:r>
        <w:rPr>
          <w:rFonts w:ascii="Times New Roman" w:hAnsi="Times New Roman" w:cs="Times New Roman"/>
          <w:sz w:val="24"/>
          <w:szCs w:val="24"/>
          <w:lang w:eastAsia="es-ES"/>
        </w:rPr>
        <w:t>esde antes de la Gran Recesión.</w:t>
      </w:r>
    </w:p>
    <w:p w:rsidR="00BC563A" w:rsidRPr="00CC546B" w:rsidRDefault="00BC563A" w:rsidP="00BC563A">
      <w:pPr>
        <w:spacing w:line="240" w:lineRule="auto"/>
        <w:jc w:val="both"/>
        <w:rPr>
          <w:rFonts w:ascii="Times New Roman" w:hAnsi="Times New Roman" w:cs="Times New Roman"/>
          <w:sz w:val="24"/>
          <w:szCs w:val="24"/>
          <w:lang w:eastAsia="es-ES"/>
        </w:rPr>
      </w:pPr>
      <w:r w:rsidRPr="00CC546B">
        <w:rPr>
          <w:rFonts w:ascii="Times New Roman" w:hAnsi="Times New Roman" w:cs="Times New Roman"/>
          <w:sz w:val="24"/>
          <w:szCs w:val="24"/>
          <w:lang w:eastAsia="es-ES"/>
        </w:rPr>
        <w:lastRenderedPageBreak/>
        <w:t>Las palabras se reparten a ambos lados del abismo. En un extremo, Walter Scheidel, profesor de Humanidades en la Universidad de Stanford (California), sostiene que la inequidad solo puede resolverse por uno de los “cuatro jinetes de la desolación: la guerra, la revolución, el colapso del Estado o la peste”. Esta visión apocalíptica la defiende con la misma determinación que una frase sin comas. “Resulta muy difícil afrontar este problema por medios pacíficos”, avisa el docente. “Desde 2000, muchos países de América Latina han reducido la desigualdad por vías no violentas, pero no está claro que este proceso sea sostenible en el tiempo. En otros lugares fueron necesarios estallidos como las guerras mundiales, la Gran Depresión y las revoluciones comunistas para que cambiara la distribución de las rentas y las riquezas. Las políticas del bienestar de la posguerra e</w:t>
      </w:r>
      <w:r w:rsidR="00750AD1">
        <w:rPr>
          <w:rFonts w:ascii="Times New Roman" w:hAnsi="Times New Roman" w:cs="Times New Roman"/>
          <w:sz w:val="24"/>
          <w:szCs w:val="24"/>
          <w:lang w:eastAsia="es-ES"/>
        </w:rPr>
        <w:t xml:space="preserve">staban muy enraizadas en estos </w:t>
      </w:r>
      <w:r w:rsidRPr="00CC546B">
        <w:rPr>
          <w:rFonts w:ascii="Times New Roman" w:hAnsi="Times New Roman" w:cs="Times New Roman"/>
          <w:sz w:val="24"/>
          <w:szCs w:val="24"/>
          <w:lang w:eastAsia="es-ES"/>
        </w:rPr>
        <w:t>shocks”, recuerda. Hoy el mundo parece haber empeorado. La desregulación, los robots y un planeta global amplían la fractura entre tener y no tener.</w:t>
      </w:r>
    </w:p>
    <w:p w:rsidR="00BC563A" w:rsidRPr="00CC546B" w:rsidRDefault="00BC563A" w:rsidP="00BC563A">
      <w:pPr>
        <w:spacing w:line="240" w:lineRule="auto"/>
        <w:jc w:val="both"/>
        <w:rPr>
          <w:rFonts w:ascii="Times New Roman" w:hAnsi="Times New Roman" w:cs="Times New Roman"/>
          <w:sz w:val="24"/>
          <w:szCs w:val="24"/>
          <w:lang w:eastAsia="es-ES"/>
        </w:rPr>
      </w:pPr>
      <w:r w:rsidRPr="00CC546B">
        <w:rPr>
          <w:rFonts w:ascii="Times New Roman" w:hAnsi="Times New Roman" w:cs="Times New Roman"/>
          <w:sz w:val="24"/>
          <w:szCs w:val="24"/>
          <w:lang w:eastAsia="es-ES"/>
        </w:rPr>
        <w:t>Otras voces miran esta hendidura e irrumpen en la discusión. Ian Goldin, profesor de Globalización y Desarrollo en la Universidad de Oxford, admite esta batalla entre generaciones, cuya tierra baldía es la desigualdad. E intuye un futuro yermo para uno de los dos bandos. “Los jóvenes tendrán que soportar impuestos más altos para pagar las pensiones y el cuidado de los mayores. Y estos apoyarán menos a sus hijos en educación, consumo o vivienda. Los ancianos se van a aferrar a sus casas durante más tiempo y los inmuebles se revalorizarán. ¿Consecuencia? Los mayores serán más ricos que los jó</w:t>
      </w:r>
      <w:r>
        <w:rPr>
          <w:rFonts w:ascii="Times New Roman" w:hAnsi="Times New Roman" w:cs="Times New Roman"/>
          <w:sz w:val="24"/>
          <w:szCs w:val="24"/>
          <w:lang w:eastAsia="es-ES"/>
        </w:rPr>
        <w:t>venes”.</w:t>
      </w:r>
    </w:p>
    <w:p w:rsidR="00BC563A" w:rsidRDefault="00BC563A" w:rsidP="00BC563A">
      <w:pPr>
        <w:spacing w:line="240" w:lineRule="auto"/>
        <w:jc w:val="both"/>
        <w:rPr>
          <w:rFonts w:ascii="Times New Roman" w:hAnsi="Times New Roman" w:cs="Times New Roman"/>
          <w:sz w:val="24"/>
          <w:szCs w:val="24"/>
          <w:lang w:eastAsia="es-ES"/>
        </w:rPr>
      </w:pPr>
      <w:r w:rsidRPr="00CC546B">
        <w:rPr>
          <w:rFonts w:ascii="Times New Roman" w:hAnsi="Times New Roman" w:cs="Times New Roman"/>
          <w:sz w:val="24"/>
          <w:szCs w:val="24"/>
          <w:lang w:eastAsia="es-ES"/>
        </w:rPr>
        <w:t>Nada de esto sucedería sin ese destino insobornable que es la demografía. España es una tierra envejecida. En 2033, uno de cada cuatro españoles tendrá 65 años o más. Mientras, el país seguirá sufriendo una de las tasas de natalidad más bajas del mundo (1,31 niños por cada mujer) junto a una esperanza de vida que supera los 80 años. Este desequilibrio obliga a las personas mayores a ahorrar más. Y como los rendimientos son muy bajos, exige un gran esfuerzo. Porque más ahorro obligado de ancianos y jóvenes frena el consumo y rale</w:t>
      </w:r>
      <w:r>
        <w:rPr>
          <w:rFonts w:ascii="Times New Roman" w:hAnsi="Times New Roman" w:cs="Times New Roman"/>
          <w:sz w:val="24"/>
          <w:szCs w:val="24"/>
          <w:lang w:eastAsia="es-ES"/>
        </w:rPr>
        <w:t>ntiza el crecimiento económico.</w:t>
      </w:r>
    </w:p>
    <w:p w:rsidR="00BC563A" w:rsidRPr="00CC546B" w:rsidRDefault="00BC563A" w:rsidP="00BC563A">
      <w:pPr>
        <w:spacing w:line="240" w:lineRule="auto"/>
        <w:jc w:val="both"/>
        <w:rPr>
          <w:rFonts w:ascii="Times New Roman" w:hAnsi="Times New Roman" w:cs="Times New Roman"/>
          <w:sz w:val="24"/>
          <w:szCs w:val="24"/>
          <w:lang w:eastAsia="es-ES"/>
        </w:rPr>
      </w:pPr>
      <w:r>
        <w:rPr>
          <w:noProof/>
          <w:lang w:val="en-GB" w:eastAsia="zh-CN"/>
        </w:rPr>
        <w:drawing>
          <wp:inline distT="0" distB="0" distL="0" distR="0">
            <wp:extent cx="3943350" cy="2609850"/>
            <wp:effectExtent l="0" t="0" r="0" b="0"/>
            <wp:docPr id="104" name="Imagen 104" descr="https://imagenes.elpais.com/resizer/QXvkMHZdACcEzMam57A8s9GJbGo=/414x0/arc-anglerfish-eu-central-1-prod-prisa.s3.amazonaws.com/public/FLAN7LX4BHBZ7NILAGKJZK7E3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imagenes.elpais.com/resizer/QXvkMHZdACcEzMam57A8s9GJbGo=/414x0/arc-anglerfish-eu-central-1-prod-prisa.s3.amazonaws.com/public/FLAN7LX4BHBZ7NILAGKJZK7E3M.png"/>
                    <pic:cNvPicPr>
                      <a:picLocks noChangeAspect="1" noChangeArrowheads="1"/>
                    </pic:cNvPicPr>
                  </pic:nvPicPr>
                  <pic:blipFill>
                    <a:blip r:embed="rId2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943350" cy="2609850"/>
                    </a:xfrm>
                    <a:prstGeom prst="rect">
                      <a:avLst/>
                    </a:prstGeom>
                    <a:noFill/>
                    <a:ln>
                      <a:noFill/>
                    </a:ln>
                  </pic:spPr>
                </pic:pic>
              </a:graphicData>
            </a:graphic>
          </wp:inline>
        </w:drawing>
      </w:r>
    </w:p>
    <w:p w:rsidR="00BC563A" w:rsidRPr="00CC546B" w:rsidRDefault="00BC563A" w:rsidP="00BC563A">
      <w:pPr>
        <w:spacing w:line="240" w:lineRule="auto"/>
        <w:jc w:val="both"/>
        <w:rPr>
          <w:rFonts w:ascii="Times New Roman" w:hAnsi="Times New Roman" w:cs="Times New Roman"/>
          <w:sz w:val="24"/>
          <w:szCs w:val="24"/>
          <w:lang w:eastAsia="es-ES"/>
        </w:rPr>
      </w:pPr>
      <w:r w:rsidRPr="00CC546B">
        <w:rPr>
          <w:rFonts w:ascii="Times New Roman" w:hAnsi="Times New Roman" w:cs="Times New Roman"/>
          <w:sz w:val="24"/>
          <w:szCs w:val="24"/>
          <w:lang w:eastAsia="es-ES"/>
        </w:rPr>
        <w:t>Crecer en la fragilidad</w:t>
      </w:r>
    </w:p>
    <w:p w:rsidR="00BC563A" w:rsidRPr="00CC546B" w:rsidRDefault="00BC563A" w:rsidP="00BC563A">
      <w:pPr>
        <w:spacing w:line="240" w:lineRule="auto"/>
        <w:jc w:val="both"/>
        <w:rPr>
          <w:rFonts w:ascii="Times New Roman" w:hAnsi="Times New Roman" w:cs="Times New Roman"/>
          <w:sz w:val="24"/>
          <w:szCs w:val="24"/>
          <w:lang w:eastAsia="es-ES"/>
        </w:rPr>
      </w:pPr>
      <w:r w:rsidRPr="00CC546B">
        <w:rPr>
          <w:rFonts w:ascii="Times New Roman" w:hAnsi="Times New Roman" w:cs="Times New Roman"/>
          <w:sz w:val="24"/>
          <w:szCs w:val="24"/>
          <w:lang w:eastAsia="es-ES"/>
        </w:rPr>
        <w:t xml:space="preserve">“La generación que paga las pensiones es mucho más pequeña que la que la recibe”, reflexiona el consejero de uno de los principales bancos españoles, quien pide no ser citado. Y esa generación se ha criado en la fragilidad. Es la que más ha sufrido la crisis, la que tiene salarios más bajos y la precariedad durmiendo en casa. Es </w:t>
      </w:r>
      <w:r>
        <w:rPr>
          <w:rFonts w:ascii="Times New Roman" w:hAnsi="Times New Roman" w:cs="Times New Roman"/>
          <w:sz w:val="24"/>
          <w:szCs w:val="24"/>
          <w:lang w:eastAsia="es-ES"/>
        </w:rPr>
        <w:t>el terreno millennial. En 2015 -relata el Banco Mundial-</w:t>
      </w:r>
      <w:r w:rsidRPr="00CC546B">
        <w:rPr>
          <w:rFonts w:ascii="Times New Roman" w:hAnsi="Times New Roman" w:cs="Times New Roman"/>
          <w:sz w:val="24"/>
          <w:szCs w:val="24"/>
          <w:lang w:eastAsia="es-ES"/>
        </w:rPr>
        <w:t xml:space="preserve"> los contratos temporales que firmaron los trabajadores franceses y </w:t>
      </w:r>
      <w:r w:rsidRPr="00CC546B">
        <w:rPr>
          <w:rFonts w:ascii="Times New Roman" w:hAnsi="Times New Roman" w:cs="Times New Roman"/>
          <w:sz w:val="24"/>
          <w:szCs w:val="24"/>
          <w:lang w:eastAsia="es-ES"/>
        </w:rPr>
        <w:lastRenderedPageBreak/>
        <w:t>holandeses de entre 15 y 24 años representaron cerca del 50%. “Los jóvenes tendrán que trabajar más años y disfrutarán de menos ahorros para financiar sus pensiones a pesar de estar activos más tiempo que las generaciones precedentes”, advierte el organismo internacional.</w:t>
      </w:r>
    </w:p>
    <w:p w:rsidR="00BC563A" w:rsidRPr="00CC546B" w:rsidRDefault="00BC563A" w:rsidP="00BC563A">
      <w:pPr>
        <w:spacing w:line="240" w:lineRule="auto"/>
        <w:jc w:val="both"/>
        <w:rPr>
          <w:rFonts w:ascii="Times New Roman" w:hAnsi="Times New Roman" w:cs="Times New Roman"/>
          <w:sz w:val="24"/>
          <w:szCs w:val="24"/>
          <w:lang w:eastAsia="es-ES"/>
        </w:rPr>
      </w:pPr>
      <w:r w:rsidRPr="00CC546B">
        <w:rPr>
          <w:rFonts w:ascii="Times New Roman" w:hAnsi="Times New Roman" w:cs="Times New Roman"/>
          <w:sz w:val="24"/>
          <w:szCs w:val="24"/>
          <w:lang w:eastAsia="es-ES"/>
        </w:rPr>
        <w:t xml:space="preserve">Algunos ya viven ese futuro y es tan inquietante como un océano sin orilla. Casi 8 de </w:t>
      </w:r>
      <w:r>
        <w:rPr>
          <w:rFonts w:ascii="Times New Roman" w:hAnsi="Times New Roman" w:cs="Times New Roman"/>
          <w:sz w:val="24"/>
          <w:szCs w:val="24"/>
          <w:lang w:eastAsia="es-ES"/>
        </w:rPr>
        <w:t>cada 10 trabajadores españoles -asegura el Banco Mundial-</w:t>
      </w:r>
      <w:r w:rsidRPr="00CC546B">
        <w:rPr>
          <w:rFonts w:ascii="Times New Roman" w:hAnsi="Times New Roman" w:cs="Times New Roman"/>
          <w:sz w:val="24"/>
          <w:szCs w:val="24"/>
          <w:lang w:eastAsia="es-ES"/>
        </w:rPr>
        <w:t xml:space="preserve"> entre 20 y 24 años tienen un empleo temporal o a tiempo parcial. La ratio más alta de Europa. Y la desigualdad en los salarios “ha crecido mucho”. El índice que lo mide, el coeficiente de Gini, ha pasado del 0,32 en 1990 al 0,40 durante 2013. ¿</w:t>
      </w:r>
      <w:r>
        <w:rPr>
          <w:rFonts w:ascii="Times New Roman" w:hAnsi="Times New Roman" w:cs="Times New Roman"/>
          <w:sz w:val="24"/>
          <w:szCs w:val="24"/>
          <w:lang w:eastAsia="es-ES"/>
        </w:rPr>
        <w:t>Estas</w:t>
      </w:r>
      <w:r w:rsidRPr="00CC546B">
        <w:rPr>
          <w:rFonts w:ascii="Times New Roman" w:hAnsi="Times New Roman" w:cs="Times New Roman"/>
          <w:sz w:val="24"/>
          <w:szCs w:val="24"/>
          <w:lang w:eastAsia="es-ES"/>
        </w:rPr>
        <w:t xml:space="preserve"> generaciones, que sobreviven como funambulistas sobre el alambre de lo precario, pueden sostener el siste</w:t>
      </w:r>
      <w:r>
        <w:rPr>
          <w:rFonts w:ascii="Times New Roman" w:hAnsi="Times New Roman" w:cs="Times New Roman"/>
          <w:sz w:val="24"/>
          <w:szCs w:val="24"/>
          <w:lang w:eastAsia="es-ES"/>
        </w:rPr>
        <w:t>ma de pensiones de los mayores?</w:t>
      </w:r>
    </w:p>
    <w:p w:rsidR="00BC563A" w:rsidRPr="00CC546B" w:rsidRDefault="00BC563A" w:rsidP="00BC563A">
      <w:pPr>
        <w:spacing w:line="240" w:lineRule="auto"/>
        <w:jc w:val="both"/>
        <w:rPr>
          <w:rFonts w:ascii="Times New Roman" w:hAnsi="Times New Roman" w:cs="Times New Roman"/>
          <w:sz w:val="24"/>
          <w:szCs w:val="24"/>
          <w:lang w:eastAsia="es-ES"/>
        </w:rPr>
      </w:pPr>
      <w:r w:rsidRPr="00CC546B">
        <w:rPr>
          <w:rFonts w:ascii="Times New Roman" w:hAnsi="Times New Roman" w:cs="Times New Roman"/>
          <w:sz w:val="24"/>
          <w:szCs w:val="24"/>
          <w:lang w:eastAsia="es-ES"/>
        </w:rPr>
        <w:t>Desde luego, si lo logran, será con un enorme trabajo. Los economistas del banco UBS han analizado esta brecha y les ha resultado imposible extraer poemas de sus números. “Desde la actualidad y hasta 2045, el gasto público en dependencia, sanidad y pensiones aumentará un 80% en términos reales y consumirá un 3,8% más del PIB, hasta superar el 23%”, calcula Roberto Scholtes, estratega jefe en España de la entidad. Esta cascada de porcentajes conduce a una reducción del gasto del Estado “en I+D, educación e infraestructuras, que son las partidas que antes se recortan en una crisis y donde históricamente se ha creado más futuro para los jóvenes”, matiza Scholtes. Ni jugando con blancas ­Bobby Fischer hubiera podido firmar tablas en esta partida. “Con una deuda pública del 98,2% de la riqueza del país y un déficit del 2,7% no habrá recursos suficientes para cubrir el agujero de las pensiones vía Presupuestos”, alerta Antonio Rodríguez, profesor de la Escuela de</w:t>
      </w:r>
      <w:r>
        <w:rPr>
          <w:rFonts w:ascii="Times New Roman" w:hAnsi="Times New Roman" w:cs="Times New Roman"/>
          <w:sz w:val="24"/>
          <w:szCs w:val="24"/>
          <w:lang w:eastAsia="es-ES"/>
        </w:rPr>
        <w:t xml:space="preserve"> Organización Industrial (EOI).</w:t>
      </w:r>
    </w:p>
    <w:p w:rsidR="00BC563A" w:rsidRPr="00CC546B" w:rsidRDefault="00BC563A" w:rsidP="00BC563A">
      <w:pPr>
        <w:spacing w:line="240" w:lineRule="auto"/>
        <w:jc w:val="both"/>
        <w:rPr>
          <w:rFonts w:ascii="Times New Roman" w:hAnsi="Times New Roman" w:cs="Times New Roman"/>
          <w:sz w:val="24"/>
          <w:szCs w:val="24"/>
          <w:lang w:eastAsia="es-ES"/>
        </w:rPr>
      </w:pPr>
      <w:r w:rsidRPr="00CC546B">
        <w:rPr>
          <w:rFonts w:ascii="Times New Roman" w:hAnsi="Times New Roman" w:cs="Times New Roman"/>
          <w:sz w:val="24"/>
          <w:szCs w:val="24"/>
          <w:lang w:eastAsia="es-ES"/>
        </w:rPr>
        <w:t>Sometido a esta tensión, ¿cómo hallar una aritmética del equilibrio? “El sistema actual, tal y como está diseñado, favorece a los pensionistas y, si no existe una redistribución del esfuerzo a medio plazo, la carga seguirá concentrada en las generaciones jóvenes”, avisa Miguel Cardoso, economista jefe de España y Portugal de BBVA Research. Esta nueva cartografía económica y social pasa “por aumentar la edad de jubilación y reducir la ratio entre pensión y último salario”. Porque no se puede desviar la mirada de la vida cotidiana. La inequidad es una nieve perpetua en millones de hogares. España es junto con Grecia el cuarto país de la Unión Europea con una mayor desigualdad de ingresos entre sus habitantes. El 20% de la población con mayores recursos recibe 6,6 veces más ingresos que el 20% con menos rentas. El país es una fractura abierta y cualquier comparación entre generaciones aumenta el dolor y la herida. Lo dicen las palabras, lo cuentan los números. CaixaBank Research ha comparado la riqueza neta (activos financieros e inmobiliarios menos deudas) de los jóvenes españoles y ha descubierto que cada generación que pasa se empobrece. En el caso de los millennials, su riqueza es de 3.000 euros frente a los 63.400 euros que acumulaban los chicos de la generación anterior cuando tenían la misma edad.</w:t>
      </w:r>
    </w:p>
    <w:p w:rsidR="00BC563A" w:rsidRPr="00CC546B" w:rsidRDefault="00BC563A" w:rsidP="00BC563A">
      <w:pPr>
        <w:spacing w:line="240" w:lineRule="auto"/>
        <w:jc w:val="both"/>
        <w:rPr>
          <w:rFonts w:ascii="Times New Roman" w:hAnsi="Times New Roman" w:cs="Times New Roman"/>
          <w:sz w:val="24"/>
          <w:szCs w:val="24"/>
          <w:lang w:eastAsia="es-ES"/>
        </w:rPr>
      </w:pPr>
      <w:r w:rsidRPr="00CC546B">
        <w:rPr>
          <w:rFonts w:ascii="Times New Roman" w:hAnsi="Times New Roman" w:cs="Times New Roman"/>
          <w:sz w:val="24"/>
          <w:szCs w:val="24"/>
          <w:lang w:eastAsia="es-ES"/>
        </w:rPr>
        <w:t>La gran diferencia es tener, o no, una casa. Porque suele ser el activo más valioso. “Un 44% de los hogares millennials tiene su vivienda en propiedad comparado con el 65% de la generación X (nacidos entre 1966 y 1980)”, afirma Javier García Arenas, economista de CaixaBank Research. Sin casa, sin capacidad de ahorro (solo el 10,6% posee un plan de pensiones), atrapados en empleos temporales, reducidas bases de cotización a la Seguridad Social y con la certeza de que vivir será un oficio de renuncias, ¿qué pueden hacer? ¿Enfrentarse a los m</w:t>
      </w:r>
      <w:r>
        <w:rPr>
          <w:rFonts w:ascii="Times New Roman" w:hAnsi="Times New Roman" w:cs="Times New Roman"/>
          <w:sz w:val="24"/>
          <w:szCs w:val="24"/>
          <w:lang w:eastAsia="es-ES"/>
        </w:rPr>
        <w:t>ayores por un reparto distinto?</w:t>
      </w:r>
    </w:p>
    <w:p w:rsidR="00BC563A" w:rsidRPr="00CC546B" w:rsidRDefault="00BC563A" w:rsidP="00BC563A">
      <w:pPr>
        <w:spacing w:line="240" w:lineRule="auto"/>
        <w:jc w:val="both"/>
        <w:rPr>
          <w:rFonts w:ascii="Times New Roman" w:hAnsi="Times New Roman" w:cs="Times New Roman"/>
          <w:sz w:val="24"/>
          <w:szCs w:val="24"/>
          <w:lang w:eastAsia="es-ES"/>
        </w:rPr>
      </w:pPr>
      <w:r w:rsidRPr="00CC546B">
        <w:rPr>
          <w:rFonts w:ascii="Times New Roman" w:hAnsi="Times New Roman" w:cs="Times New Roman"/>
          <w:sz w:val="24"/>
          <w:szCs w:val="24"/>
          <w:lang w:eastAsia="es-ES"/>
        </w:rPr>
        <w:t>Planteamiento interesado</w:t>
      </w:r>
    </w:p>
    <w:p w:rsidR="00BC563A" w:rsidRPr="00CC546B" w:rsidRDefault="00BC563A" w:rsidP="00BC563A">
      <w:pPr>
        <w:spacing w:line="240" w:lineRule="auto"/>
        <w:jc w:val="both"/>
        <w:rPr>
          <w:rFonts w:ascii="Times New Roman" w:hAnsi="Times New Roman" w:cs="Times New Roman"/>
          <w:sz w:val="24"/>
          <w:szCs w:val="24"/>
          <w:lang w:eastAsia="es-ES"/>
        </w:rPr>
      </w:pPr>
      <w:r w:rsidRPr="00CC546B">
        <w:rPr>
          <w:rFonts w:ascii="Times New Roman" w:hAnsi="Times New Roman" w:cs="Times New Roman"/>
          <w:sz w:val="24"/>
          <w:szCs w:val="24"/>
          <w:lang w:eastAsia="es-ES"/>
        </w:rPr>
        <w:t xml:space="preserve">El aire que separa a ambas generaciones se ha transformado en gas natural. Aunque, por ahora, la deflagración queda lejos. “No existe una guerra intergeneracional, es un </w:t>
      </w:r>
      <w:r w:rsidRPr="00CC546B">
        <w:rPr>
          <w:rFonts w:ascii="Times New Roman" w:hAnsi="Times New Roman" w:cs="Times New Roman"/>
          <w:sz w:val="24"/>
          <w:szCs w:val="24"/>
          <w:lang w:eastAsia="es-ES"/>
        </w:rPr>
        <w:lastRenderedPageBreak/>
        <w:t>planteamiento interesado que se está promoviendo desde la bancada conservadora y ciertos servicios de estudios, sobre todo de bancos, a quienes les conviene bastante transmitir el mensaje de que el sistema público de pensiones no resulta sostenible y hay que comercializar planes privados”, critica Carlos Martín, jefe del gabinete económico de CC OO. “También circula esa otra idea de que los empleados indefinidos, con contratos fijos, le roban el trabajo a los temporales, que suelen ser gente joven. Es otro discurso dirigido a reducir aún más los</w:t>
      </w:r>
      <w:r>
        <w:rPr>
          <w:rFonts w:ascii="Times New Roman" w:hAnsi="Times New Roman" w:cs="Times New Roman"/>
          <w:sz w:val="24"/>
          <w:szCs w:val="24"/>
          <w:lang w:eastAsia="es-ES"/>
        </w:rPr>
        <w:t xml:space="preserve"> derechos de los trabajadores”.</w:t>
      </w:r>
    </w:p>
    <w:p w:rsidR="00BC563A" w:rsidRPr="00CC546B" w:rsidRDefault="00BC563A" w:rsidP="00BC563A">
      <w:pPr>
        <w:spacing w:line="240" w:lineRule="auto"/>
        <w:jc w:val="both"/>
        <w:rPr>
          <w:rFonts w:ascii="Times New Roman" w:hAnsi="Times New Roman" w:cs="Times New Roman"/>
          <w:sz w:val="24"/>
          <w:szCs w:val="24"/>
          <w:lang w:eastAsia="es-ES"/>
        </w:rPr>
      </w:pPr>
      <w:r w:rsidRPr="00CC546B">
        <w:rPr>
          <w:rFonts w:ascii="Times New Roman" w:hAnsi="Times New Roman" w:cs="Times New Roman"/>
          <w:sz w:val="24"/>
          <w:szCs w:val="24"/>
          <w:lang w:eastAsia="es-ES"/>
        </w:rPr>
        <w:t>Resulta irresponsable jugar a debilitar el sistema de pensiones. Ha sido la columna vertebral de la solidaridad entre generaciones. Miles de jubilados han mantenido a sus hijos y nietos con sus pagas durante los años más ciegos de la crisis. Es la defensa de un pacto tácito. Los trabajadores abonan sus cotizaciones hoy porque esperan recibirlas en el futuro. Si se quiebra esa confianza, habrá otra fractura. “El problema”, narra el economista José Carlos Díez, “es que con los salarios precarios de los jóvenes solo se pagan pensiones bajas. Sin embargo, esos ingresos no son culpa de los pensionistas. La culpa es de la crisis, de la reforma laboral de 2012 y de la escasa capacidad tecnológica e innovadora de buena parte de las empresas españolas”.</w:t>
      </w:r>
    </w:p>
    <w:p w:rsidR="00BC563A" w:rsidRPr="00CC546B" w:rsidRDefault="00BC563A" w:rsidP="00BC563A">
      <w:pPr>
        <w:spacing w:line="240" w:lineRule="auto"/>
        <w:jc w:val="both"/>
        <w:rPr>
          <w:rFonts w:ascii="Times New Roman" w:hAnsi="Times New Roman" w:cs="Times New Roman"/>
          <w:sz w:val="24"/>
          <w:szCs w:val="24"/>
          <w:lang w:eastAsia="es-ES"/>
        </w:rPr>
      </w:pPr>
      <w:r w:rsidRPr="00CC546B">
        <w:rPr>
          <w:rFonts w:ascii="Times New Roman" w:hAnsi="Times New Roman" w:cs="Times New Roman"/>
          <w:sz w:val="24"/>
          <w:szCs w:val="24"/>
          <w:lang w:eastAsia="es-ES"/>
        </w:rPr>
        <w:t>Pero en este viaje, los chicos se han ido dejando por las esquinas de la vida no solo jirones de ingresos, sino también relevancia política. Los casi nueve millones de pensionistas se han convertido en un actor social que abre los telediarios. “Los jubilados manejan mayor poder político que los jóvenes. Estos defienden unos intereses muy dispersos mientras los mayores tienen claro frente a quién reclamar: el Estado, y qué exigir: la revalorización de sus pensiones”, observa Carmen González, investigadora principal del Real Instituto Elcano.</w:t>
      </w:r>
    </w:p>
    <w:p w:rsidR="00BC563A" w:rsidRPr="00CC546B" w:rsidRDefault="00BC563A" w:rsidP="00BC563A">
      <w:pPr>
        <w:spacing w:line="240" w:lineRule="auto"/>
        <w:jc w:val="both"/>
        <w:rPr>
          <w:rFonts w:ascii="Times New Roman" w:hAnsi="Times New Roman" w:cs="Times New Roman"/>
          <w:sz w:val="24"/>
          <w:szCs w:val="24"/>
          <w:lang w:eastAsia="es-ES"/>
        </w:rPr>
      </w:pPr>
      <w:r w:rsidRPr="00CC546B">
        <w:rPr>
          <w:rFonts w:ascii="Times New Roman" w:hAnsi="Times New Roman" w:cs="Times New Roman"/>
          <w:sz w:val="24"/>
          <w:szCs w:val="24"/>
          <w:lang w:eastAsia="es-ES"/>
        </w:rPr>
        <w:t>Los políticos saben cuáles son los mensajes que calan en esta generación encanecida que acude más a las urnas que los jóvenes. Por eso, estos chicos sienten que tienen el peso y la levedad de la paja. “A medida que los adultos de edad avanzada dominen cada vez más la política, convirtiéndose en una parte mayor de la población que vota, harán todo lo posible para asegurarse de que los Gobiernos atienden sus necesidades en lugar de las de los jóvenes”, avisa el profesor de Oxford Ian Goldin. Entonces acuden preguntas que jamás nos habíamos hecho y tampoco contestado. “¿Hay solidaridad de los mayores con los chicos para que tengan un sueldo digno que les permita vivir autónomamente?”, se cuestiona Francisco Abad, fundador de la consultora Empresa y Sociedad. José Antonio Herce, director asociado de Analistas Financieros Internacionales (AFI), propone un adverbio duro: “No”. “Son profundamente egoístas e insolidarios en muchas de sus manifestaciones. Bloquean los escalafones profe</w:t>
      </w:r>
      <w:r>
        <w:rPr>
          <w:rFonts w:ascii="Times New Roman" w:hAnsi="Times New Roman" w:cs="Times New Roman"/>
          <w:sz w:val="24"/>
          <w:szCs w:val="24"/>
          <w:lang w:eastAsia="es-ES"/>
        </w:rPr>
        <w:t>sionales en todas las empresas -</w:t>
      </w:r>
      <w:r w:rsidRPr="00CC546B">
        <w:rPr>
          <w:rFonts w:ascii="Times New Roman" w:hAnsi="Times New Roman" w:cs="Times New Roman"/>
          <w:sz w:val="24"/>
          <w:szCs w:val="24"/>
          <w:lang w:eastAsia="es-ES"/>
        </w:rPr>
        <w:t>quie</w:t>
      </w:r>
      <w:r>
        <w:rPr>
          <w:rFonts w:ascii="Times New Roman" w:hAnsi="Times New Roman" w:cs="Times New Roman"/>
          <w:sz w:val="24"/>
          <w:szCs w:val="24"/>
          <w:lang w:eastAsia="es-ES"/>
        </w:rPr>
        <w:t>ren morir con las botas puestas-</w:t>
      </w:r>
      <w:r w:rsidRPr="00CC546B">
        <w:rPr>
          <w:rFonts w:ascii="Times New Roman" w:hAnsi="Times New Roman" w:cs="Times New Roman"/>
          <w:sz w:val="24"/>
          <w:szCs w:val="24"/>
          <w:lang w:eastAsia="es-ES"/>
        </w:rPr>
        <w:t xml:space="preserve"> y exigen un aumento de las pensiones, cuya deuda cargan a las espaldas de los chicos”. Sin embargo, este es un mundo poblado de grises. “No le corresponde a los mayores ser solidarios con el sueldo de los jóvenes, sino a estos formarse para ser más productivos”, matiza Herce. De hecho, el experto estima que alrededor de un 20% de los 109.000 millones de euros que se ingresaron por cotizaciones el año pasado correspondieron a trabajadores menores de 35 años. “Estas aportaciones son las que les están ayudando a comprar sus propios derechos a recibir una pensión, aunque sirvan también para financ</w:t>
      </w:r>
      <w:r>
        <w:rPr>
          <w:rFonts w:ascii="Times New Roman" w:hAnsi="Times New Roman" w:cs="Times New Roman"/>
          <w:sz w:val="24"/>
          <w:szCs w:val="24"/>
          <w:lang w:eastAsia="es-ES"/>
        </w:rPr>
        <w:t>iar la de sus padres”, precisa.</w:t>
      </w:r>
    </w:p>
    <w:p w:rsidR="00BC563A" w:rsidRPr="00CC546B" w:rsidRDefault="00BC563A" w:rsidP="00BC563A">
      <w:pPr>
        <w:spacing w:line="240" w:lineRule="auto"/>
        <w:jc w:val="both"/>
        <w:rPr>
          <w:rFonts w:ascii="Times New Roman" w:hAnsi="Times New Roman" w:cs="Times New Roman"/>
          <w:sz w:val="24"/>
          <w:szCs w:val="24"/>
          <w:lang w:eastAsia="es-ES"/>
        </w:rPr>
      </w:pPr>
      <w:r w:rsidRPr="00CC546B">
        <w:rPr>
          <w:rFonts w:ascii="Times New Roman" w:hAnsi="Times New Roman" w:cs="Times New Roman"/>
          <w:sz w:val="24"/>
          <w:szCs w:val="24"/>
          <w:lang w:eastAsia="es-ES"/>
        </w:rPr>
        <w:t xml:space="preserve">Arrinconados en este horizonte de menos trascendencia política, pensiones más bajas, contratos de trabajo inestables, bajos ingresos y reducidas cotizaciones a la Seguridad Social, el destino parece aguardar a los jóvenes emboscado tras la esquina del tiempo. Y retorna una sensación que había desaparecido desde hace décadas: su futuro dependerá más de la renta de sus padres que de su propio esfuerzo. Esto se siente sobre todo en los pupitres. ¿O no? “Es </w:t>
      </w:r>
      <w:r w:rsidRPr="00CC546B">
        <w:rPr>
          <w:rFonts w:ascii="Times New Roman" w:hAnsi="Times New Roman" w:cs="Times New Roman"/>
          <w:sz w:val="24"/>
          <w:szCs w:val="24"/>
          <w:lang w:eastAsia="es-ES"/>
        </w:rPr>
        <w:lastRenderedPageBreak/>
        <w:t>una enorme exageración que se acerca a la mentira”, critica Julio Carabaña, catedrático emérito de Sociología de la Universidad Complutense de Madrid. “La idea de que los muy ricos procuran una educación de élite a sus hijos es una reflexión de hace 30 años. Al contrario, la formación se ha democratizado. Jamás, por ejemplo, ha habido tantos jóvenes estudiando en escuelas de negocios. Los padres no pesan más, sino menos que nunca”. Sin embargo, vivimos una época donde demasiadas veces el esfuerzo de los hijos lo suplen las posibilidades de los progenitores. Los jóvenes acomodados seguirán disfrutando de las ventajas de siempre. Sus familiares les ayudarán a comprar su primera casa o a formarse en encerados de élite. Se agudiza la diferencia de clases. Un retroceso histórico. Pese a todo, Julio Carabaña siente que la hendidura se abre por otro extremo. “Si existe una brecha es a fav</w:t>
      </w:r>
      <w:r>
        <w:rPr>
          <w:rFonts w:ascii="Times New Roman" w:hAnsi="Times New Roman" w:cs="Times New Roman"/>
          <w:sz w:val="24"/>
          <w:szCs w:val="24"/>
          <w:lang w:eastAsia="es-ES"/>
        </w:rPr>
        <w:t>or de los jóvenes. Los mayores (de 64 años)</w:t>
      </w:r>
      <w:r w:rsidRPr="00CC546B">
        <w:rPr>
          <w:rFonts w:ascii="Times New Roman" w:hAnsi="Times New Roman" w:cs="Times New Roman"/>
          <w:sz w:val="24"/>
          <w:szCs w:val="24"/>
          <w:lang w:eastAsia="es-ES"/>
        </w:rPr>
        <w:t xml:space="preserve"> han conseguido por primera vez que las pensiones medias sean i</w:t>
      </w:r>
      <w:r>
        <w:rPr>
          <w:rFonts w:ascii="Times New Roman" w:hAnsi="Times New Roman" w:cs="Times New Roman"/>
          <w:sz w:val="24"/>
          <w:szCs w:val="24"/>
          <w:lang w:eastAsia="es-ES"/>
        </w:rPr>
        <w:t>guales que los ingresos medios (unos 16.000 euros al año)</w:t>
      </w:r>
      <w:r w:rsidRPr="00CC546B">
        <w:rPr>
          <w:rFonts w:ascii="Times New Roman" w:hAnsi="Times New Roman" w:cs="Times New Roman"/>
          <w:sz w:val="24"/>
          <w:szCs w:val="24"/>
          <w:lang w:eastAsia="es-ES"/>
        </w:rPr>
        <w:t xml:space="preserve"> de las personas activas. Algunos pensionistas han tomado carrerilla y quieren más, pero ese es otro tema”, valora.</w:t>
      </w:r>
    </w:p>
    <w:p w:rsidR="00BC563A" w:rsidRPr="00CC546B" w:rsidRDefault="00BC563A" w:rsidP="00BC563A">
      <w:pPr>
        <w:spacing w:line="240" w:lineRule="auto"/>
        <w:jc w:val="both"/>
        <w:rPr>
          <w:rFonts w:ascii="Times New Roman" w:hAnsi="Times New Roman" w:cs="Times New Roman"/>
          <w:sz w:val="24"/>
          <w:szCs w:val="24"/>
          <w:lang w:eastAsia="es-ES"/>
        </w:rPr>
      </w:pPr>
      <w:r w:rsidRPr="00CC546B">
        <w:rPr>
          <w:rFonts w:ascii="Times New Roman" w:hAnsi="Times New Roman" w:cs="Times New Roman"/>
          <w:sz w:val="24"/>
          <w:szCs w:val="24"/>
          <w:lang w:eastAsia="es-ES"/>
        </w:rPr>
        <w:t>Ajenos a la velocidad de esos jardines, los jóvenes esperan que les rescate el paso del tiempo. Su futuro, en parte, es heredar. Confiar en esa incierta contabilidad venidera. “¿Cuántas casas de sus padres les corresponden a estos chicos?”, se pregunta Carabaña. “Todo el capital acumulado lo heredarán generaciones de solo 300.000 individuos”. Otra cuestión es cuándo. “Muchos van a heredar, pero con más de 60 años, y además, aunque el 80% tenga vivienda en propiedad, no resulta fácil hacerla líquida”, responde Luis Ayala, catedrático de Economía en la Universidad Rey Juan Carlos. Solamente en América del Norte se espera un trasvase de 30 billones de dólares (26 billones de euros) en las próximas tres décadas. Pero bastantes herederos tendrán que acorazarse en la paciencia. Un trabajo de UBS Financial Services reveló que el 53% de las personas con más de un millón de dólares en activos para invertir es</w:t>
      </w:r>
      <w:r>
        <w:rPr>
          <w:rFonts w:ascii="Times New Roman" w:hAnsi="Times New Roman" w:cs="Times New Roman"/>
          <w:sz w:val="24"/>
          <w:szCs w:val="24"/>
          <w:lang w:eastAsia="es-ES"/>
        </w:rPr>
        <w:t>pera vivir hasta los cien años.</w:t>
      </w:r>
    </w:p>
    <w:p w:rsidR="00BC563A" w:rsidRPr="00CC546B" w:rsidRDefault="00BC563A" w:rsidP="00BC563A">
      <w:pPr>
        <w:spacing w:line="240" w:lineRule="auto"/>
        <w:jc w:val="both"/>
        <w:rPr>
          <w:rFonts w:ascii="Times New Roman" w:hAnsi="Times New Roman" w:cs="Times New Roman"/>
          <w:sz w:val="24"/>
          <w:szCs w:val="24"/>
          <w:lang w:eastAsia="es-ES"/>
        </w:rPr>
      </w:pPr>
      <w:r w:rsidRPr="00CC546B">
        <w:rPr>
          <w:rFonts w:ascii="Times New Roman" w:hAnsi="Times New Roman" w:cs="Times New Roman"/>
          <w:sz w:val="24"/>
          <w:szCs w:val="24"/>
          <w:lang w:eastAsia="es-ES"/>
        </w:rPr>
        <w:t xml:space="preserve">Bajo este soportal de sombras alargadas, donde la relación entre tiempo, edad y dinero parece ser el patio de recreo de una única generación, aparecen propuestas que reinterpretan el problema. El think tank británico Resolution Foundation plantea dar una “herencia de ciudadanía” de 10.000 libras (11.360 euros) a todos los ciudadanos británicos cuando cumplan 25 años. Esto limitaría la fractura entre generaciones. El uso del dinero está restringido a adquirir o alquilar una vivienda, crear una empresa o abrir un plan de pensiones. El informe acumula peso en sus páginas. El trabajo ha tardado dos años en completarse y propone cerca de 35 medidas. Saben lo que se juegan. “Permitir que siga aumentando la brecha en la riqueza británica sería un desastre para la movilidad social”, apunta Laura Gardiner, directora de investigación del centro. Una vez más, la vivienda es el rey Sol y casi todo gira a su alrededor. Allí y en España. “Los flujos de renta alimentan el patrimonio y cuando son bajos no puedes tener una casa en propiedad”, relata Luis Molina, miembro de Economistas Frente a la Crisis. Y esto es trascendente: “La vivienda es lo que ha permitido a un pensionista con 600 euros dedicar todo </w:t>
      </w:r>
      <w:r>
        <w:rPr>
          <w:rFonts w:ascii="Times New Roman" w:hAnsi="Times New Roman" w:cs="Times New Roman"/>
          <w:sz w:val="24"/>
          <w:szCs w:val="24"/>
          <w:lang w:eastAsia="es-ES"/>
        </w:rPr>
        <w:t>su dinero a gastos corrientes”.</w:t>
      </w:r>
    </w:p>
    <w:p w:rsidR="00BC563A" w:rsidRPr="00CC546B" w:rsidRDefault="00BC563A" w:rsidP="00BC563A">
      <w:pPr>
        <w:spacing w:line="240" w:lineRule="auto"/>
        <w:jc w:val="both"/>
        <w:rPr>
          <w:rFonts w:ascii="Times New Roman" w:hAnsi="Times New Roman" w:cs="Times New Roman"/>
          <w:sz w:val="24"/>
          <w:szCs w:val="24"/>
          <w:lang w:eastAsia="es-ES"/>
        </w:rPr>
      </w:pPr>
      <w:r w:rsidRPr="00CC546B">
        <w:rPr>
          <w:rFonts w:ascii="Times New Roman" w:hAnsi="Times New Roman" w:cs="Times New Roman"/>
          <w:sz w:val="24"/>
          <w:szCs w:val="24"/>
          <w:lang w:eastAsia="es-ES"/>
        </w:rPr>
        <w:t>Pero este poderoso relato de una fractura entre generaciones también deja desigualdades internas. En España, la pensión media de jubilación de un hombre es de 1.232 euros. Mucho más alta que la de una mujer: 781 euros. Son los datos del Instituto Nacional de la Seguridad Social del año pasado. Es decir, los hombres cobran, de promedio, un 57% más que las mujeres. Estos suelen tener carreras más largas, sueldos superiores y bases de cotización más altas. Todo un retrato de una sociedad injusta, con un cielo de cristal que pa</w:t>
      </w:r>
      <w:r>
        <w:rPr>
          <w:rFonts w:ascii="Times New Roman" w:hAnsi="Times New Roman" w:cs="Times New Roman"/>
          <w:sz w:val="24"/>
          <w:szCs w:val="24"/>
          <w:lang w:eastAsia="es-ES"/>
        </w:rPr>
        <w:t>ra ellas todavía parece sólido.</w:t>
      </w:r>
    </w:p>
    <w:p w:rsidR="00BC563A" w:rsidRPr="00CC546B" w:rsidRDefault="00BC563A" w:rsidP="00BC563A">
      <w:pPr>
        <w:spacing w:line="240" w:lineRule="auto"/>
        <w:jc w:val="both"/>
        <w:rPr>
          <w:rFonts w:ascii="Times New Roman" w:hAnsi="Times New Roman" w:cs="Times New Roman"/>
          <w:sz w:val="24"/>
          <w:szCs w:val="24"/>
          <w:lang w:eastAsia="es-ES"/>
        </w:rPr>
      </w:pPr>
      <w:r w:rsidRPr="00CC546B">
        <w:rPr>
          <w:rFonts w:ascii="Times New Roman" w:hAnsi="Times New Roman" w:cs="Times New Roman"/>
          <w:sz w:val="24"/>
          <w:szCs w:val="24"/>
          <w:lang w:eastAsia="es-ES"/>
        </w:rPr>
        <w:lastRenderedPageBreak/>
        <w:t>Sin embargo, lejos de la demografía, la deuda pública, las estadísticas, la econometría; lejos de generaciones más o menos comprometidas con el destino de los otros, quizá a todo este desencuentro entre jóvenes y mayores se responde con un verso de Antonio Machado: “Lleva el que</w:t>
      </w:r>
      <w:r>
        <w:rPr>
          <w:rFonts w:ascii="Times New Roman" w:hAnsi="Times New Roman" w:cs="Times New Roman"/>
          <w:sz w:val="24"/>
          <w:szCs w:val="24"/>
          <w:lang w:eastAsia="es-ES"/>
        </w:rPr>
        <w:t xml:space="preserve"> deja y vive el que ha vivido”.</w:t>
      </w:r>
    </w:p>
    <w:p w:rsidR="00BC563A" w:rsidRPr="00CC546B" w:rsidRDefault="00BC563A" w:rsidP="00BC563A">
      <w:pPr>
        <w:spacing w:line="240" w:lineRule="auto"/>
        <w:jc w:val="both"/>
        <w:rPr>
          <w:rFonts w:ascii="Times New Roman" w:hAnsi="Times New Roman" w:cs="Times New Roman"/>
          <w:sz w:val="24"/>
          <w:szCs w:val="24"/>
          <w:lang w:eastAsia="es-ES"/>
        </w:rPr>
      </w:pPr>
      <w:r w:rsidRPr="00CC546B">
        <w:rPr>
          <w:rFonts w:ascii="Times New Roman" w:hAnsi="Times New Roman" w:cs="Times New Roman"/>
          <w:sz w:val="24"/>
          <w:szCs w:val="24"/>
          <w:lang w:eastAsia="es-ES"/>
        </w:rPr>
        <w:t>Retar al viejo orden político</w:t>
      </w:r>
    </w:p>
    <w:p w:rsidR="00BC563A" w:rsidRPr="00C65C70" w:rsidRDefault="00BC563A" w:rsidP="00BC563A">
      <w:pPr>
        <w:spacing w:line="240" w:lineRule="auto"/>
        <w:jc w:val="both"/>
        <w:rPr>
          <w:rFonts w:ascii="Times New Roman" w:hAnsi="Times New Roman" w:cs="Times New Roman"/>
          <w:sz w:val="24"/>
          <w:szCs w:val="24"/>
          <w:lang w:eastAsia="es-ES"/>
        </w:rPr>
      </w:pPr>
      <w:r w:rsidRPr="00CC546B">
        <w:rPr>
          <w:rFonts w:ascii="Times New Roman" w:hAnsi="Times New Roman" w:cs="Times New Roman"/>
          <w:sz w:val="24"/>
          <w:szCs w:val="24"/>
          <w:lang w:eastAsia="es-ES"/>
        </w:rPr>
        <w:t>Reino Unido y España se reflejan en idéntico espejo. En 2000, el gasto medio de los hogares británicos era de 386 libras (439 euros) por semana. Hoy anda en 554 (630 euros). Un aumento del 44%. Pero esta subida ha sido muy desigual entre los grupos sociales. Aquellos que tienen menos de 50 años han incrementado su cesta un 35%, pero quienes superan los 65 lo han hecho el 84%. La gran diferencia es que los mayores tienen casas en propiedad. Al igual que en España, “los hogares se han convertido en un tema generacional, con votantes jóvenes apoyando soluciones más radicales para que las viviendas sean asequibles mientras los viejos propietarios se preocupan, sobre todo, por mantener el precio de sus inmuebles”, resume Andy Green, profesor de la University College de Londres (UCL). Y si en una década los chicos siguen estancados, “entonces podría emerger una poderosa alianza electoral de estos grupos sociales y retar el poder del viejo electorado”, vaticina Green.</w:t>
      </w:r>
    </w:p>
    <w:p w:rsidR="00BC563A" w:rsidRPr="00E97FC2" w:rsidRDefault="00BC563A" w:rsidP="00BC563A">
      <w:pPr>
        <w:spacing w:line="240" w:lineRule="auto"/>
        <w:jc w:val="both"/>
        <w:rPr>
          <w:rFonts w:ascii="Times New Roman" w:hAnsi="Times New Roman" w:cs="Times New Roman"/>
          <w:sz w:val="24"/>
          <w:szCs w:val="24"/>
          <w:lang w:eastAsia="es-ES"/>
        </w:rPr>
      </w:pPr>
      <w:r>
        <w:rPr>
          <w:rFonts w:ascii="Times New Roman" w:hAnsi="Times New Roman" w:cs="Times New Roman"/>
          <w:sz w:val="24"/>
          <w:szCs w:val="24"/>
          <w:lang w:eastAsia="es-ES"/>
        </w:rPr>
        <w:t xml:space="preserve">- </w:t>
      </w:r>
      <w:r w:rsidRPr="00E97FC2">
        <w:rPr>
          <w:rFonts w:ascii="Times New Roman" w:hAnsi="Times New Roman" w:cs="Times New Roman"/>
          <w:sz w:val="24"/>
          <w:szCs w:val="24"/>
          <w:lang w:eastAsia="es-ES"/>
        </w:rPr>
        <w:t>¿</w:t>
      </w:r>
      <w:r w:rsidRPr="00E97FC2">
        <w:rPr>
          <w:rFonts w:ascii="Times New Roman" w:hAnsi="Times New Roman" w:cs="Times New Roman"/>
          <w:sz w:val="24"/>
          <w:szCs w:val="24"/>
          <w:u w:val="single"/>
          <w:lang w:eastAsia="es-ES"/>
        </w:rPr>
        <w:t>Viven hoy los jóvenes peor que sus padres</w:t>
      </w:r>
      <w:r w:rsidRPr="00E97FC2">
        <w:rPr>
          <w:rFonts w:ascii="Times New Roman" w:hAnsi="Times New Roman" w:cs="Times New Roman"/>
          <w:sz w:val="24"/>
          <w:szCs w:val="24"/>
          <w:lang w:eastAsia="es-ES"/>
        </w:rPr>
        <w:t>?</w:t>
      </w:r>
      <w:r>
        <w:rPr>
          <w:rFonts w:ascii="Times New Roman" w:hAnsi="Times New Roman" w:cs="Times New Roman"/>
          <w:sz w:val="24"/>
          <w:szCs w:val="24"/>
          <w:lang w:eastAsia="es-ES"/>
        </w:rPr>
        <w:t xml:space="preserve"> (La Vanguardia - </w:t>
      </w:r>
      <w:r w:rsidRPr="00E97FC2">
        <w:rPr>
          <w:rFonts w:ascii="Times New Roman" w:hAnsi="Times New Roman" w:cs="Times New Roman"/>
          <w:b/>
          <w:sz w:val="24"/>
          <w:szCs w:val="24"/>
          <w:lang w:eastAsia="es-ES"/>
        </w:rPr>
        <w:t>28/5/19</w:t>
      </w:r>
      <w:r>
        <w:rPr>
          <w:rFonts w:ascii="Times New Roman" w:hAnsi="Times New Roman" w:cs="Times New Roman"/>
          <w:sz w:val="24"/>
          <w:szCs w:val="24"/>
          <w:lang w:eastAsia="es-ES"/>
        </w:rPr>
        <w:t>)</w:t>
      </w:r>
    </w:p>
    <w:p w:rsidR="00BC563A" w:rsidRPr="00E97FC2" w:rsidRDefault="00BC563A" w:rsidP="00BC563A">
      <w:pPr>
        <w:spacing w:line="240" w:lineRule="auto"/>
        <w:jc w:val="both"/>
        <w:rPr>
          <w:rFonts w:ascii="Times New Roman" w:hAnsi="Times New Roman" w:cs="Times New Roman"/>
          <w:sz w:val="24"/>
          <w:szCs w:val="24"/>
          <w:lang w:eastAsia="es-ES"/>
        </w:rPr>
      </w:pPr>
      <w:r>
        <w:rPr>
          <w:rFonts w:ascii="Times New Roman" w:hAnsi="Times New Roman" w:cs="Times New Roman"/>
          <w:sz w:val="24"/>
          <w:szCs w:val="24"/>
          <w:lang w:eastAsia="es-ES"/>
        </w:rPr>
        <w:t>(Por Javier Ricou)</w:t>
      </w:r>
    </w:p>
    <w:p w:rsidR="00BC563A" w:rsidRPr="00E97FC2" w:rsidRDefault="00BC563A" w:rsidP="00BC563A">
      <w:pPr>
        <w:spacing w:line="240" w:lineRule="auto"/>
        <w:jc w:val="both"/>
        <w:rPr>
          <w:rFonts w:ascii="Times New Roman" w:hAnsi="Times New Roman" w:cs="Times New Roman"/>
          <w:sz w:val="24"/>
          <w:szCs w:val="24"/>
          <w:lang w:eastAsia="es-ES"/>
        </w:rPr>
      </w:pPr>
      <w:r w:rsidRPr="00E97FC2">
        <w:rPr>
          <w:rFonts w:ascii="Times New Roman" w:hAnsi="Times New Roman" w:cs="Times New Roman"/>
          <w:sz w:val="24"/>
          <w:szCs w:val="24"/>
          <w:lang w:eastAsia="es-ES"/>
        </w:rPr>
        <w:t>Se han criado con muchos caprichos y el comentario más escuchado cuando se habla de la generación millennial (17-38 años) es que no tienen ningún motivo para quejarse porque en sus primeros años de vida f</w:t>
      </w:r>
      <w:r>
        <w:rPr>
          <w:rFonts w:ascii="Times New Roman" w:hAnsi="Times New Roman" w:cs="Times New Roman"/>
          <w:sz w:val="24"/>
          <w:szCs w:val="24"/>
          <w:lang w:eastAsia="es-ES"/>
        </w:rPr>
        <w:t>ueron tratados casi como reyes.</w:t>
      </w:r>
    </w:p>
    <w:p w:rsidR="00BC563A" w:rsidRPr="00E97FC2" w:rsidRDefault="00BC563A" w:rsidP="00BC563A">
      <w:pPr>
        <w:spacing w:line="240" w:lineRule="auto"/>
        <w:jc w:val="both"/>
        <w:rPr>
          <w:rFonts w:ascii="Times New Roman" w:hAnsi="Times New Roman" w:cs="Times New Roman"/>
          <w:sz w:val="24"/>
          <w:szCs w:val="24"/>
          <w:lang w:eastAsia="es-ES"/>
        </w:rPr>
      </w:pPr>
      <w:r w:rsidRPr="00E97FC2">
        <w:rPr>
          <w:rFonts w:ascii="Times New Roman" w:hAnsi="Times New Roman" w:cs="Times New Roman"/>
          <w:sz w:val="24"/>
          <w:szCs w:val="24"/>
          <w:lang w:eastAsia="es-ES"/>
        </w:rPr>
        <w:t>Hay mucha parte de verdad en eso, aunque esta es una certeza que se conjuga en pasado. La infancia y adolescencia de la mayoría de personas que conforman esta generación fue mucho mejor que la vivida por sus padres y, por supuesto, por sus abuelos. Pero esa etapa de bienestar ha sido</w:t>
      </w:r>
      <w:r>
        <w:rPr>
          <w:rFonts w:ascii="Times New Roman" w:hAnsi="Times New Roman" w:cs="Times New Roman"/>
          <w:sz w:val="24"/>
          <w:szCs w:val="24"/>
          <w:lang w:eastAsia="es-ES"/>
        </w:rPr>
        <w:t xml:space="preserve"> un espejismo. Fue muy efímera.</w:t>
      </w:r>
    </w:p>
    <w:p w:rsidR="00BC563A" w:rsidRPr="00E97FC2" w:rsidRDefault="00BC563A" w:rsidP="00BC563A">
      <w:pPr>
        <w:spacing w:line="240" w:lineRule="auto"/>
        <w:jc w:val="both"/>
        <w:rPr>
          <w:rFonts w:ascii="Times New Roman" w:hAnsi="Times New Roman" w:cs="Times New Roman"/>
          <w:sz w:val="24"/>
          <w:szCs w:val="24"/>
          <w:lang w:eastAsia="es-ES"/>
        </w:rPr>
      </w:pPr>
      <w:r w:rsidRPr="00E97FC2">
        <w:rPr>
          <w:rFonts w:ascii="Times New Roman" w:hAnsi="Times New Roman" w:cs="Times New Roman"/>
          <w:sz w:val="24"/>
          <w:szCs w:val="24"/>
          <w:lang w:eastAsia="es-ES"/>
        </w:rPr>
        <w:t>El presente y futuro de los millennials, en teoría la generación mejor preparada de la historia, apunta en otra dirección. La percepción generalizada, pasada esa infancia feliz, es que llegada la etapa adulta lo que les ha tocado vivir es mucho peor que lo que esta sociedad ofertaba a sus padres a su edad. Un aviso para las generaciones más jóvenes, los que ahora tienen menos de 38 años.</w:t>
      </w:r>
    </w:p>
    <w:p w:rsidR="00BC563A" w:rsidRPr="00E97FC2" w:rsidRDefault="00BC563A" w:rsidP="00BC563A">
      <w:pPr>
        <w:spacing w:line="240" w:lineRule="auto"/>
        <w:jc w:val="both"/>
        <w:rPr>
          <w:rFonts w:ascii="Times New Roman" w:hAnsi="Times New Roman" w:cs="Times New Roman"/>
          <w:sz w:val="24"/>
          <w:szCs w:val="24"/>
          <w:lang w:eastAsia="es-ES"/>
        </w:rPr>
      </w:pPr>
      <w:r w:rsidRPr="00E97FC2">
        <w:rPr>
          <w:rFonts w:ascii="Times New Roman" w:hAnsi="Times New Roman" w:cs="Times New Roman"/>
          <w:sz w:val="24"/>
          <w:szCs w:val="24"/>
          <w:lang w:eastAsia="es-ES"/>
        </w:rPr>
        <w:t>Uno de los estudios más completos realizados sobre las perspectivas de los jóvenes, con el enunciado ¿No Future? y elaborado por la Foundation For European Progressive Studies y la Fundación Felipe González, concluyó que un sesenta por ciento de personas de todas las generaciones opina que los millennials son quienes peor viven y vivirán en el futuro, respecto a sus padres, en lo que se refiere a aspectos económicos y políticos. O lo que es lo mismo: sólo una de cada cuatro personas encuestadas opinó que esas personas de edades comprendidas entre los 17 y 38 años tendrán una vida mejor que sus progenitores.</w:t>
      </w:r>
    </w:p>
    <w:p w:rsidR="00BC563A" w:rsidRPr="00E97FC2" w:rsidRDefault="00BC563A" w:rsidP="00BC563A">
      <w:pPr>
        <w:spacing w:line="240" w:lineRule="auto"/>
        <w:jc w:val="both"/>
        <w:rPr>
          <w:rFonts w:ascii="Times New Roman" w:hAnsi="Times New Roman" w:cs="Times New Roman"/>
          <w:sz w:val="24"/>
          <w:szCs w:val="24"/>
          <w:lang w:eastAsia="es-ES"/>
        </w:rPr>
      </w:pPr>
      <w:r w:rsidRPr="00E97FC2">
        <w:rPr>
          <w:rFonts w:ascii="Times New Roman" w:hAnsi="Times New Roman" w:cs="Times New Roman"/>
          <w:sz w:val="24"/>
          <w:szCs w:val="24"/>
          <w:lang w:eastAsia="es-ES"/>
        </w:rPr>
        <w:t xml:space="preserve">Iñaki Ortega, director de Deusto Business School, comparte las conclusiones de este informe en lo que a estados de ánimo se refiere. Aunque matiza que es muy difícil conciliar las percepciones o sentimientos con las previsiones económicas. Ortega, muy optimista con el futuro de los más jóvenes, recalca, asimismo, que hay que ser también realista y aceptar lo recogido por diversos informes internacionales: “Las generaciones mayores viven </w:t>
      </w:r>
      <w:r>
        <w:rPr>
          <w:rFonts w:ascii="Times New Roman" w:hAnsi="Times New Roman" w:cs="Times New Roman"/>
          <w:sz w:val="24"/>
          <w:szCs w:val="24"/>
          <w:lang w:eastAsia="es-ES"/>
        </w:rPr>
        <w:t>hoy mejor que las más jóvenes”.</w:t>
      </w:r>
    </w:p>
    <w:p w:rsidR="00BC563A" w:rsidRPr="00E97FC2" w:rsidRDefault="00BC563A" w:rsidP="00BC563A">
      <w:pPr>
        <w:spacing w:line="240" w:lineRule="auto"/>
        <w:jc w:val="both"/>
        <w:rPr>
          <w:rFonts w:ascii="Times New Roman" w:hAnsi="Times New Roman" w:cs="Times New Roman"/>
          <w:sz w:val="24"/>
          <w:szCs w:val="24"/>
          <w:lang w:eastAsia="es-ES"/>
        </w:rPr>
      </w:pPr>
      <w:r w:rsidRPr="00E97FC2">
        <w:rPr>
          <w:rFonts w:ascii="Times New Roman" w:hAnsi="Times New Roman" w:cs="Times New Roman"/>
          <w:sz w:val="24"/>
          <w:szCs w:val="24"/>
          <w:lang w:eastAsia="es-ES"/>
        </w:rPr>
        <w:lastRenderedPageBreak/>
        <w:t>El informe ¿No Future? Perspectivas de los jóvenes</w:t>
      </w:r>
      <w:r w:rsidR="00F37AC2">
        <w:rPr>
          <w:rFonts w:ascii="Times New Roman" w:hAnsi="Times New Roman" w:cs="Times New Roman"/>
          <w:sz w:val="24"/>
          <w:szCs w:val="24"/>
          <w:lang w:eastAsia="es-ES"/>
        </w:rPr>
        <w:t>,</w:t>
      </w:r>
      <w:r w:rsidRPr="00E97FC2">
        <w:rPr>
          <w:rFonts w:ascii="Times New Roman" w:hAnsi="Times New Roman" w:cs="Times New Roman"/>
          <w:sz w:val="24"/>
          <w:szCs w:val="24"/>
          <w:lang w:eastAsia="es-ES"/>
        </w:rPr>
        <w:t xml:space="preserve"> aporta, cuando habla de los millennials y sus percepciones sobre el futuro, un dato revelador. Esta generación confiesa (y es la única que lo hace) tener asumido que su vida será peor que la de sus padres, en contra de lo que manifiestan, por ejemplo, las personas de edades comprendidas entre 38 y 52 años (generación X), convencidas de que viven y vivirán mucho mejor que sus progenitores</w:t>
      </w:r>
    </w:p>
    <w:p w:rsidR="00BC563A" w:rsidRPr="00E97FC2" w:rsidRDefault="00BC563A" w:rsidP="00BC563A">
      <w:pPr>
        <w:spacing w:line="240" w:lineRule="auto"/>
        <w:jc w:val="both"/>
        <w:rPr>
          <w:rFonts w:ascii="Times New Roman" w:hAnsi="Times New Roman" w:cs="Times New Roman"/>
          <w:sz w:val="24"/>
          <w:szCs w:val="24"/>
          <w:lang w:eastAsia="es-ES"/>
        </w:rPr>
      </w:pPr>
      <w:r w:rsidRPr="00E97FC2">
        <w:rPr>
          <w:rFonts w:ascii="Times New Roman" w:hAnsi="Times New Roman" w:cs="Times New Roman"/>
          <w:sz w:val="24"/>
          <w:szCs w:val="24"/>
          <w:lang w:eastAsia="es-ES"/>
        </w:rPr>
        <w:t>¿Por qué los millennials tienen una percepción tan negativa sobre su futuro? Responde Iñaki Ortega: “En primer lugar, a pesar de que la digitalización es lo que les define como grupo de edad, podríamos decir sin temor a equivocarnos que, más que nativos digitales, son nativos en la crisis. Es decir, que su vida, especialmente la profesional, ha estado mediatizada por las depresiones económicas, que han congelado su futuro profesional y les ha provocado una frustración que demuestran en su forma de ser”.</w:t>
      </w:r>
    </w:p>
    <w:p w:rsidR="00BC563A" w:rsidRPr="00E97FC2" w:rsidRDefault="00BC563A" w:rsidP="00BC563A">
      <w:pPr>
        <w:spacing w:line="240" w:lineRule="auto"/>
        <w:jc w:val="both"/>
        <w:rPr>
          <w:rFonts w:ascii="Times New Roman" w:hAnsi="Times New Roman" w:cs="Times New Roman"/>
          <w:sz w:val="24"/>
          <w:szCs w:val="24"/>
          <w:lang w:eastAsia="es-ES"/>
        </w:rPr>
      </w:pPr>
      <w:r w:rsidRPr="00E97FC2">
        <w:rPr>
          <w:rFonts w:ascii="Times New Roman" w:hAnsi="Times New Roman" w:cs="Times New Roman"/>
          <w:sz w:val="24"/>
          <w:szCs w:val="24"/>
          <w:lang w:eastAsia="es-ES"/>
        </w:rPr>
        <w:t>Por lo tanto, continúa el director de Deusto Business School, “su pesimismo se ha acentuado porque con frecuencia las generaciones posteriores han tachado a los millennials de egocéntricos y mimados, de ser una generación materialista, de no conocer la cultura del esfuerzo y de vivir solo para el presente”. Ortega estima que “pocas cohortes de edad han sido tan atacadas como esta, y eso ha minado, sin duda, la autoestima de estos chicos lo que les ha llevado, junto a la crisis endémica, a tener poca fe en su futuro”</w:t>
      </w:r>
    </w:p>
    <w:p w:rsidR="00BC563A" w:rsidRPr="00E97FC2" w:rsidRDefault="00BC563A" w:rsidP="00BC563A">
      <w:pPr>
        <w:spacing w:line="240" w:lineRule="auto"/>
        <w:jc w:val="both"/>
        <w:rPr>
          <w:rFonts w:ascii="Times New Roman" w:hAnsi="Times New Roman" w:cs="Times New Roman"/>
          <w:sz w:val="24"/>
          <w:szCs w:val="24"/>
          <w:lang w:eastAsia="es-ES"/>
        </w:rPr>
      </w:pPr>
      <w:r w:rsidRPr="00E97FC2">
        <w:rPr>
          <w:rFonts w:ascii="Times New Roman" w:hAnsi="Times New Roman" w:cs="Times New Roman"/>
          <w:sz w:val="24"/>
          <w:szCs w:val="24"/>
          <w:lang w:eastAsia="es-ES"/>
        </w:rPr>
        <w:t>Pero no todo son malos augurios para una generación que más pronto que tarde tendrá que tomar las riendas de esta sociedad. En el informe elaborado por la Foundation For European Progressive Studies, la mayoría de encuestados consideran que los millennials sólo tendrán una vida mejor que sus padres en aspectos sociales, como el ocio, la cultura, el acceso a la información, la libertad, la conciliación o la igualdad de género. Universos que no aportan, a priori,</w:t>
      </w:r>
      <w:r>
        <w:rPr>
          <w:rFonts w:ascii="Times New Roman" w:hAnsi="Times New Roman" w:cs="Times New Roman"/>
          <w:sz w:val="24"/>
          <w:szCs w:val="24"/>
          <w:lang w:eastAsia="es-ES"/>
        </w:rPr>
        <w:t xml:space="preserve"> grandes beneficios económicos.</w:t>
      </w:r>
    </w:p>
    <w:p w:rsidR="00BC563A" w:rsidRDefault="00BC563A" w:rsidP="00BC563A">
      <w:pPr>
        <w:spacing w:line="240" w:lineRule="auto"/>
        <w:jc w:val="both"/>
        <w:rPr>
          <w:rFonts w:ascii="Times New Roman" w:hAnsi="Times New Roman" w:cs="Times New Roman"/>
          <w:sz w:val="24"/>
          <w:szCs w:val="24"/>
          <w:lang w:eastAsia="es-ES"/>
        </w:rPr>
      </w:pPr>
      <w:r w:rsidRPr="00E97FC2">
        <w:rPr>
          <w:rFonts w:ascii="Times New Roman" w:hAnsi="Times New Roman" w:cs="Times New Roman"/>
          <w:sz w:val="24"/>
          <w:szCs w:val="24"/>
          <w:lang w:eastAsia="es-ES"/>
        </w:rPr>
        <w:t>Donde pierde</w:t>
      </w:r>
      <w:r w:rsidR="00CB1788">
        <w:rPr>
          <w:rFonts w:ascii="Times New Roman" w:hAnsi="Times New Roman" w:cs="Times New Roman"/>
          <w:sz w:val="24"/>
          <w:szCs w:val="24"/>
          <w:lang w:eastAsia="es-ES"/>
        </w:rPr>
        <w:t xml:space="preserve"> la generación millennial</w:t>
      </w:r>
      <w:r w:rsidRPr="00E97FC2">
        <w:rPr>
          <w:rFonts w:ascii="Times New Roman" w:hAnsi="Times New Roman" w:cs="Times New Roman"/>
          <w:sz w:val="24"/>
          <w:szCs w:val="24"/>
          <w:lang w:eastAsia="es-ES"/>
        </w:rPr>
        <w:t>, indican los encuestados en este estudio, es en materia de seguridad de empleo, calidad del trabajo, acceso a la vivienda o desigualdad socioeconómica.</w:t>
      </w:r>
    </w:p>
    <w:p w:rsidR="00BC563A" w:rsidRPr="00E97FC2" w:rsidRDefault="00BC563A" w:rsidP="00BC563A">
      <w:pPr>
        <w:spacing w:line="240" w:lineRule="auto"/>
        <w:jc w:val="both"/>
        <w:rPr>
          <w:rFonts w:ascii="Times New Roman" w:hAnsi="Times New Roman" w:cs="Times New Roman"/>
          <w:sz w:val="24"/>
          <w:szCs w:val="24"/>
          <w:lang w:eastAsia="es-ES"/>
        </w:rPr>
      </w:pPr>
      <w:r w:rsidRPr="00E97FC2">
        <w:rPr>
          <w:rFonts w:ascii="Times New Roman" w:hAnsi="Times New Roman" w:cs="Times New Roman"/>
          <w:sz w:val="24"/>
          <w:szCs w:val="24"/>
          <w:lang w:eastAsia="es-ES"/>
        </w:rPr>
        <w:t>La del 98, la generación perdida y la generación silenciosa</w:t>
      </w:r>
    </w:p>
    <w:p w:rsidR="00BC563A" w:rsidRPr="00E97FC2" w:rsidRDefault="00BC563A" w:rsidP="00BC563A">
      <w:pPr>
        <w:spacing w:line="240" w:lineRule="auto"/>
        <w:jc w:val="both"/>
        <w:rPr>
          <w:rFonts w:ascii="Times New Roman" w:hAnsi="Times New Roman" w:cs="Times New Roman"/>
          <w:sz w:val="24"/>
          <w:szCs w:val="24"/>
          <w:lang w:eastAsia="es-ES"/>
        </w:rPr>
      </w:pPr>
      <w:r w:rsidRPr="00E97FC2">
        <w:rPr>
          <w:rFonts w:ascii="Times New Roman" w:hAnsi="Times New Roman" w:cs="Times New Roman"/>
          <w:sz w:val="24"/>
          <w:szCs w:val="24"/>
          <w:lang w:eastAsia="es-ES"/>
        </w:rPr>
        <w:t>La realidad que les ha tocado vivir a los millennials no es, sin embargo, un fenómeno nuevo. “Históricamente ha habido cohortes de edad afectadas por determinadas circunstancias que les han hecho vivir peor que sus padres o convivir con un pesimismo que lastró su de</w:t>
      </w:r>
      <w:r>
        <w:rPr>
          <w:rFonts w:ascii="Times New Roman" w:hAnsi="Times New Roman" w:cs="Times New Roman"/>
          <w:sz w:val="24"/>
          <w:szCs w:val="24"/>
          <w:lang w:eastAsia="es-ES"/>
        </w:rPr>
        <w:t>sarrollo”, indica Iñaki Ortega.</w:t>
      </w:r>
    </w:p>
    <w:p w:rsidR="00BC563A" w:rsidRPr="00E97FC2" w:rsidRDefault="00BC563A" w:rsidP="00BC563A">
      <w:pPr>
        <w:spacing w:line="240" w:lineRule="auto"/>
        <w:jc w:val="both"/>
        <w:rPr>
          <w:rFonts w:ascii="Times New Roman" w:hAnsi="Times New Roman" w:cs="Times New Roman"/>
          <w:sz w:val="24"/>
          <w:szCs w:val="24"/>
          <w:lang w:eastAsia="es-ES"/>
        </w:rPr>
      </w:pPr>
      <w:r w:rsidRPr="00E97FC2">
        <w:rPr>
          <w:rFonts w:ascii="Times New Roman" w:hAnsi="Times New Roman" w:cs="Times New Roman"/>
          <w:sz w:val="24"/>
          <w:szCs w:val="24"/>
          <w:lang w:eastAsia="es-ES"/>
        </w:rPr>
        <w:t>“No podemos olvidar -continúa- la España de la llamada generación del 98: Baroja, Azorín y Unamuno, entre otros autores, se vieron afectados por la crisis moral, política y social de la derrota militar con Estados Unidos y la consiguiente pérdida en 1898 de la últim</w:t>
      </w:r>
      <w:r>
        <w:rPr>
          <w:rFonts w:ascii="Times New Roman" w:hAnsi="Times New Roman" w:cs="Times New Roman"/>
          <w:sz w:val="24"/>
          <w:szCs w:val="24"/>
          <w:lang w:eastAsia="es-ES"/>
        </w:rPr>
        <w:t>a colonia española, Filipinas”.</w:t>
      </w:r>
    </w:p>
    <w:p w:rsidR="00BC563A" w:rsidRPr="00E97FC2" w:rsidRDefault="00BC563A" w:rsidP="00BC563A">
      <w:pPr>
        <w:spacing w:line="240" w:lineRule="auto"/>
        <w:jc w:val="both"/>
        <w:rPr>
          <w:rFonts w:ascii="Times New Roman" w:hAnsi="Times New Roman" w:cs="Times New Roman"/>
          <w:sz w:val="24"/>
          <w:szCs w:val="24"/>
          <w:lang w:eastAsia="es-ES"/>
        </w:rPr>
      </w:pPr>
      <w:r w:rsidRPr="00E97FC2">
        <w:rPr>
          <w:rFonts w:ascii="Times New Roman" w:hAnsi="Times New Roman" w:cs="Times New Roman"/>
          <w:sz w:val="24"/>
          <w:szCs w:val="24"/>
          <w:lang w:eastAsia="es-ES"/>
        </w:rPr>
        <w:t>Y en el mundo anglosajón se conoce como la “generación perdida” a un grupo de escritores estadounidenses, como Scott Fitzgerald o Ernest Hemingway, que intentaron olvidar el desastre de la Primera Guerra Mundial huyendo a Europa a ritmo de jazz y uniendo su destino a la ginebra: de ahí el calificativo”, recuerda este economista y profesor universitario.</w:t>
      </w:r>
    </w:p>
    <w:p w:rsidR="00BC563A" w:rsidRPr="00E97FC2" w:rsidRDefault="00BC563A" w:rsidP="00BC563A">
      <w:pPr>
        <w:spacing w:line="240" w:lineRule="auto"/>
        <w:jc w:val="both"/>
        <w:rPr>
          <w:rFonts w:ascii="Times New Roman" w:hAnsi="Times New Roman" w:cs="Times New Roman"/>
          <w:sz w:val="24"/>
          <w:szCs w:val="24"/>
          <w:lang w:eastAsia="es-ES"/>
        </w:rPr>
      </w:pPr>
      <w:r w:rsidRPr="00E97FC2">
        <w:rPr>
          <w:rFonts w:ascii="Times New Roman" w:hAnsi="Times New Roman" w:cs="Times New Roman"/>
          <w:sz w:val="24"/>
          <w:szCs w:val="24"/>
          <w:lang w:eastAsia="es-ES"/>
        </w:rPr>
        <w:t>Hay más ejemplos: “En Estados Unidos y algunos países europeos también se habla de la generación silenciosa, como aquellos nacidos en la década de los años 30, porque padecieron la Gran Depresión del 29, y en nuestro país los niños de la posguerra crecieron mucho peor que sus padres debido a los rigores de la posguerra civil española”, añade Ortega.</w:t>
      </w:r>
    </w:p>
    <w:p w:rsidR="00BC563A" w:rsidRPr="00E97FC2" w:rsidRDefault="00BC563A" w:rsidP="00BC563A">
      <w:pPr>
        <w:spacing w:line="240" w:lineRule="auto"/>
        <w:jc w:val="both"/>
        <w:rPr>
          <w:rFonts w:ascii="Times New Roman" w:hAnsi="Times New Roman" w:cs="Times New Roman"/>
          <w:sz w:val="24"/>
          <w:szCs w:val="24"/>
          <w:lang w:eastAsia="es-ES"/>
        </w:rPr>
      </w:pPr>
      <w:r w:rsidRPr="00E97FC2">
        <w:rPr>
          <w:rFonts w:ascii="Times New Roman" w:hAnsi="Times New Roman" w:cs="Times New Roman"/>
          <w:sz w:val="24"/>
          <w:szCs w:val="24"/>
          <w:lang w:eastAsia="es-ES"/>
        </w:rPr>
        <w:lastRenderedPageBreak/>
        <w:t>La Generación X</w:t>
      </w:r>
    </w:p>
    <w:p w:rsidR="00BC563A" w:rsidRPr="00E97FC2" w:rsidRDefault="00BC563A" w:rsidP="00BC563A">
      <w:pPr>
        <w:spacing w:line="240" w:lineRule="auto"/>
        <w:jc w:val="both"/>
        <w:rPr>
          <w:rFonts w:ascii="Times New Roman" w:hAnsi="Times New Roman" w:cs="Times New Roman"/>
          <w:sz w:val="24"/>
          <w:szCs w:val="24"/>
          <w:lang w:eastAsia="es-ES"/>
        </w:rPr>
      </w:pPr>
      <w:r w:rsidRPr="00E97FC2">
        <w:rPr>
          <w:rFonts w:ascii="Times New Roman" w:hAnsi="Times New Roman" w:cs="Times New Roman"/>
          <w:sz w:val="24"/>
          <w:szCs w:val="24"/>
          <w:lang w:eastAsia="es-ES"/>
        </w:rPr>
        <w:t>En el otro extremo, la generación X es la que se muestra más o</w:t>
      </w:r>
      <w:r>
        <w:rPr>
          <w:rFonts w:ascii="Times New Roman" w:hAnsi="Times New Roman" w:cs="Times New Roman"/>
          <w:sz w:val="24"/>
          <w:szCs w:val="24"/>
          <w:lang w:eastAsia="es-ES"/>
        </w:rPr>
        <w:t>ptimista cuando se le pregunta -en ese mismo estudio-</w:t>
      </w:r>
      <w:r w:rsidRPr="00E97FC2">
        <w:rPr>
          <w:rFonts w:ascii="Times New Roman" w:hAnsi="Times New Roman" w:cs="Times New Roman"/>
          <w:sz w:val="24"/>
          <w:szCs w:val="24"/>
          <w:lang w:eastAsia="es-ES"/>
        </w:rPr>
        <w:t xml:space="preserve"> por el momento que le ha tocado vivir. Y eso tiene una explicación: “Los miembros de la generación X efectivamente fueron protagonistas del final de una época en España en la que comenzamos a parecernos más al resto del mundo occidental y asumieron con rapidez la obsesión, casi sin límites, por el éxito profesional de sus pares europeos y norteamericanos”, afirma Iñaki Ortega.</w:t>
      </w:r>
    </w:p>
    <w:p w:rsidR="00BC563A" w:rsidRPr="00E97FC2" w:rsidRDefault="00BC563A" w:rsidP="00BC563A">
      <w:pPr>
        <w:spacing w:line="240" w:lineRule="auto"/>
        <w:jc w:val="both"/>
        <w:rPr>
          <w:rFonts w:ascii="Times New Roman" w:hAnsi="Times New Roman" w:cs="Times New Roman"/>
          <w:sz w:val="24"/>
          <w:szCs w:val="24"/>
          <w:lang w:eastAsia="es-ES"/>
        </w:rPr>
      </w:pPr>
      <w:r w:rsidRPr="00E97FC2">
        <w:rPr>
          <w:rFonts w:ascii="Times New Roman" w:hAnsi="Times New Roman" w:cs="Times New Roman"/>
          <w:sz w:val="24"/>
          <w:szCs w:val="24"/>
          <w:lang w:eastAsia="es-ES"/>
        </w:rPr>
        <w:t>Pero nad</w:t>
      </w:r>
      <w:r>
        <w:rPr>
          <w:rFonts w:ascii="Times New Roman" w:hAnsi="Times New Roman" w:cs="Times New Roman"/>
          <w:sz w:val="24"/>
          <w:szCs w:val="24"/>
          <w:lang w:eastAsia="es-ES"/>
        </w:rPr>
        <w:t>a de esto hubiera sido posible -</w:t>
      </w:r>
      <w:r w:rsidRPr="00E97FC2">
        <w:rPr>
          <w:rFonts w:ascii="Times New Roman" w:hAnsi="Times New Roman" w:cs="Times New Roman"/>
          <w:sz w:val="24"/>
          <w:szCs w:val="24"/>
          <w:lang w:eastAsia="es-ES"/>
        </w:rPr>
        <w:t>conti</w:t>
      </w:r>
      <w:r>
        <w:rPr>
          <w:rFonts w:ascii="Times New Roman" w:hAnsi="Times New Roman" w:cs="Times New Roman"/>
          <w:sz w:val="24"/>
          <w:szCs w:val="24"/>
          <w:lang w:eastAsia="es-ES"/>
        </w:rPr>
        <w:t>núa este profesor universitario-</w:t>
      </w:r>
      <w:r w:rsidRPr="00E97FC2">
        <w:rPr>
          <w:rFonts w:ascii="Times New Roman" w:hAnsi="Times New Roman" w:cs="Times New Roman"/>
          <w:sz w:val="24"/>
          <w:szCs w:val="24"/>
          <w:lang w:eastAsia="es-ES"/>
        </w:rPr>
        <w:t xml:space="preserve"> sin el esfuerzo de sus padr</w:t>
      </w:r>
      <w:r>
        <w:rPr>
          <w:rFonts w:ascii="Times New Roman" w:hAnsi="Times New Roman" w:cs="Times New Roman"/>
          <w:sz w:val="24"/>
          <w:szCs w:val="24"/>
          <w:lang w:eastAsia="es-ES"/>
        </w:rPr>
        <w:t>es, la generación del baby boom</w:t>
      </w:r>
      <w:r w:rsidRPr="00E97FC2">
        <w:rPr>
          <w:rFonts w:ascii="Times New Roman" w:hAnsi="Times New Roman" w:cs="Times New Roman"/>
          <w:sz w:val="24"/>
          <w:szCs w:val="24"/>
          <w:lang w:eastAsia="es-ES"/>
        </w:rPr>
        <w:t>. Los babyboomers españoles también vivieron mejor que sus padres. Se beneficiaron del éxodo del campo a la ciudad, de la alegría del nuevo desarrollismo español, con crecimientos medios anuales del 7 % del PIB. El nuevo consumismo del seiscientos y el turismo nacional de playa marcaron l</w:t>
      </w:r>
      <w:r>
        <w:rPr>
          <w:rFonts w:ascii="Times New Roman" w:hAnsi="Times New Roman" w:cs="Times New Roman"/>
          <w:sz w:val="24"/>
          <w:szCs w:val="24"/>
          <w:lang w:eastAsia="es-ES"/>
        </w:rPr>
        <w:t>a ambición de esta generación”.</w:t>
      </w:r>
    </w:p>
    <w:p w:rsidR="00BC563A" w:rsidRPr="00E97FC2" w:rsidRDefault="00BC563A" w:rsidP="00BC563A">
      <w:pPr>
        <w:spacing w:line="240" w:lineRule="auto"/>
        <w:jc w:val="both"/>
        <w:rPr>
          <w:rFonts w:ascii="Times New Roman" w:hAnsi="Times New Roman" w:cs="Times New Roman"/>
          <w:sz w:val="24"/>
          <w:szCs w:val="24"/>
          <w:lang w:eastAsia="es-ES"/>
        </w:rPr>
      </w:pPr>
      <w:r w:rsidRPr="00E97FC2">
        <w:rPr>
          <w:rFonts w:ascii="Times New Roman" w:hAnsi="Times New Roman" w:cs="Times New Roman"/>
          <w:sz w:val="24"/>
          <w:szCs w:val="24"/>
          <w:lang w:eastAsia="es-ES"/>
        </w:rPr>
        <w:t>El estudio destila, por otro lado, mucho pesimismo con el futuro de los hijos de aquellos que ahora son jóvenes: un 46% de la población. Esas personas creen que sus hijas e hijos tienen también muchos números de vivir aún peor que ellos. Y los más pesimistas, en este sentido, son también los millennials.</w:t>
      </w:r>
    </w:p>
    <w:p w:rsidR="00BC563A" w:rsidRPr="00E97FC2" w:rsidRDefault="00BC563A" w:rsidP="00BC563A">
      <w:pPr>
        <w:spacing w:line="240" w:lineRule="auto"/>
        <w:jc w:val="both"/>
        <w:rPr>
          <w:rFonts w:ascii="Times New Roman" w:hAnsi="Times New Roman" w:cs="Times New Roman"/>
          <w:sz w:val="24"/>
          <w:szCs w:val="24"/>
          <w:lang w:eastAsia="es-ES"/>
        </w:rPr>
      </w:pPr>
      <w:r w:rsidRPr="00E97FC2">
        <w:rPr>
          <w:rFonts w:ascii="Times New Roman" w:hAnsi="Times New Roman" w:cs="Times New Roman"/>
          <w:sz w:val="24"/>
          <w:szCs w:val="24"/>
          <w:lang w:eastAsia="es-ES"/>
        </w:rPr>
        <w:t>La Generación Z</w:t>
      </w:r>
    </w:p>
    <w:p w:rsidR="00BC563A" w:rsidRPr="00E97FC2" w:rsidRDefault="00BC563A" w:rsidP="00BC563A">
      <w:pPr>
        <w:spacing w:line="240" w:lineRule="auto"/>
        <w:jc w:val="both"/>
        <w:rPr>
          <w:rFonts w:ascii="Times New Roman" w:hAnsi="Times New Roman" w:cs="Times New Roman"/>
          <w:sz w:val="24"/>
          <w:szCs w:val="24"/>
          <w:lang w:eastAsia="es-ES"/>
        </w:rPr>
      </w:pPr>
      <w:r w:rsidRPr="00E97FC2">
        <w:rPr>
          <w:rFonts w:ascii="Times New Roman" w:hAnsi="Times New Roman" w:cs="Times New Roman"/>
          <w:sz w:val="24"/>
          <w:szCs w:val="24"/>
          <w:lang w:eastAsia="es-ES"/>
        </w:rPr>
        <w:t>Los actuales estudios sobre perspectivas de la juventud han empezado a centrarse en la generación Z, los nacidos entre 1994 y 2010. Aún es muy pronto para aventurar cómo van a vivir esos jóvenes en su edad adulta. Iñaki Ortega recalca que “se trata de la primera generación que ha incorporado internet en las fases más tempranas de su aprendizaje y gracias a la democratización de internet, disponen de potentísimas herramientas a su disposición para cambiar su entorno o el destino al que están llamados”.</w:t>
      </w:r>
    </w:p>
    <w:p w:rsidR="00BC563A" w:rsidRPr="00E97FC2" w:rsidRDefault="00BC563A" w:rsidP="00BC563A">
      <w:pPr>
        <w:spacing w:line="240" w:lineRule="auto"/>
        <w:jc w:val="both"/>
        <w:rPr>
          <w:rFonts w:ascii="Times New Roman" w:hAnsi="Times New Roman" w:cs="Times New Roman"/>
          <w:sz w:val="24"/>
          <w:szCs w:val="24"/>
          <w:lang w:eastAsia="es-ES"/>
        </w:rPr>
      </w:pPr>
      <w:r w:rsidRPr="00E97FC2">
        <w:rPr>
          <w:rFonts w:ascii="Times New Roman" w:hAnsi="Times New Roman" w:cs="Times New Roman"/>
          <w:sz w:val="24"/>
          <w:szCs w:val="24"/>
          <w:lang w:eastAsia="es-ES"/>
        </w:rPr>
        <w:t>La expectativas para la generación Z son muy esperanzadoras, augura este economista y profesor universitario. “La gran diferencia, respecto a generaciones anteriores, está en el modo en que la tecnología ha condicionado su forma de aprender: gracias a internet se han acostumbrado desde pequeños a no depender tanto de padres y docentes para adquirir el conocimiento: son muy hábiles cuando toca utilizar de manera inmediata fuentes tan dispares en su naturaleza como indiferenciadas en la forma de acceder a ellas, lo que les permite recibir cantidades ingentes de datos que discriminan con arreglo a su propio c</w:t>
      </w:r>
      <w:r>
        <w:rPr>
          <w:rFonts w:ascii="Times New Roman" w:hAnsi="Times New Roman" w:cs="Times New Roman"/>
          <w:sz w:val="24"/>
          <w:szCs w:val="24"/>
          <w:lang w:eastAsia="es-ES"/>
        </w:rPr>
        <w:t>riterio”.</w:t>
      </w:r>
    </w:p>
    <w:p w:rsidR="00BC563A" w:rsidRDefault="00BC563A" w:rsidP="00BC563A">
      <w:pPr>
        <w:spacing w:line="240" w:lineRule="auto"/>
        <w:jc w:val="both"/>
        <w:rPr>
          <w:rFonts w:ascii="Times New Roman" w:hAnsi="Times New Roman" w:cs="Times New Roman"/>
          <w:sz w:val="24"/>
          <w:szCs w:val="24"/>
          <w:lang w:eastAsia="es-ES"/>
        </w:rPr>
      </w:pPr>
      <w:r w:rsidRPr="00E97FC2">
        <w:rPr>
          <w:rFonts w:ascii="Times New Roman" w:hAnsi="Times New Roman" w:cs="Times New Roman"/>
          <w:sz w:val="24"/>
          <w:szCs w:val="24"/>
          <w:lang w:eastAsia="es-ES"/>
        </w:rPr>
        <w:t>Todo esto “les hace estar muy preparados para ser no solo ciudadanos en la era digital, sino también para ocupar las nuevas profesiones e integrarse en entornos de trabajo multiculturales y gl</w:t>
      </w:r>
      <w:r>
        <w:rPr>
          <w:rFonts w:ascii="Times New Roman" w:hAnsi="Times New Roman" w:cs="Times New Roman"/>
          <w:sz w:val="24"/>
          <w:szCs w:val="24"/>
          <w:lang w:eastAsia="es-ES"/>
        </w:rPr>
        <w:t>obales”, concluye Iñaki Ortega.</w:t>
      </w:r>
    </w:p>
    <w:p w:rsidR="00BC563A" w:rsidRPr="00BC563A" w:rsidRDefault="00BC563A" w:rsidP="00BC563A">
      <w:pPr>
        <w:spacing w:line="240" w:lineRule="auto"/>
        <w:jc w:val="both"/>
        <w:rPr>
          <w:rFonts w:ascii="Times New Roman" w:hAnsi="Times New Roman" w:cs="Times New Roman"/>
          <w:b/>
          <w:sz w:val="24"/>
          <w:szCs w:val="24"/>
          <w:lang w:eastAsia="es-ES"/>
        </w:rPr>
      </w:pPr>
      <w:r w:rsidRPr="00BC563A">
        <w:rPr>
          <w:rFonts w:ascii="Times New Roman" w:hAnsi="Times New Roman" w:cs="Times New Roman"/>
          <w:b/>
          <w:sz w:val="24"/>
          <w:szCs w:val="24"/>
          <w:lang w:eastAsia="es-ES"/>
        </w:rPr>
        <w:t>La perspectiva (I)</w:t>
      </w:r>
      <w:r w:rsidR="00F37AC2">
        <w:rPr>
          <w:rFonts w:ascii="Times New Roman" w:hAnsi="Times New Roman" w:cs="Times New Roman"/>
          <w:b/>
          <w:sz w:val="24"/>
          <w:szCs w:val="24"/>
          <w:lang w:eastAsia="es-ES"/>
        </w:rPr>
        <w:t xml:space="preserve">: </w:t>
      </w:r>
      <w:r w:rsidRPr="00BC563A">
        <w:rPr>
          <w:rFonts w:ascii="Times New Roman" w:hAnsi="Times New Roman" w:cs="Times New Roman"/>
          <w:b/>
          <w:sz w:val="24"/>
          <w:szCs w:val="24"/>
          <w:lang w:eastAsia="es-ES"/>
        </w:rPr>
        <w:t>Los jóvenes son muy pesimistas por el</w:t>
      </w:r>
      <w:r>
        <w:rPr>
          <w:rFonts w:ascii="Times New Roman" w:hAnsi="Times New Roman" w:cs="Times New Roman"/>
          <w:b/>
          <w:sz w:val="24"/>
          <w:szCs w:val="24"/>
          <w:lang w:eastAsia="es-ES"/>
        </w:rPr>
        <w:t xml:space="preserve"> futuro que aguarda a sus hijos</w:t>
      </w:r>
    </w:p>
    <w:p w:rsidR="00BC563A" w:rsidRPr="00413EF5" w:rsidRDefault="00BC563A" w:rsidP="00BC563A">
      <w:pPr>
        <w:spacing w:line="240" w:lineRule="auto"/>
        <w:jc w:val="both"/>
        <w:rPr>
          <w:rFonts w:ascii="Times New Roman" w:hAnsi="Times New Roman" w:cs="Times New Roman"/>
          <w:sz w:val="24"/>
          <w:szCs w:val="24"/>
          <w:lang w:eastAsia="es-ES"/>
        </w:rPr>
      </w:pPr>
      <w:r>
        <w:rPr>
          <w:rFonts w:ascii="Times New Roman" w:hAnsi="Times New Roman" w:cs="Times New Roman"/>
          <w:sz w:val="24"/>
          <w:szCs w:val="24"/>
          <w:lang w:eastAsia="es-ES"/>
        </w:rPr>
        <w:t xml:space="preserve">- </w:t>
      </w:r>
      <w:r w:rsidRPr="00413EF5">
        <w:rPr>
          <w:rFonts w:ascii="Times New Roman" w:hAnsi="Times New Roman" w:cs="Times New Roman"/>
          <w:sz w:val="24"/>
          <w:szCs w:val="24"/>
          <w:u w:val="single"/>
          <w:lang w:eastAsia="es-ES"/>
        </w:rPr>
        <w:t>Los jóvenes no sienten que tendrán una vida mejor que la de sus padres: este es el motivo</w:t>
      </w:r>
      <w:r>
        <w:rPr>
          <w:rFonts w:ascii="Times New Roman" w:hAnsi="Times New Roman" w:cs="Times New Roman"/>
          <w:sz w:val="24"/>
          <w:szCs w:val="24"/>
          <w:lang w:eastAsia="es-ES"/>
        </w:rPr>
        <w:t xml:space="preserve"> (entrepeneur.com - </w:t>
      </w:r>
      <w:r w:rsidRPr="00413EF5">
        <w:rPr>
          <w:rFonts w:ascii="Times New Roman" w:hAnsi="Times New Roman" w:cs="Times New Roman"/>
          <w:b/>
          <w:sz w:val="24"/>
          <w:szCs w:val="24"/>
          <w:lang w:eastAsia="es-ES"/>
        </w:rPr>
        <w:t>26/4/21</w:t>
      </w:r>
      <w:r>
        <w:rPr>
          <w:rFonts w:ascii="Times New Roman" w:hAnsi="Times New Roman" w:cs="Times New Roman"/>
          <w:sz w:val="24"/>
          <w:szCs w:val="24"/>
          <w:lang w:eastAsia="es-ES"/>
        </w:rPr>
        <w:t>)</w:t>
      </w:r>
    </w:p>
    <w:p w:rsidR="00BC563A" w:rsidRPr="00413EF5" w:rsidRDefault="00BC563A" w:rsidP="00BC563A">
      <w:pPr>
        <w:spacing w:line="240" w:lineRule="auto"/>
        <w:jc w:val="both"/>
        <w:rPr>
          <w:rFonts w:ascii="Times New Roman" w:hAnsi="Times New Roman" w:cs="Times New Roman"/>
          <w:sz w:val="24"/>
          <w:szCs w:val="24"/>
          <w:lang w:eastAsia="es-ES"/>
        </w:rPr>
      </w:pPr>
      <w:r>
        <w:rPr>
          <w:rFonts w:ascii="Times New Roman" w:hAnsi="Times New Roman" w:cs="Times New Roman"/>
          <w:sz w:val="24"/>
          <w:szCs w:val="24"/>
          <w:lang w:eastAsia="es-ES"/>
        </w:rPr>
        <w:t>(</w:t>
      </w:r>
      <w:r w:rsidRPr="00413EF5">
        <w:rPr>
          <w:rFonts w:ascii="Times New Roman" w:hAnsi="Times New Roman" w:cs="Times New Roman"/>
          <w:sz w:val="24"/>
          <w:szCs w:val="24"/>
          <w:lang w:eastAsia="es-ES"/>
        </w:rPr>
        <w:t>Por Justin Chan</w:t>
      </w:r>
      <w:r>
        <w:rPr>
          <w:rFonts w:ascii="Times New Roman" w:hAnsi="Times New Roman" w:cs="Times New Roman"/>
          <w:sz w:val="24"/>
          <w:szCs w:val="24"/>
          <w:lang w:eastAsia="es-ES"/>
        </w:rPr>
        <w:t xml:space="preserve">) </w:t>
      </w:r>
    </w:p>
    <w:p w:rsidR="00BC563A" w:rsidRPr="00413EF5" w:rsidRDefault="00BC563A" w:rsidP="00BC563A">
      <w:pPr>
        <w:spacing w:line="240" w:lineRule="auto"/>
        <w:jc w:val="both"/>
        <w:rPr>
          <w:rFonts w:ascii="Times New Roman" w:hAnsi="Times New Roman" w:cs="Times New Roman"/>
          <w:sz w:val="24"/>
          <w:szCs w:val="24"/>
          <w:lang w:eastAsia="es-ES"/>
        </w:rPr>
      </w:pPr>
      <w:r w:rsidRPr="00413EF5">
        <w:rPr>
          <w:rFonts w:ascii="Times New Roman" w:hAnsi="Times New Roman" w:cs="Times New Roman"/>
          <w:sz w:val="24"/>
          <w:szCs w:val="24"/>
          <w:lang w:eastAsia="es-ES"/>
        </w:rPr>
        <w:t>Los jóvenes menores de 35 años se sienten menos optimistas de que estarán mejor que sus padres en el futuro, según</w:t>
      </w:r>
      <w:r>
        <w:rPr>
          <w:rFonts w:ascii="Times New Roman" w:hAnsi="Times New Roman" w:cs="Times New Roman"/>
          <w:sz w:val="24"/>
          <w:szCs w:val="24"/>
          <w:lang w:eastAsia="es-ES"/>
        </w:rPr>
        <w:t xml:space="preserve"> un informe del Financial Times.</w:t>
      </w:r>
    </w:p>
    <w:p w:rsidR="00BC563A" w:rsidRPr="00413EF5" w:rsidRDefault="00BC563A" w:rsidP="00BC563A">
      <w:pPr>
        <w:spacing w:line="240" w:lineRule="auto"/>
        <w:jc w:val="both"/>
        <w:rPr>
          <w:rFonts w:ascii="Times New Roman" w:hAnsi="Times New Roman" w:cs="Times New Roman"/>
          <w:sz w:val="24"/>
          <w:szCs w:val="24"/>
          <w:lang w:eastAsia="es-ES"/>
        </w:rPr>
      </w:pPr>
      <w:r w:rsidRPr="00413EF5">
        <w:rPr>
          <w:rFonts w:ascii="Times New Roman" w:hAnsi="Times New Roman" w:cs="Times New Roman"/>
          <w:sz w:val="24"/>
          <w:szCs w:val="24"/>
          <w:lang w:eastAsia="es-ES"/>
        </w:rPr>
        <w:lastRenderedPageBreak/>
        <w:t>Muchos menos millennials estadounidenses ganan más que sus padres a la misma edad, señala la publicación. En 1940, por ejemplo, más del 80% de los niños ganaban salarios más altos que sus padres a la misma edad. Esa cifra se ha hundido durante las siguientes décadas; en 1984, había solo un 50% de posibilidades de que los niños ganaran más que sus padres a la misma edad.</w:t>
      </w:r>
    </w:p>
    <w:p w:rsidR="00BC563A" w:rsidRPr="00413EF5" w:rsidRDefault="00BC563A" w:rsidP="00BC563A">
      <w:pPr>
        <w:spacing w:line="240" w:lineRule="auto"/>
        <w:jc w:val="both"/>
        <w:rPr>
          <w:rFonts w:ascii="Times New Roman" w:hAnsi="Times New Roman" w:cs="Times New Roman"/>
          <w:sz w:val="24"/>
          <w:szCs w:val="24"/>
          <w:lang w:eastAsia="es-ES"/>
        </w:rPr>
      </w:pPr>
      <w:r w:rsidRPr="00413EF5">
        <w:rPr>
          <w:rFonts w:ascii="Times New Roman" w:hAnsi="Times New Roman" w:cs="Times New Roman"/>
          <w:sz w:val="24"/>
          <w:szCs w:val="24"/>
          <w:lang w:eastAsia="es-ES"/>
        </w:rPr>
        <w:t>Hoy en día, los millennials de todo el mundo expresan su preocupación de que su futuro no sea tan brillante como se les dijo. Un londinense de 34 años, Akin Ogundele, le dijo al Times que su principal preocupación era poder transmitir activos a sus hijos, a pesar de tener un buen t</w:t>
      </w:r>
      <w:r>
        <w:rPr>
          <w:rFonts w:ascii="Times New Roman" w:hAnsi="Times New Roman" w:cs="Times New Roman"/>
          <w:sz w:val="24"/>
          <w:szCs w:val="24"/>
          <w:lang w:eastAsia="es-ES"/>
        </w:rPr>
        <w:t>rabajo en el sector financiero.</w:t>
      </w:r>
    </w:p>
    <w:p w:rsidR="00BC563A" w:rsidRPr="00413EF5" w:rsidRDefault="00ED16BD" w:rsidP="00BC563A">
      <w:pPr>
        <w:spacing w:line="240" w:lineRule="auto"/>
        <w:jc w:val="both"/>
        <w:rPr>
          <w:rFonts w:ascii="Times New Roman" w:hAnsi="Times New Roman" w:cs="Times New Roman"/>
          <w:sz w:val="24"/>
          <w:szCs w:val="24"/>
          <w:lang w:eastAsia="es-ES"/>
        </w:rPr>
      </w:pPr>
      <w:r>
        <w:rPr>
          <w:rFonts w:ascii="Times New Roman" w:hAnsi="Times New Roman" w:cs="Times New Roman"/>
          <w:sz w:val="24"/>
          <w:szCs w:val="24"/>
          <w:lang w:eastAsia="es-ES"/>
        </w:rPr>
        <w:t>“</w:t>
      </w:r>
      <w:r w:rsidR="00BC563A" w:rsidRPr="00413EF5">
        <w:rPr>
          <w:rFonts w:ascii="Times New Roman" w:hAnsi="Times New Roman" w:cs="Times New Roman"/>
          <w:sz w:val="24"/>
          <w:szCs w:val="24"/>
          <w:lang w:eastAsia="es-ES"/>
        </w:rPr>
        <w:t>Si sigo como estoy, no estoy se</w:t>
      </w:r>
      <w:r>
        <w:rPr>
          <w:rFonts w:ascii="Times New Roman" w:hAnsi="Times New Roman" w:cs="Times New Roman"/>
          <w:sz w:val="24"/>
          <w:szCs w:val="24"/>
          <w:lang w:eastAsia="es-ES"/>
        </w:rPr>
        <w:t>guro de lo que podré transmitir”, dijo. “</w:t>
      </w:r>
      <w:r w:rsidR="00BC563A" w:rsidRPr="00413EF5">
        <w:rPr>
          <w:rFonts w:ascii="Times New Roman" w:hAnsi="Times New Roman" w:cs="Times New Roman"/>
          <w:sz w:val="24"/>
          <w:szCs w:val="24"/>
          <w:lang w:eastAsia="es-ES"/>
        </w:rPr>
        <w:t xml:space="preserve">No puede ser bueno para el país; las disparidades simplemente van a crecer, los ricos se harán más ricos y los que no lo son </w:t>
      </w:r>
      <w:r w:rsidR="00BC563A">
        <w:rPr>
          <w:rFonts w:ascii="Times New Roman" w:hAnsi="Times New Roman" w:cs="Times New Roman"/>
          <w:sz w:val="24"/>
          <w:szCs w:val="24"/>
          <w:lang w:eastAsia="es-ES"/>
        </w:rPr>
        <w:t xml:space="preserve">serán cada </w:t>
      </w:r>
      <w:r>
        <w:rPr>
          <w:rFonts w:ascii="Times New Roman" w:hAnsi="Times New Roman" w:cs="Times New Roman"/>
          <w:sz w:val="24"/>
          <w:szCs w:val="24"/>
          <w:lang w:eastAsia="es-ES"/>
        </w:rPr>
        <w:t>vez más eliminados”</w:t>
      </w:r>
      <w:r w:rsidR="00BC563A">
        <w:rPr>
          <w:rFonts w:ascii="Times New Roman" w:hAnsi="Times New Roman" w:cs="Times New Roman"/>
          <w:sz w:val="24"/>
          <w:szCs w:val="24"/>
          <w:lang w:eastAsia="es-ES"/>
        </w:rPr>
        <w:t>.</w:t>
      </w:r>
    </w:p>
    <w:p w:rsidR="00BC563A" w:rsidRPr="00413EF5" w:rsidRDefault="00BC563A" w:rsidP="00BC563A">
      <w:pPr>
        <w:spacing w:line="240" w:lineRule="auto"/>
        <w:jc w:val="both"/>
        <w:rPr>
          <w:rFonts w:ascii="Times New Roman" w:hAnsi="Times New Roman" w:cs="Times New Roman"/>
          <w:sz w:val="24"/>
          <w:szCs w:val="24"/>
          <w:lang w:eastAsia="es-ES"/>
        </w:rPr>
      </w:pPr>
      <w:r w:rsidRPr="00413EF5">
        <w:rPr>
          <w:rFonts w:ascii="Times New Roman" w:hAnsi="Times New Roman" w:cs="Times New Roman"/>
          <w:sz w:val="24"/>
          <w:szCs w:val="24"/>
          <w:lang w:eastAsia="es-ES"/>
        </w:rPr>
        <w:t>Una encuesta de 1.700 personas en todo el mundo (desde Sudáfrica hasta China) realizada por el Times encontró que, si bien la mayoría de los millennials reconocen que tienen más acceso a oportunidades educativas, de salud mental y de viaje en comparación con las generaciones anteriores, se enfrentan a situaciones apare</w:t>
      </w:r>
      <w:r w:rsidR="00ED16BD">
        <w:rPr>
          <w:rFonts w:ascii="Times New Roman" w:hAnsi="Times New Roman" w:cs="Times New Roman"/>
          <w:sz w:val="24"/>
          <w:szCs w:val="24"/>
          <w:lang w:eastAsia="es-ES"/>
        </w:rPr>
        <w:t xml:space="preserve">ntemente insuperables. </w:t>
      </w:r>
      <w:r w:rsidRPr="00413EF5">
        <w:rPr>
          <w:rFonts w:ascii="Times New Roman" w:hAnsi="Times New Roman" w:cs="Times New Roman"/>
          <w:sz w:val="24"/>
          <w:szCs w:val="24"/>
          <w:lang w:eastAsia="es-ES"/>
        </w:rPr>
        <w:t>Esos problemas incluyen el aumento del alquiler y la matrícula, la competencia</w:t>
      </w:r>
      <w:r>
        <w:rPr>
          <w:rFonts w:ascii="Times New Roman" w:hAnsi="Times New Roman" w:cs="Times New Roman"/>
          <w:sz w:val="24"/>
          <w:szCs w:val="24"/>
          <w:lang w:eastAsia="es-ES"/>
        </w:rPr>
        <w:t xml:space="preserve"> laboral y el cambio climático.</w:t>
      </w:r>
    </w:p>
    <w:p w:rsidR="00BC563A" w:rsidRPr="00413EF5" w:rsidRDefault="00BC563A" w:rsidP="00BC563A">
      <w:pPr>
        <w:spacing w:line="240" w:lineRule="auto"/>
        <w:jc w:val="both"/>
        <w:rPr>
          <w:rFonts w:ascii="Times New Roman" w:hAnsi="Times New Roman" w:cs="Times New Roman"/>
          <w:sz w:val="24"/>
          <w:szCs w:val="24"/>
          <w:lang w:eastAsia="es-ES"/>
        </w:rPr>
      </w:pPr>
      <w:r w:rsidRPr="00413EF5">
        <w:rPr>
          <w:rFonts w:ascii="Times New Roman" w:hAnsi="Times New Roman" w:cs="Times New Roman"/>
          <w:sz w:val="24"/>
          <w:szCs w:val="24"/>
          <w:lang w:eastAsia="es-ES"/>
        </w:rPr>
        <w:t>A los jóvenes también les preocupa que la riqueza generacional esté contribuyendo a una mayor disparidad entre ricos y pobres.</w:t>
      </w:r>
      <w:r>
        <w:rPr>
          <w:rFonts w:ascii="Times New Roman" w:hAnsi="Times New Roman" w:cs="Times New Roman"/>
          <w:sz w:val="24"/>
          <w:szCs w:val="24"/>
          <w:lang w:eastAsia="es-ES"/>
        </w:rPr>
        <w:t xml:space="preserve"> Como señala el Times</w:t>
      </w:r>
      <w:r w:rsidRPr="00413EF5">
        <w:rPr>
          <w:rFonts w:ascii="Times New Roman" w:hAnsi="Times New Roman" w:cs="Times New Roman"/>
          <w:sz w:val="24"/>
          <w:szCs w:val="24"/>
          <w:lang w:eastAsia="es-ES"/>
        </w:rPr>
        <w:t>, a medida que las generaciones</w:t>
      </w:r>
      <w:r w:rsidR="00ED16BD">
        <w:rPr>
          <w:rFonts w:ascii="Times New Roman" w:hAnsi="Times New Roman" w:cs="Times New Roman"/>
          <w:sz w:val="24"/>
          <w:szCs w:val="24"/>
          <w:lang w:eastAsia="es-ES"/>
        </w:rPr>
        <w:t xml:space="preserve"> mayores acumulen más riqueza, “</w:t>
      </w:r>
      <w:r w:rsidRPr="00413EF5">
        <w:rPr>
          <w:rFonts w:ascii="Times New Roman" w:hAnsi="Times New Roman" w:cs="Times New Roman"/>
          <w:sz w:val="24"/>
          <w:szCs w:val="24"/>
          <w:lang w:eastAsia="es-ES"/>
        </w:rPr>
        <w:t>las herencias promedio en comparación con los ingresos de por vida para los nacidos en los 80 serán casi el doble</w:t>
      </w:r>
      <w:r w:rsidR="00ED16BD">
        <w:rPr>
          <w:rFonts w:ascii="Times New Roman" w:hAnsi="Times New Roman" w:cs="Times New Roman"/>
          <w:sz w:val="24"/>
          <w:szCs w:val="24"/>
          <w:lang w:eastAsia="es-ES"/>
        </w:rPr>
        <w:t xml:space="preserve"> que para los nacidos en los 60”</w:t>
      </w:r>
      <w:r w:rsidRPr="00413EF5">
        <w:rPr>
          <w:rFonts w:ascii="Times New Roman" w:hAnsi="Times New Roman" w:cs="Times New Roman"/>
          <w:sz w:val="24"/>
          <w:szCs w:val="24"/>
          <w:lang w:eastAsia="es-ES"/>
        </w:rPr>
        <w:t>. En otras palabras, la movilidad social hoy en día se ha vuelto increíblemente limitada por el hecho de que quienes tienen padres ricos tienen mucho más que ganar que quienes no los ti</w:t>
      </w:r>
      <w:r>
        <w:rPr>
          <w:rFonts w:ascii="Times New Roman" w:hAnsi="Times New Roman" w:cs="Times New Roman"/>
          <w:sz w:val="24"/>
          <w:szCs w:val="24"/>
          <w:lang w:eastAsia="es-ES"/>
        </w:rPr>
        <w:t>enen, creen muchos encuestados.</w:t>
      </w:r>
    </w:p>
    <w:p w:rsidR="00BC563A" w:rsidRPr="00413EF5" w:rsidRDefault="00ED16BD" w:rsidP="00BC563A">
      <w:pPr>
        <w:spacing w:line="240" w:lineRule="auto"/>
        <w:jc w:val="both"/>
        <w:rPr>
          <w:rFonts w:ascii="Times New Roman" w:hAnsi="Times New Roman" w:cs="Times New Roman"/>
          <w:sz w:val="24"/>
          <w:szCs w:val="24"/>
          <w:lang w:eastAsia="es-ES"/>
        </w:rPr>
      </w:pPr>
      <w:r>
        <w:rPr>
          <w:rFonts w:ascii="Times New Roman" w:hAnsi="Times New Roman" w:cs="Times New Roman"/>
          <w:sz w:val="24"/>
          <w:szCs w:val="24"/>
          <w:lang w:eastAsia="es-ES"/>
        </w:rPr>
        <w:t>“</w:t>
      </w:r>
      <w:r w:rsidR="00BC563A" w:rsidRPr="00413EF5">
        <w:rPr>
          <w:rFonts w:ascii="Times New Roman" w:hAnsi="Times New Roman" w:cs="Times New Roman"/>
          <w:sz w:val="24"/>
          <w:szCs w:val="24"/>
          <w:lang w:eastAsia="es-ES"/>
        </w:rPr>
        <w:t>Ahora soy director de dos empresas de éxito, una nueva empresa y una empresa de exploración d</w:t>
      </w:r>
      <w:r>
        <w:rPr>
          <w:rFonts w:ascii="Times New Roman" w:hAnsi="Times New Roman" w:cs="Times New Roman"/>
          <w:sz w:val="24"/>
          <w:szCs w:val="24"/>
          <w:lang w:eastAsia="es-ES"/>
        </w:rPr>
        <w:t>e minerales de tamaño razonable”</w:t>
      </w:r>
      <w:r w:rsidR="00BC563A" w:rsidRPr="00413EF5">
        <w:rPr>
          <w:rFonts w:ascii="Times New Roman" w:hAnsi="Times New Roman" w:cs="Times New Roman"/>
          <w:sz w:val="24"/>
          <w:szCs w:val="24"/>
          <w:lang w:eastAsia="es-ES"/>
        </w:rPr>
        <w:t>, dijo al Times una</w:t>
      </w:r>
      <w:r>
        <w:rPr>
          <w:rFonts w:ascii="Times New Roman" w:hAnsi="Times New Roman" w:cs="Times New Roman"/>
          <w:sz w:val="24"/>
          <w:szCs w:val="24"/>
          <w:lang w:eastAsia="es-ES"/>
        </w:rPr>
        <w:t xml:space="preserve"> persona de Viena, Liam Hardy. “</w:t>
      </w:r>
      <w:r w:rsidR="00BC563A" w:rsidRPr="00413EF5">
        <w:rPr>
          <w:rFonts w:ascii="Times New Roman" w:hAnsi="Times New Roman" w:cs="Times New Roman"/>
          <w:sz w:val="24"/>
          <w:szCs w:val="24"/>
          <w:lang w:eastAsia="es-ES"/>
        </w:rPr>
        <w:t>Incluso con estos puestos respetables, no habría llegado aquí sin tener abuelos ricos y comprensivos. Habría sido imposible proporcionar capital inicial o tomarme el tiempo para desarrollar</w:t>
      </w:r>
      <w:r>
        <w:rPr>
          <w:rFonts w:ascii="Times New Roman" w:hAnsi="Times New Roman" w:cs="Times New Roman"/>
          <w:sz w:val="24"/>
          <w:szCs w:val="24"/>
          <w:lang w:eastAsia="es-ES"/>
        </w:rPr>
        <w:t xml:space="preserve"> estos negocios por mi cuenta”</w:t>
      </w:r>
      <w:r w:rsidR="00BC563A">
        <w:rPr>
          <w:rFonts w:ascii="Times New Roman" w:hAnsi="Times New Roman" w:cs="Times New Roman"/>
          <w:sz w:val="24"/>
          <w:szCs w:val="24"/>
          <w:lang w:eastAsia="es-ES"/>
        </w:rPr>
        <w:t>.</w:t>
      </w:r>
    </w:p>
    <w:p w:rsidR="00BC563A" w:rsidRPr="00413EF5" w:rsidRDefault="00BC563A" w:rsidP="00BC563A">
      <w:pPr>
        <w:spacing w:line="240" w:lineRule="auto"/>
        <w:jc w:val="both"/>
        <w:rPr>
          <w:rFonts w:ascii="Times New Roman" w:hAnsi="Times New Roman" w:cs="Times New Roman"/>
          <w:sz w:val="24"/>
          <w:szCs w:val="24"/>
          <w:lang w:eastAsia="es-ES"/>
        </w:rPr>
      </w:pPr>
      <w:r w:rsidRPr="00413EF5">
        <w:rPr>
          <w:rFonts w:ascii="Times New Roman" w:hAnsi="Times New Roman" w:cs="Times New Roman"/>
          <w:sz w:val="24"/>
          <w:szCs w:val="24"/>
          <w:lang w:eastAsia="es-ES"/>
        </w:rPr>
        <w:t>Los encuestados en Francia, Hungría, Italia y Corea del Sur, en particular, eran más pesimistas acerca de estar mejor que sus padres, señala el Times . Más del 60% de las personas en esos países creían que tenían menos probabilidades que sus padres de tener un trabajo seguro. Solo en Hungría, el 75% de los encuestados dijo que era menos probable que sus padres vivieran cóm</w:t>
      </w:r>
      <w:r>
        <w:rPr>
          <w:rFonts w:ascii="Times New Roman" w:hAnsi="Times New Roman" w:cs="Times New Roman"/>
          <w:sz w:val="24"/>
          <w:szCs w:val="24"/>
          <w:lang w:eastAsia="es-ES"/>
        </w:rPr>
        <w:t>odamente durante la jubilación.</w:t>
      </w:r>
    </w:p>
    <w:p w:rsidR="00BC563A" w:rsidRPr="00413EF5" w:rsidRDefault="00BC563A" w:rsidP="00BC563A">
      <w:pPr>
        <w:spacing w:line="240" w:lineRule="auto"/>
        <w:jc w:val="both"/>
        <w:rPr>
          <w:rFonts w:ascii="Times New Roman" w:hAnsi="Times New Roman" w:cs="Times New Roman"/>
          <w:sz w:val="24"/>
          <w:szCs w:val="24"/>
          <w:lang w:eastAsia="es-ES"/>
        </w:rPr>
      </w:pPr>
      <w:r w:rsidRPr="00413EF5">
        <w:rPr>
          <w:rFonts w:ascii="Times New Roman" w:hAnsi="Times New Roman" w:cs="Times New Roman"/>
          <w:sz w:val="24"/>
          <w:szCs w:val="24"/>
          <w:lang w:eastAsia="es-ES"/>
        </w:rPr>
        <w:t>Además, la participación de los millennials en el valor de los hogares sigue siendo significativamente baja en comparación con sus contrapartes de la generación de la posguerra. El año pasado, los millennials de unos 30 años poseían solo el 3% de toda la riqueza del hogar. Por otro lado, los baby boomers entraron en los 30 y poseían el 21% de la riqueza de los hogares en la década de 1990. Ese porc</w:t>
      </w:r>
      <w:r>
        <w:rPr>
          <w:rFonts w:ascii="Times New Roman" w:hAnsi="Times New Roman" w:cs="Times New Roman"/>
          <w:sz w:val="24"/>
          <w:szCs w:val="24"/>
          <w:lang w:eastAsia="es-ES"/>
        </w:rPr>
        <w:t>entaje se elevó al 57% en 2020.</w:t>
      </w:r>
    </w:p>
    <w:p w:rsidR="00BC563A" w:rsidRPr="00413EF5" w:rsidRDefault="00BC563A" w:rsidP="00BC563A">
      <w:pPr>
        <w:spacing w:line="240" w:lineRule="auto"/>
        <w:jc w:val="both"/>
        <w:rPr>
          <w:rFonts w:ascii="Times New Roman" w:hAnsi="Times New Roman" w:cs="Times New Roman"/>
          <w:sz w:val="24"/>
          <w:szCs w:val="24"/>
          <w:lang w:eastAsia="es-ES"/>
        </w:rPr>
      </w:pPr>
      <w:r w:rsidRPr="00413EF5">
        <w:rPr>
          <w:rFonts w:ascii="Times New Roman" w:hAnsi="Times New Roman" w:cs="Times New Roman"/>
          <w:sz w:val="24"/>
          <w:szCs w:val="24"/>
          <w:lang w:eastAsia="es-ES"/>
        </w:rPr>
        <w:t xml:space="preserve">Las luchas financieras que enfrentan los jóvenes se han visto agravadas por la crisis financiera que ocurrió en 2008. En países como España, Francia e Italia, la tasa de empleo de las personas de entre 15 y 24 años desde 2008 se ha estancado. Menos del 30% de las </w:t>
      </w:r>
      <w:r w:rsidRPr="00413EF5">
        <w:rPr>
          <w:rFonts w:ascii="Times New Roman" w:hAnsi="Times New Roman" w:cs="Times New Roman"/>
          <w:sz w:val="24"/>
          <w:szCs w:val="24"/>
          <w:lang w:eastAsia="es-ES"/>
        </w:rPr>
        <w:lastRenderedPageBreak/>
        <w:t xml:space="preserve">personas dentro del grupo de edad mencionado anteriormente han estado </w:t>
      </w:r>
      <w:r w:rsidR="00ED16BD">
        <w:rPr>
          <w:rFonts w:ascii="Times New Roman" w:hAnsi="Times New Roman" w:cs="Times New Roman"/>
          <w:sz w:val="24"/>
          <w:szCs w:val="24"/>
          <w:lang w:eastAsia="es-ES"/>
        </w:rPr>
        <w:t>empleadas, señala el Times</w:t>
      </w:r>
      <w:r>
        <w:rPr>
          <w:rFonts w:ascii="Times New Roman" w:hAnsi="Times New Roman" w:cs="Times New Roman"/>
          <w:sz w:val="24"/>
          <w:szCs w:val="24"/>
          <w:lang w:eastAsia="es-ES"/>
        </w:rPr>
        <w:t>.</w:t>
      </w:r>
    </w:p>
    <w:p w:rsidR="00BC563A" w:rsidRPr="00413EF5" w:rsidRDefault="00ED16BD" w:rsidP="00BC563A">
      <w:pPr>
        <w:spacing w:line="240" w:lineRule="auto"/>
        <w:jc w:val="both"/>
        <w:rPr>
          <w:rFonts w:ascii="Times New Roman" w:hAnsi="Times New Roman" w:cs="Times New Roman"/>
          <w:sz w:val="24"/>
          <w:szCs w:val="24"/>
          <w:lang w:eastAsia="es-ES"/>
        </w:rPr>
      </w:pPr>
      <w:r>
        <w:rPr>
          <w:rFonts w:ascii="Times New Roman" w:hAnsi="Times New Roman" w:cs="Times New Roman"/>
          <w:sz w:val="24"/>
          <w:szCs w:val="24"/>
          <w:lang w:eastAsia="es-ES"/>
        </w:rPr>
        <w:t>“</w:t>
      </w:r>
      <w:r w:rsidR="00BC563A" w:rsidRPr="00413EF5">
        <w:rPr>
          <w:rFonts w:ascii="Times New Roman" w:hAnsi="Times New Roman" w:cs="Times New Roman"/>
          <w:sz w:val="24"/>
          <w:szCs w:val="24"/>
          <w:lang w:eastAsia="es-ES"/>
        </w:rPr>
        <w:t>La generación mayor no comprende nuestra tim</w:t>
      </w:r>
      <w:r>
        <w:rPr>
          <w:rFonts w:ascii="Times New Roman" w:hAnsi="Times New Roman" w:cs="Times New Roman"/>
          <w:sz w:val="24"/>
          <w:szCs w:val="24"/>
          <w:lang w:eastAsia="es-ES"/>
        </w:rPr>
        <w:t>idez, inseguridad y frustración”</w:t>
      </w:r>
      <w:r w:rsidR="00BC563A" w:rsidRPr="00413EF5">
        <w:rPr>
          <w:rFonts w:ascii="Times New Roman" w:hAnsi="Times New Roman" w:cs="Times New Roman"/>
          <w:sz w:val="24"/>
          <w:szCs w:val="24"/>
          <w:lang w:eastAsia="es-ES"/>
        </w:rPr>
        <w:t>, dijo a la publicación un joven de 26 años en Turquía.</w:t>
      </w:r>
    </w:p>
    <w:p w:rsidR="00BC563A" w:rsidRDefault="00ED16BD" w:rsidP="00BC563A">
      <w:pPr>
        <w:spacing w:line="240" w:lineRule="auto"/>
        <w:jc w:val="both"/>
        <w:rPr>
          <w:rFonts w:ascii="Times New Roman" w:hAnsi="Times New Roman" w:cs="Times New Roman"/>
          <w:sz w:val="24"/>
          <w:szCs w:val="24"/>
          <w:lang w:eastAsia="es-ES"/>
        </w:rPr>
      </w:pPr>
      <w:r>
        <w:rPr>
          <w:rFonts w:ascii="Times New Roman" w:hAnsi="Times New Roman" w:cs="Times New Roman"/>
          <w:sz w:val="24"/>
          <w:szCs w:val="24"/>
          <w:lang w:eastAsia="es-ES"/>
        </w:rPr>
        <w:t>“</w:t>
      </w:r>
      <w:r w:rsidR="00BC563A" w:rsidRPr="00413EF5">
        <w:rPr>
          <w:rFonts w:ascii="Times New Roman" w:hAnsi="Times New Roman" w:cs="Times New Roman"/>
          <w:sz w:val="24"/>
          <w:szCs w:val="24"/>
          <w:lang w:eastAsia="es-ES"/>
        </w:rPr>
        <w:t>Tengo un trabajo profesio</w:t>
      </w:r>
      <w:r>
        <w:rPr>
          <w:rFonts w:ascii="Times New Roman" w:hAnsi="Times New Roman" w:cs="Times New Roman"/>
          <w:sz w:val="24"/>
          <w:szCs w:val="24"/>
          <w:lang w:eastAsia="es-ES"/>
        </w:rPr>
        <w:t>nal y (mis padres) no”</w:t>
      </w:r>
      <w:r w:rsidR="00BC563A" w:rsidRPr="00413EF5">
        <w:rPr>
          <w:rFonts w:ascii="Times New Roman" w:hAnsi="Times New Roman" w:cs="Times New Roman"/>
          <w:sz w:val="24"/>
          <w:szCs w:val="24"/>
          <w:lang w:eastAsia="es-ES"/>
        </w:rPr>
        <w:t>, agregó un ab</w:t>
      </w:r>
      <w:r>
        <w:rPr>
          <w:rFonts w:ascii="Times New Roman" w:hAnsi="Times New Roman" w:cs="Times New Roman"/>
          <w:sz w:val="24"/>
          <w:szCs w:val="24"/>
          <w:lang w:eastAsia="es-ES"/>
        </w:rPr>
        <w:t>ogado corporativo de Londres. “(Pero)</w:t>
      </w:r>
      <w:r w:rsidR="00750AD1">
        <w:rPr>
          <w:rFonts w:ascii="Times New Roman" w:hAnsi="Times New Roman" w:cs="Times New Roman"/>
          <w:sz w:val="24"/>
          <w:szCs w:val="24"/>
          <w:lang w:eastAsia="es-ES"/>
        </w:rPr>
        <w:t xml:space="preserve"> en términos de</w:t>
      </w:r>
      <w:r w:rsidR="00BC563A" w:rsidRPr="00413EF5">
        <w:rPr>
          <w:rFonts w:ascii="Times New Roman" w:hAnsi="Times New Roman" w:cs="Times New Roman"/>
          <w:sz w:val="24"/>
          <w:szCs w:val="24"/>
          <w:lang w:eastAsia="es-ES"/>
        </w:rPr>
        <w:t>... ¿la sensación de saciedad de saber que sus hijos tendrán un f</w:t>
      </w:r>
      <w:r>
        <w:rPr>
          <w:rFonts w:ascii="Times New Roman" w:hAnsi="Times New Roman" w:cs="Times New Roman"/>
          <w:sz w:val="24"/>
          <w:szCs w:val="24"/>
          <w:lang w:eastAsia="es-ES"/>
        </w:rPr>
        <w:t>uturo mejor que usted? No tanto”</w:t>
      </w:r>
      <w:r w:rsidR="00BC563A" w:rsidRPr="00413EF5">
        <w:rPr>
          <w:rFonts w:ascii="Times New Roman" w:hAnsi="Times New Roman" w:cs="Times New Roman"/>
          <w:sz w:val="24"/>
          <w:szCs w:val="24"/>
          <w:lang w:eastAsia="es-ES"/>
        </w:rPr>
        <w:t>.</w:t>
      </w:r>
    </w:p>
    <w:p w:rsidR="00BC563A" w:rsidRPr="00AF2E71" w:rsidRDefault="00BC563A" w:rsidP="00BC563A">
      <w:pPr>
        <w:spacing w:line="240" w:lineRule="auto"/>
        <w:jc w:val="both"/>
        <w:rPr>
          <w:rFonts w:ascii="Times New Roman" w:hAnsi="Times New Roman" w:cs="Times New Roman"/>
          <w:sz w:val="24"/>
          <w:szCs w:val="24"/>
          <w:lang w:eastAsia="es-ES"/>
        </w:rPr>
      </w:pPr>
      <w:r>
        <w:rPr>
          <w:rFonts w:ascii="Times New Roman" w:hAnsi="Times New Roman" w:cs="Times New Roman"/>
          <w:sz w:val="24"/>
          <w:szCs w:val="24"/>
          <w:lang w:eastAsia="es-ES"/>
        </w:rPr>
        <w:t xml:space="preserve">- </w:t>
      </w:r>
      <w:r w:rsidRPr="00AF2E71">
        <w:rPr>
          <w:rFonts w:ascii="Times New Roman" w:hAnsi="Times New Roman" w:cs="Times New Roman"/>
          <w:sz w:val="24"/>
          <w:szCs w:val="24"/>
          <w:u w:val="single"/>
          <w:lang w:eastAsia="es-ES"/>
        </w:rPr>
        <w:t>Así son los millennials que bordean los 40 años: ganan 2.000 euros al mes, viven peor que s</w:t>
      </w:r>
      <w:r w:rsidR="00ED16BD">
        <w:rPr>
          <w:rFonts w:ascii="Times New Roman" w:hAnsi="Times New Roman" w:cs="Times New Roman"/>
          <w:sz w:val="24"/>
          <w:szCs w:val="24"/>
          <w:u w:val="single"/>
          <w:lang w:eastAsia="es-ES"/>
        </w:rPr>
        <w:t>us padres y se les conoce como “geriátricos</w:t>
      </w:r>
      <w:r w:rsidR="00ED16BD" w:rsidRPr="00750AD1">
        <w:rPr>
          <w:rFonts w:ascii="Times New Roman" w:hAnsi="Times New Roman" w:cs="Times New Roman"/>
          <w:sz w:val="24"/>
          <w:szCs w:val="24"/>
          <w:lang w:eastAsia="es-ES"/>
        </w:rPr>
        <w:t>”</w:t>
      </w:r>
      <w:r>
        <w:rPr>
          <w:rFonts w:ascii="Times New Roman" w:hAnsi="Times New Roman" w:cs="Times New Roman"/>
          <w:sz w:val="24"/>
          <w:szCs w:val="24"/>
          <w:lang w:eastAsia="es-ES"/>
        </w:rPr>
        <w:t xml:space="preserve"> (Business Insiders - </w:t>
      </w:r>
      <w:r w:rsidRPr="00AF2E71">
        <w:rPr>
          <w:rFonts w:ascii="Times New Roman" w:hAnsi="Times New Roman" w:cs="Times New Roman"/>
          <w:b/>
          <w:sz w:val="24"/>
          <w:szCs w:val="24"/>
          <w:lang w:eastAsia="es-ES"/>
        </w:rPr>
        <w:t>6/8/21</w:t>
      </w:r>
      <w:r>
        <w:rPr>
          <w:rFonts w:ascii="Times New Roman" w:hAnsi="Times New Roman" w:cs="Times New Roman"/>
          <w:sz w:val="24"/>
          <w:szCs w:val="24"/>
          <w:lang w:eastAsia="es-ES"/>
        </w:rPr>
        <w:t>)</w:t>
      </w:r>
    </w:p>
    <w:p w:rsidR="00BC563A" w:rsidRPr="00AF2E71" w:rsidRDefault="00BC563A" w:rsidP="00BC563A">
      <w:pPr>
        <w:spacing w:line="240" w:lineRule="auto"/>
        <w:jc w:val="both"/>
        <w:rPr>
          <w:rFonts w:ascii="Times New Roman" w:hAnsi="Times New Roman" w:cs="Times New Roman"/>
          <w:sz w:val="24"/>
          <w:szCs w:val="24"/>
          <w:lang w:eastAsia="es-ES"/>
        </w:rPr>
      </w:pPr>
      <w:r>
        <w:rPr>
          <w:rFonts w:ascii="Times New Roman" w:hAnsi="Times New Roman" w:cs="Times New Roman"/>
          <w:sz w:val="24"/>
          <w:szCs w:val="24"/>
          <w:lang w:eastAsia="es-ES"/>
        </w:rPr>
        <w:t xml:space="preserve">(Por </w:t>
      </w:r>
      <w:r w:rsidRPr="00AF2E71">
        <w:rPr>
          <w:rFonts w:ascii="Times New Roman" w:hAnsi="Times New Roman" w:cs="Times New Roman"/>
          <w:sz w:val="24"/>
          <w:szCs w:val="24"/>
          <w:lang w:eastAsia="es-ES"/>
        </w:rPr>
        <w:t>Daniel Martín</w:t>
      </w:r>
      <w:r>
        <w:rPr>
          <w:rFonts w:ascii="Times New Roman" w:hAnsi="Times New Roman" w:cs="Times New Roman"/>
          <w:sz w:val="24"/>
          <w:szCs w:val="24"/>
          <w:lang w:eastAsia="es-ES"/>
        </w:rPr>
        <w:t>)</w:t>
      </w:r>
    </w:p>
    <w:p w:rsidR="00BC563A" w:rsidRPr="00AF2E71" w:rsidRDefault="00BC563A" w:rsidP="00BC563A">
      <w:pPr>
        <w:spacing w:line="240" w:lineRule="auto"/>
        <w:jc w:val="both"/>
        <w:rPr>
          <w:rFonts w:ascii="Times New Roman" w:hAnsi="Times New Roman" w:cs="Times New Roman"/>
          <w:sz w:val="24"/>
          <w:szCs w:val="24"/>
          <w:lang w:eastAsia="es-ES"/>
        </w:rPr>
      </w:pPr>
      <w:r w:rsidRPr="00AF2E71">
        <w:rPr>
          <w:rFonts w:ascii="Times New Roman" w:hAnsi="Times New Roman" w:cs="Times New Roman"/>
          <w:sz w:val="24"/>
          <w:szCs w:val="24"/>
          <w:lang w:eastAsia="es-ES"/>
        </w:rPr>
        <w:t>La mayoría de la gente confunde a los millennials con la joven generación Z, pero en realidad tienen entre 25 y 40 años.</w:t>
      </w:r>
    </w:p>
    <w:p w:rsidR="00BC563A" w:rsidRPr="00AF2E71" w:rsidRDefault="00BC563A" w:rsidP="00BC563A">
      <w:pPr>
        <w:spacing w:line="240" w:lineRule="auto"/>
        <w:jc w:val="both"/>
        <w:rPr>
          <w:rFonts w:ascii="Times New Roman" w:hAnsi="Times New Roman" w:cs="Times New Roman"/>
          <w:sz w:val="24"/>
          <w:szCs w:val="24"/>
          <w:lang w:eastAsia="es-ES"/>
        </w:rPr>
      </w:pPr>
      <w:r w:rsidRPr="00AF2E71">
        <w:rPr>
          <w:rFonts w:ascii="Times New Roman" w:hAnsi="Times New Roman" w:cs="Times New Roman"/>
          <w:sz w:val="24"/>
          <w:szCs w:val="24"/>
          <w:lang w:eastAsia="es-ES"/>
        </w:rPr>
        <w:t>Son un grupo poblacional que ha conocido el mundo antes de internet y los smartphones y ha vivido dos crisis económicas.</w:t>
      </w:r>
    </w:p>
    <w:p w:rsidR="00BC563A" w:rsidRPr="00AF2E71" w:rsidRDefault="00BC563A" w:rsidP="00BC563A">
      <w:pPr>
        <w:spacing w:line="240" w:lineRule="auto"/>
        <w:jc w:val="both"/>
        <w:rPr>
          <w:rFonts w:ascii="Times New Roman" w:hAnsi="Times New Roman" w:cs="Times New Roman"/>
          <w:sz w:val="24"/>
          <w:szCs w:val="24"/>
          <w:lang w:eastAsia="es-ES"/>
        </w:rPr>
      </w:pPr>
      <w:r w:rsidRPr="00AF2E71">
        <w:rPr>
          <w:rFonts w:ascii="Times New Roman" w:hAnsi="Times New Roman" w:cs="Times New Roman"/>
          <w:sz w:val="24"/>
          <w:szCs w:val="24"/>
          <w:lang w:eastAsia="es-ES"/>
        </w:rPr>
        <w:t>Viven peor que sus padres, aunque no tan mal como los más jóvenes. Tienen pocos hijos y muy tarde.</w:t>
      </w:r>
    </w:p>
    <w:p w:rsidR="00BC563A" w:rsidRPr="00AF2E71" w:rsidRDefault="00BC563A" w:rsidP="00BC563A">
      <w:pPr>
        <w:spacing w:line="240" w:lineRule="auto"/>
        <w:jc w:val="both"/>
        <w:rPr>
          <w:rFonts w:ascii="Times New Roman" w:hAnsi="Times New Roman" w:cs="Times New Roman"/>
          <w:sz w:val="24"/>
          <w:szCs w:val="24"/>
          <w:lang w:eastAsia="es-ES"/>
        </w:rPr>
      </w:pPr>
      <w:r w:rsidRPr="00AF2E71">
        <w:rPr>
          <w:rFonts w:ascii="Times New Roman" w:hAnsi="Times New Roman" w:cs="Times New Roman"/>
          <w:sz w:val="24"/>
          <w:szCs w:val="24"/>
          <w:lang w:eastAsia="es-ES"/>
        </w:rPr>
        <w:t xml:space="preserve">Este año los primeros millennials cumplen 40 años y toca hacer balance. No se sabe muy bien por qué, pero buena parte de la sociedad española confunde a la joven generación Z con los millennials, aquellos nacidos entre 1981 y 1996, que ahora tienen entre 25 y 40 años, y se encasillan en lo que los sociólogos denominan la generación Y. </w:t>
      </w:r>
    </w:p>
    <w:p w:rsidR="00BC563A" w:rsidRPr="00AF2E71" w:rsidRDefault="00BC563A" w:rsidP="00BC563A">
      <w:pPr>
        <w:spacing w:line="240" w:lineRule="auto"/>
        <w:jc w:val="both"/>
        <w:rPr>
          <w:rFonts w:ascii="Times New Roman" w:hAnsi="Times New Roman" w:cs="Times New Roman"/>
          <w:sz w:val="24"/>
          <w:szCs w:val="24"/>
          <w:lang w:eastAsia="es-ES"/>
        </w:rPr>
      </w:pPr>
      <w:r w:rsidRPr="00AF2E71">
        <w:rPr>
          <w:rFonts w:ascii="Times New Roman" w:hAnsi="Times New Roman" w:cs="Times New Roman"/>
          <w:sz w:val="24"/>
          <w:szCs w:val="24"/>
          <w:lang w:eastAsia="es-ES"/>
        </w:rPr>
        <w:t>Podría decirse que son una generación sándwich, al estar en medio de dos grupos generacionales bien diferenciados, la generación X y la generación Z: la puramente analógica y la de los nativos digitales.</w:t>
      </w:r>
    </w:p>
    <w:p w:rsidR="00BC563A" w:rsidRPr="00AF2E71" w:rsidRDefault="00BC563A" w:rsidP="00BC563A">
      <w:pPr>
        <w:spacing w:line="240" w:lineRule="auto"/>
        <w:jc w:val="both"/>
        <w:rPr>
          <w:rFonts w:ascii="Times New Roman" w:hAnsi="Times New Roman" w:cs="Times New Roman"/>
          <w:sz w:val="24"/>
          <w:szCs w:val="24"/>
          <w:lang w:eastAsia="es-ES"/>
        </w:rPr>
      </w:pPr>
      <w:r w:rsidRPr="00AF2E71">
        <w:rPr>
          <w:rFonts w:ascii="Times New Roman" w:hAnsi="Times New Roman" w:cs="Times New Roman"/>
          <w:sz w:val="24"/>
          <w:szCs w:val="24"/>
          <w:lang w:eastAsia="es-ES"/>
        </w:rPr>
        <w:t>Pero quizás la característica más significativa de este grupo que, con 8,5 millones de personas, representa al 18% de la población española, es que son una generación marcada por dos crisis económicas de gran envergadura, en 2008 y 2020.</w:t>
      </w:r>
    </w:p>
    <w:p w:rsidR="00BC563A" w:rsidRPr="00AF2E71" w:rsidRDefault="00BC563A" w:rsidP="00BC563A">
      <w:pPr>
        <w:spacing w:line="240" w:lineRule="auto"/>
        <w:jc w:val="both"/>
        <w:rPr>
          <w:rFonts w:ascii="Times New Roman" w:hAnsi="Times New Roman" w:cs="Times New Roman"/>
          <w:sz w:val="24"/>
          <w:szCs w:val="24"/>
          <w:lang w:eastAsia="es-ES"/>
        </w:rPr>
      </w:pPr>
      <w:r w:rsidRPr="00AF2E71">
        <w:rPr>
          <w:rFonts w:ascii="Times New Roman" w:hAnsi="Times New Roman" w:cs="Times New Roman"/>
          <w:sz w:val="24"/>
          <w:szCs w:val="24"/>
          <w:lang w:eastAsia="es-ES"/>
        </w:rPr>
        <w:t>Cuando estalló la Gran Recesión en 2008, los más jóvenes eran adolescentes y los mayores tenían entre 27 y 28 años, una edad en la que se presuponía cierta plenitud vital. En vez de eso llegaron el aumento del paro y el empeoramiento de los salarios y, con ellos, una enorme dificultad para acceder a una vivienda o para tener hijos. S</w:t>
      </w:r>
      <w:r w:rsidR="00ED16BD">
        <w:rPr>
          <w:rFonts w:ascii="Times New Roman" w:hAnsi="Times New Roman" w:cs="Times New Roman"/>
          <w:sz w:val="24"/>
          <w:szCs w:val="24"/>
          <w:lang w:eastAsia="es-ES"/>
        </w:rPr>
        <w:t>e suele decir de ellos que son “</w:t>
      </w:r>
      <w:r w:rsidRPr="00AF2E71">
        <w:rPr>
          <w:rFonts w:ascii="Times New Roman" w:hAnsi="Times New Roman" w:cs="Times New Roman"/>
          <w:sz w:val="24"/>
          <w:szCs w:val="24"/>
          <w:lang w:eastAsia="es-ES"/>
        </w:rPr>
        <w:t>la primera generación</w:t>
      </w:r>
      <w:r w:rsidR="00ED16BD">
        <w:rPr>
          <w:rFonts w:ascii="Times New Roman" w:hAnsi="Times New Roman" w:cs="Times New Roman"/>
          <w:sz w:val="24"/>
          <w:szCs w:val="24"/>
          <w:lang w:eastAsia="es-ES"/>
        </w:rPr>
        <w:t xml:space="preserve"> que vivirá peor que sus padres”</w:t>
      </w:r>
      <w:r w:rsidRPr="00AF2E71">
        <w:rPr>
          <w:rFonts w:ascii="Times New Roman" w:hAnsi="Times New Roman" w:cs="Times New Roman"/>
          <w:sz w:val="24"/>
          <w:szCs w:val="24"/>
          <w:lang w:eastAsia="es-ES"/>
        </w:rPr>
        <w:t xml:space="preserve">, al menos en base a diferentes indicadores. </w:t>
      </w:r>
    </w:p>
    <w:p w:rsidR="00BC563A" w:rsidRPr="00AF2E71" w:rsidRDefault="00BC563A" w:rsidP="00BC563A">
      <w:pPr>
        <w:spacing w:line="240" w:lineRule="auto"/>
        <w:jc w:val="both"/>
        <w:rPr>
          <w:rFonts w:ascii="Times New Roman" w:hAnsi="Times New Roman" w:cs="Times New Roman"/>
          <w:sz w:val="24"/>
          <w:szCs w:val="24"/>
          <w:lang w:eastAsia="es-ES"/>
        </w:rPr>
      </w:pPr>
      <w:r w:rsidRPr="00AF2E71">
        <w:rPr>
          <w:rFonts w:ascii="Times New Roman" w:hAnsi="Times New Roman" w:cs="Times New Roman"/>
          <w:sz w:val="24"/>
          <w:szCs w:val="24"/>
          <w:lang w:eastAsia="es-ES"/>
        </w:rPr>
        <w:t>Por si fuera poco, cuando las aguas macroeconómicas estaban algo más calmadas, llegó la crisis económica derivada de la pandemia de coronavirus, el pasado año, con consecuencias que han sido equiparadas con los efectos que tendría una guerra para la ya de antes maltrecha economía española.</w:t>
      </w:r>
    </w:p>
    <w:p w:rsidR="00BC563A" w:rsidRPr="00AF2E71" w:rsidRDefault="00BC563A" w:rsidP="00BC563A">
      <w:pPr>
        <w:spacing w:line="240" w:lineRule="auto"/>
        <w:jc w:val="both"/>
        <w:rPr>
          <w:rFonts w:ascii="Times New Roman" w:hAnsi="Times New Roman" w:cs="Times New Roman"/>
          <w:sz w:val="24"/>
          <w:szCs w:val="24"/>
          <w:lang w:eastAsia="es-ES"/>
        </w:rPr>
      </w:pPr>
      <w:r w:rsidRPr="00AF2E71">
        <w:rPr>
          <w:rFonts w:ascii="Times New Roman" w:hAnsi="Times New Roman" w:cs="Times New Roman"/>
          <w:sz w:val="24"/>
          <w:szCs w:val="24"/>
          <w:lang w:eastAsia="es-ES"/>
        </w:rPr>
        <w:t>Es imposible hacer una radiografía precisa de toda una generación y la realidad de un joven de 25 años que, con suerte, está iniciando su vida laboral, quizás se parezca poco a la de alguien que está sufriendo la crisis de los 40. Así que a continuación encontrarás un retrato de lo que se conoce de los millennials más talluditos, conocidos como geriátricos, aquellos están bien entrados en la treinte</w:t>
      </w:r>
      <w:r>
        <w:rPr>
          <w:rFonts w:ascii="Times New Roman" w:hAnsi="Times New Roman" w:cs="Times New Roman"/>
          <w:sz w:val="24"/>
          <w:szCs w:val="24"/>
          <w:lang w:eastAsia="es-ES"/>
        </w:rPr>
        <w:t xml:space="preserve">na o acaban de cumplir los 40. </w:t>
      </w:r>
    </w:p>
    <w:p w:rsidR="00BC563A" w:rsidRPr="00AF2E71" w:rsidRDefault="00BC563A" w:rsidP="00BC563A">
      <w:pPr>
        <w:spacing w:line="240" w:lineRule="auto"/>
        <w:jc w:val="both"/>
        <w:rPr>
          <w:rFonts w:ascii="Times New Roman" w:hAnsi="Times New Roman" w:cs="Times New Roman"/>
          <w:sz w:val="24"/>
          <w:szCs w:val="24"/>
          <w:lang w:eastAsia="es-ES"/>
        </w:rPr>
      </w:pPr>
      <w:r w:rsidRPr="00AF2E71">
        <w:rPr>
          <w:rFonts w:ascii="Times New Roman" w:hAnsi="Times New Roman" w:cs="Times New Roman"/>
          <w:sz w:val="24"/>
          <w:szCs w:val="24"/>
          <w:lang w:eastAsia="es-ES"/>
        </w:rPr>
        <w:lastRenderedPageBreak/>
        <w:t>En un artículo publicado en Medium que se viralizó hace unos meses en internet, la autora y experta en liderazgo Erica Dhawan denominó a la microgeneración en la que se encuadra</w:t>
      </w:r>
      <w:r w:rsidR="00ED16BD">
        <w:rPr>
          <w:rFonts w:ascii="Times New Roman" w:hAnsi="Times New Roman" w:cs="Times New Roman"/>
          <w:sz w:val="24"/>
          <w:szCs w:val="24"/>
          <w:lang w:eastAsia="es-ES"/>
        </w:rPr>
        <w:t xml:space="preserve"> el millennial de 40 años como “millennials geriátricos”</w:t>
      </w:r>
      <w:r w:rsidRPr="00AF2E71">
        <w:rPr>
          <w:rFonts w:ascii="Times New Roman" w:hAnsi="Times New Roman" w:cs="Times New Roman"/>
          <w:sz w:val="24"/>
          <w:szCs w:val="24"/>
          <w:lang w:eastAsia="es-ES"/>
        </w:rPr>
        <w:t>, que define como los nacidos entre 1980 y 1985. Lo que los distingue es, sobre todo, su experiencia con la tecnología.</w:t>
      </w:r>
    </w:p>
    <w:p w:rsidR="00BC563A" w:rsidRPr="00AF2E71" w:rsidRDefault="00BC563A" w:rsidP="00BC563A">
      <w:pPr>
        <w:spacing w:line="240" w:lineRule="auto"/>
        <w:jc w:val="both"/>
        <w:rPr>
          <w:rFonts w:ascii="Times New Roman" w:hAnsi="Times New Roman" w:cs="Times New Roman"/>
          <w:sz w:val="24"/>
          <w:szCs w:val="24"/>
          <w:lang w:eastAsia="es-ES"/>
        </w:rPr>
      </w:pPr>
      <w:r w:rsidRPr="00AF2E71">
        <w:rPr>
          <w:rFonts w:ascii="Times New Roman" w:hAnsi="Times New Roman" w:cs="Times New Roman"/>
          <w:sz w:val="24"/>
          <w:szCs w:val="24"/>
          <w:lang w:eastAsia="es-ES"/>
        </w:rPr>
        <w:t>¿Quiénes son? ¿Cómo piensan? ¿Es verdad eso de</w:t>
      </w:r>
      <w:r>
        <w:rPr>
          <w:rFonts w:ascii="Times New Roman" w:hAnsi="Times New Roman" w:cs="Times New Roman"/>
          <w:sz w:val="24"/>
          <w:szCs w:val="24"/>
          <w:lang w:eastAsia="es-ES"/>
        </w:rPr>
        <w:t xml:space="preserve"> que viven peor que sus padres?</w:t>
      </w:r>
    </w:p>
    <w:p w:rsidR="00BC563A" w:rsidRPr="00AF2E71" w:rsidRDefault="00BC563A" w:rsidP="00BC563A">
      <w:pPr>
        <w:spacing w:line="240" w:lineRule="auto"/>
        <w:jc w:val="both"/>
        <w:rPr>
          <w:rFonts w:ascii="Times New Roman" w:hAnsi="Times New Roman" w:cs="Times New Roman"/>
          <w:sz w:val="24"/>
          <w:szCs w:val="24"/>
          <w:lang w:eastAsia="es-ES"/>
        </w:rPr>
      </w:pPr>
      <w:r w:rsidRPr="00AF2E71">
        <w:rPr>
          <w:rFonts w:ascii="Times New Roman" w:hAnsi="Times New Roman" w:cs="Times New Roman"/>
          <w:sz w:val="24"/>
          <w:szCs w:val="24"/>
          <w:lang w:eastAsia="es-ES"/>
        </w:rPr>
        <w:t>Una generación que empezó a priorizar el ocio y las experiencias...</w:t>
      </w:r>
    </w:p>
    <w:p w:rsidR="00BC563A" w:rsidRPr="00AF2E71" w:rsidRDefault="00BC563A" w:rsidP="00BC563A">
      <w:pPr>
        <w:spacing w:line="240" w:lineRule="auto"/>
        <w:jc w:val="both"/>
        <w:rPr>
          <w:rFonts w:ascii="Times New Roman" w:hAnsi="Times New Roman" w:cs="Times New Roman"/>
          <w:sz w:val="24"/>
          <w:szCs w:val="24"/>
          <w:lang w:eastAsia="es-ES"/>
        </w:rPr>
      </w:pPr>
      <w:r w:rsidRPr="00AF2E71">
        <w:rPr>
          <w:rFonts w:ascii="Times New Roman" w:hAnsi="Times New Roman" w:cs="Times New Roman"/>
          <w:sz w:val="24"/>
          <w:szCs w:val="24"/>
          <w:lang w:eastAsia="es-ES"/>
        </w:rPr>
        <w:t>Quizás resulte injusto definirlos como la generación egocéntrica y egoísta que dibujan numerosos sociólogos, quizás fijándose más en características ligadas a la juventud. Sin embargo, sí se puede</w:t>
      </w:r>
      <w:r>
        <w:rPr>
          <w:rFonts w:ascii="Times New Roman" w:hAnsi="Times New Roman" w:cs="Times New Roman"/>
          <w:sz w:val="24"/>
          <w:szCs w:val="24"/>
          <w:lang w:eastAsia="es-ES"/>
        </w:rPr>
        <w:t>n generalizar algunos aspectos.</w:t>
      </w:r>
    </w:p>
    <w:p w:rsidR="00BC563A" w:rsidRPr="00AF2E71" w:rsidRDefault="00BC563A" w:rsidP="00BC563A">
      <w:pPr>
        <w:spacing w:line="240" w:lineRule="auto"/>
        <w:jc w:val="both"/>
        <w:rPr>
          <w:rFonts w:ascii="Times New Roman" w:hAnsi="Times New Roman" w:cs="Times New Roman"/>
          <w:sz w:val="24"/>
          <w:szCs w:val="24"/>
          <w:lang w:eastAsia="es-ES"/>
        </w:rPr>
      </w:pPr>
      <w:r w:rsidRPr="00AF2E71">
        <w:rPr>
          <w:rFonts w:ascii="Times New Roman" w:hAnsi="Times New Roman" w:cs="Times New Roman"/>
          <w:sz w:val="24"/>
          <w:szCs w:val="24"/>
          <w:lang w:eastAsia="es-ES"/>
        </w:rPr>
        <w:t>Según el informe de 2018, Las perspectivas vitales de los jóvenes, elaborado por la empresa Myword, de la expresidenta del CIS Belén Barreiro, para el Parlamento Europeo, los millennials son la generación que se percibe como la que vive o vivirá peor. Sobre todo en asuntos económicos y políticos asociados a la desigualdad socioeconómica, el acceso a una vivienda, el empleo y la situación pol</w:t>
      </w:r>
      <w:r>
        <w:rPr>
          <w:rFonts w:ascii="Times New Roman" w:hAnsi="Times New Roman" w:cs="Times New Roman"/>
          <w:sz w:val="24"/>
          <w:szCs w:val="24"/>
          <w:lang w:eastAsia="es-ES"/>
        </w:rPr>
        <w:t>ítica.</w:t>
      </w:r>
    </w:p>
    <w:p w:rsidR="00BC563A" w:rsidRPr="00AF2E71" w:rsidRDefault="00ED16BD" w:rsidP="00BC563A">
      <w:pPr>
        <w:spacing w:line="240" w:lineRule="auto"/>
        <w:jc w:val="both"/>
        <w:rPr>
          <w:rFonts w:ascii="Times New Roman" w:hAnsi="Times New Roman" w:cs="Times New Roman"/>
          <w:sz w:val="24"/>
          <w:szCs w:val="24"/>
          <w:lang w:eastAsia="es-ES"/>
        </w:rPr>
      </w:pPr>
      <w:r>
        <w:rPr>
          <w:rFonts w:ascii="Times New Roman" w:hAnsi="Times New Roman" w:cs="Times New Roman"/>
          <w:sz w:val="24"/>
          <w:szCs w:val="24"/>
          <w:lang w:eastAsia="es-ES"/>
        </w:rPr>
        <w:t>El estudio apunta a que “</w:t>
      </w:r>
      <w:r w:rsidR="00BC563A" w:rsidRPr="00AF2E71">
        <w:rPr>
          <w:rFonts w:ascii="Times New Roman" w:hAnsi="Times New Roman" w:cs="Times New Roman"/>
          <w:sz w:val="24"/>
          <w:szCs w:val="24"/>
          <w:lang w:eastAsia="es-ES"/>
        </w:rPr>
        <w:t>quizás como consecuencia del contexto en el que han crecido los millennials (desempleo, precariedad laboral, dif</w:t>
      </w:r>
      <w:r>
        <w:rPr>
          <w:rFonts w:ascii="Times New Roman" w:hAnsi="Times New Roman" w:cs="Times New Roman"/>
          <w:sz w:val="24"/>
          <w:szCs w:val="24"/>
          <w:lang w:eastAsia="es-ES"/>
        </w:rPr>
        <w:t>icultad para emanciparse, etc.)”</w:t>
      </w:r>
      <w:r w:rsidR="00BC563A" w:rsidRPr="00AF2E71">
        <w:rPr>
          <w:rFonts w:ascii="Times New Roman" w:hAnsi="Times New Roman" w:cs="Times New Roman"/>
          <w:sz w:val="24"/>
          <w:szCs w:val="24"/>
          <w:lang w:eastAsia="es-ES"/>
        </w:rPr>
        <w:t>, estos han tenido que reor</w:t>
      </w:r>
      <w:r>
        <w:rPr>
          <w:rFonts w:ascii="Times New Roman" w:hAnsi="Times New Roman" w:cs="Times New Roman"/>
          <w:sz w:val="24"/>
          <w:szCs w:val="24"/>
          <w:lang w:eastAsia="es-ES"/>
        </w:rPr>
        <w:t>denar sus prioridades vitales. “</w:t>
      </w:r>
      <w:r w:rsidR="00BC563A" w:rsidRPr="00AF2E71">
        <w:rPr>
          <w:rFonts w:ascii="Times New Roman" w:hAnsi="Times New Roman" w:cs="Times New Roman"/>
          <w:sz w:val="24"/>
          <w:szCs w:val="24"/>
          <w:lang w:eastAsia="es-ES"/>
        </w:rPr>
        <w:t>Se considera que esta generación valora más que las anteriores aspectos relacionados con el disfrute de la vida como disponer de tiempo de ocio, ser libres, vivir experiencias únicas y trabajar en lo que l</w:t>
      </w:r>
      <w:r>
        <w:rPr>
          <w:rFonts w:ascii="Times New Roman" w:hAnsi="Times New Roman" w:cs="Times New Roman"/>
          <w:sz w:val="24"/>
          <w:szCs w:val="24"/>
          <w:lang w:eastAsia="es-ES"/>
        </w:rPr>
        <w:t>es gusta”</w:t>
      </w:r>
      <w:r w:rsidR="00BC563A">
        <w:rPr>
          <w:rFonts w:ascii="Times New Roman" w:hAnsi="Times New Roman" w:cs="Times New Roman"/>
          <w:sz w:val="24"/>
          <w:szCs w:val="24"/>
          <w:lang w:eastAsia="es-ES"/>
        </w:rPr>
        <w:t>, señalaba el informe.</w:t>
      </w:r>
    </w:p>
    <w:p w:rsidR="00BC563A" w:rsidRPr="00AF2E71" w:rsidRDefault="00BC563A" w:rsidP="00BC563A">
      <w:pPr>
        <w:spacing w:line="240" w:lineRule="auto"/>
        <w:jc w:val="both"/>
        <w:rPr>
          <w:rFonts w:ascii="Times New Roman" w:hAnsi="Times New Roman" w:cs="Times New Roman"/>
          <w:sz w:val="24"/>
          <w:szCs w:val="24"/>
          <w:lang w:eastAsia="es-ES"/>
        </w:rPr>
      </w:pPr>
      <w:r w:rsidRPr="00AF2E71">
        <w:rPr>
          <w:rFonts w:ascii="Times New Roman" w:hAnsi="Times New Roman" w:cs="Times New Roman"/>
          <w:sz w:val="24"/>
          <w:szCs w:val="24"/>
          <w:lang w:eastAsia="es-ES"/>
        </w:rPr>
        <w:t>... al mismo tiempo que se ha enfrentado al drama del desempleo juvenil</w:t>
      </w:r>
    </w:p>
    <w:p w:rsidR="00BC563A" w:rsidRPr="00AF2E71" w:rsidRDefault="00BC563A" w:rsidP="00BC563A">
      <w:pPr>
        <w:spacing w:line="240" w:lineRule="auto"/>
        <w:jc w:val="both"/>
        <w:rPr>
          <w:rFonts w:ascii="Times New Roman" w:hAnsi="Times New Roman" w:cs="Times New Roman"/>
          <w:sz w:val="24"/>
          <w:szCs w:val="24"/>
          <w:lang w:eastAsia="es-ES"/>
        </w:rPr>
      </w:pPr>
      <w:r w:rsidRPr="00AF2E71">
        <w:rPr>
          <w:rFonts w:ascii="Times New Roman" w:hAnsi="Times New Roman" w:cs="Times New Roman"/>
          <w:sz w:val="24"/>
          <w:szCs w:val="24"/>
          <w:lang w:eastAsia="es-ES"/>
        </w:rPr>
        <w:t>Para la mitad de los millennials, su principal preocupación es el desempleo. Como recoge la encuesta de Deloitte Global Millennial Survey 2020, lo es par</w:t>
      </w:r>
      <w:r>
        <w:rPr>
          <w:rFonts w:ascii="Times New Roman" w:hAnsi="Times New Roman" w:cs="Times New Roman"/>
          <w:sz w:val="24"/>
          <w:szCs w:val="24"/>
          <w:lang w:eastAsia="es-ES"/>
        </w:rPr>
        <w:t>a el 47% y no es algo gratuito.</w:t>
      </w:r>
    </w:p>
    <w:p w:rsidR="00BC563A" w:rsidRPr="00AF2E71" w:rsidRDefault="00BC563A" w:rsidP="00BC563A">
      <w:pPr>
        <w:spacing w:line="240" w:lineRule="auto"/>
        <w:jc w:val="both"/>
        <w:rPr>
          <w:rFonts w:ascii="Times New Roman" w:hAnsi="Times New Roman" w:cs="Times New Roman"/>
          <w:sz w:val="24"/>
          <w:szCs w:val="24"/>
          <w:lang w:eastAsia="es-ES"/>
        </w:rPr>
      </w:pPr>
      <w:r w:rsidRPr="00AF2E71">
        <w:rPr>
          <w:rFonts w:ascii="Times New Roman" w:hAnsi="Times New Roman" w:cs="Times New Roman"/>
          <w:sz w:val="24"/>
          <w:szCs w:val="24"/>
          <w:lang w:eastAsia="es-ES"/>
        </w:rPr>
        <w:t xml:space="preserve">Para ver la evolución del desempleo basta con comparar cuál era la tasa entre los menores de 25 años en 2005, en los años de bonanza económica, respecto a los de este año, con el efecto pandemia ya en marcha. Entonces, la tasa de paro juvenil era de la mitad, de en torno al 20% respecto al 40% de hoy en día. </w:t>
      </w:r>
    </w:p>
    <w:p w:rsidR="00BC563A" w:rsidRPr="00AF2E71" w:rsidRDefault="00BC563A" w:rsidP="00BC563A">
      <w:pPr>
        <w:spacing w:line="240" w:lineRule="auto"/>
        <w:jc w:val="both"/>
        <w:rPr>
          <w:rFonts w:ascii="Times New Roman" w:hAnsi="Times New Roman" w:cs="Times New Roman"/>
          <w:sz w:val="24"/>
          <w:szCs w:val="24"/>
          <w:lang w:eastAsia="es-ES"/>
        </w:rPr>
      </w:pPr>
      <w:r w:rsidRPr="00AF2E71">
        <w:rPr>
          <w:rFonts w:ascii="Times New Roman" w:hAnsi="Times New Roman" w:cs="Times New Roman"/>
          <w:sz w:val="24"/>
          <w:szCs w:val="24"/>
          <w:lang w:eastAsia="es-ES"/>
        </w:rPr>
        <w:t xml:space="preserve">Por aquel entonces, la tasa de abandono escolar temprano superaba el 30% y hoy, aunque todavía sea la segunda mayor de la Unión Europea, ha caído hasta el 16%. La educación superior también ha ido progresando y se ha duplicado desde que nacieron los primeros millennials hasta ahora, aunque ello no comporta un </w:t>
      </w:r>
      <w:r>
        <w:rPr>
          <w:rFonts w:ascii="Times New Roman" w:hAnsi="Times New Roman" w:cs="Times New Roman"/>
          <w:sz w:val="24"/>
          <w:szCs w:val="24"/>
          <w:lang w:eastAsia="es-ES"/>
        </w:rPr>
        <w:t>trabajo con un salario elevado.</w:t>
      </w:r>
    </w:p>
    <w:p w:rsidR="00BC563A" w:rsidRPr="00AF2E71" w:rsidRDefault="00BC563A" w:rsidP="00BC563A">
      <w:pPr>
        <w:spacing w:line="240" w:lineRule="auto"/>
        <w:jc w:val="both"/>
        <w:rPr>
          <w:rFonts w:ascii="Times New Roman" w:hAnsi="Times New Roman" w:cs="Times New Roman"/>
          <w:sz w:val="24"/>
          <w:szCs w:val="24"/>
          <w:lang w:eastAsia="es-ES"/>
        </w:rPr>
      </w:pPr>
      <w:r w:rsidRPr="00AF2E71">
        <w:rPr>
          <w:rFonts w:ascii="Times New Roman" w:hAnsi="Times New Roman" w:cs="Times New Roman"/>
          <w:sz w:val="24"/>
          <w:szCs w:val="24"/>
          <w:lang w:eastAsia="es-ES"/>
        </w:rPr>
        <w:t>El problema endémico del paro en España, unido a la desconfianza generada hacia el sector bancario, resultan en que solo un 17% de los millennials españoles esperaba que mejorara su situación financiera en 2021, según la consultora. En el resto de países encuestados, este indicador se situaba en el 30%, lo que evidencia que la mentalidad del español de la generación Y es más pesimista (o realista) que en otros países de</w:t>
      </w:r>
      <w:r>
        <w:rPr>
          <w:rFonts w:ascii="Times New Roman" w:hAnsi="Times New Roman" w:cs="Times New Roman"/>
          <w:sz w:val="24"/>
          <w:szCs w:val="24"/>
          <w:lang w:eastAsia="es-ES"/>
        </w:rPr>
        <w:t xml:space="preserve"> nuestro entorno.</w:t>
      </w:r>
    </w:p>
    <w:p w:rsidR="00BC563A" w:rsidRPr="00AF2E71" w:rsidRDefault="00BC563A" w:rsidP="00BC563A">
      <w:pPr>
        <w:spacing w:line="240" w:lineRule="auto"/>
        <w:jc w:val="both"/>
        <w:rPr>
          <w:rFonts w:ascii="Times New Roman" w:hAnsi="Times New Roman" w:cs="Times New Roman"/>
          <w:sz w:val="24"/>
          <w:szCs w:val="24"/>
          <w:lang w:eastAsia="es-ES"/>
        </w:rPr>
      </w:pPr>
      <w:r w:rsidRPr="00AF2E71">
        <w:rPr>
          <w:rFonts w:ascii="Times New Roman" w:hAnsi="Times New Roman" w:cs="Times New Roman"/>
          <w:sz w:val="24"/>
          <w:szCs w:val="24"/>
          <w:lang w:eastAsia="es-ES"/>
        </w:rPr>
        <w:t>Las crudas enseñanzas de las dos grandes crisis económicas que ha vivido en primera persona esta generación, ha provocado que se vuelvan más conservadores respecto a sus expectativas laborales. Sobre todo a raíz de la pandemia. Según la citada encuesta de Deloitte, ha habido un descenso en la tasa que indica el deseo de cambiar de t</w:t>
      </w:r>
      <w:r>
        <w:rPr>
          <w:rFonts w:ascii="Times New Roman" w:hAnsi="Times New Roman" w:cs="Times New Roman"/>
          <w:sz w:val="24"/>
          <w:szCs w:val="24"/>
          <w:lang w:eastAsia="es-ES"/>
        </w:rPr>
        <w:t xml:space="preserve">rabajo en los próximos 2 años. </w:t>
      </w:r>
    </w:p>
    <w:p w:rsidR="00BC563A" w:rsidRPr="00AF2E71" w:rsidRDefault="00ED16BD" w:rsidP="00BC563A">
      <w:pPr>
        <w:spacing w:line="240" w:lineRule="auto"/>
        <w:jc w:val="both"/>
        <w:rPr>
          <w:rFonts w:ascii="Times New Roman" w:hAnsi="Times New Roman" w:cs="Times New Roman"/>
          <w:sz w:val="24"/>
          <w:szCs w:val="24"/>
          <w:lang w:eastAsia="es-ES"/>
        </w:rPr>
      </w:pPr>
      <w:r>
        <w:rPr>
          <w:rFonts w:ascii="Times New Roman" w:hAnsi="Times New Roman" w:cs="Times New Roman"/>
          <w:sz w:val="24"/>
          <w:szCs w:val="24"/>
          <w:lang w:eastAsia="es-ES"/>
        </w:rPr>
        <w:lastRenderedPageBreak/>
        <w:t>“</w:t>
      </w:r>
      <w:r w:rsidR="00BC563A" w:rsidRPr="00AF2E71">
        <w:rPr>
          <w:rFonts w:ascii="Times New Roman" w:hAnsi="Times New Roman" w:cs="Times New Roman"/>
          <w:sz w:val="24"/>
          <w:szCs w:val="24"/>
          <w:lang w:eastAsia="es-ES"/>
        </w:rPr>
        <w:t>Solo el 35% de los millennials apuesta por cambiar de compañía por el 55% que se</w:t>
      </w:r>
      <w:r>
        <w:rPr>
          <w:rFonts w:ascii="Times New Roman" w:hAnsi="Times New Roman" w:cs="Times New Roman"/>
          <w:sz w:val="24"/>
          <w:szCs w:val="24"/>
          <w:lang w:eastAsia="es-ES"/>
        </w:rPr>
        <w:t xml:space="preserve"> registró en la edición de 2019”</w:t>
      </w:r>
      <w:r w:rsidR="00BC563A" w:rsidRPr="00AF2E71">
        <w:rPr>
          <w:rFonts w:ascii="Times New Roman" w:hAnsi="Times New Roman" w:cs="Times New Roman"/>
          <w:sz w:val="24"/>
          <w:szCs w:val="24"/>
          <w:lang w:eastAsia="es-ES"/>
        </w:rPr>
        <w:t xml:space="preserve">, apuntan desde la consultora, que también señala que ha crecido el deseo de continuar trabajando en la misma empresa por un periodo superior a 5 años: el 35% frente al 23% de 2019. </w:t>
      </w:r>
    </w:p>
    <w:p w:rsidR="00BC563A" w:rsidRPr="00AF2E71" w:rsidRDefault="00BC563A" w:rsidP="00BC563A">
      <w:pPr>
        <w:spacing w:line="240" w:lineRule="auto"/>
        <w:jc w:val="both"/>
        <w:rPr>
          <w:rFonts w:ascii="Times New Roman" w:hAnsi="Times New Roman" w:cs="Times New Roman"/>
          <w:sz w:val="24"/>
          <w:szCs w:val="24"/>
          <w:lang w:eastAsia="es-ES"/>
        </w:rPr>
      </w:pPr>
      <w:r w:rsidRPr="00AF2E71">
        <w:rPr>
          <w:rFonts w:ascii="Times New Roman" w:hAnsi="Times New Roman" w:cs="Times New Roman"/>
          <w:sz w:val="24"/>
          <w:szCs w:val="24"/>
          <w:lang w:eastAsia="es-ES"/>
        </w:rPr>
        <w:t>Esta búsqueda de mayor estabilidad laboral se corresponde con la diferencia de renta existente entre las familias de los millennials de mayor edad respecto a la generación del baby boom. Los cabezas de familia de los hogares compuestos por boomers tienen unas rentas anuales de unos 10.000 euros por encima de los mill</w:t>
      </w:r>
      <w:r>
        <w:rPr>
          <w:rFonts w:ascii="Times New Roman" w:hAnsi="Times New Roman" w:cs="Times New Roman"/>
          <w:sz w:val="24"/>
          <w:szCs w:val="24"/>
          <w:lang w:eastAsia="es-ES"/>
        </w:rPr>
        <w:t>ennials entre los 30 y 40 años.</w:t>
      </w:r>
    </w:p>
    <w:p w:rsidR="00BC563A" w:rsidRPr="00AF2E71" w:rsidRDefault="00BC563A" w:rsidP="00BC563A">
      <w:pPr>
        <w:spacing w:line="240" w:lineRule="auto"/>
        <w:jc w:val="both"/>
        <w:rPr>
          <w:rFonts w:ascii="Times New Roman" w:hAnsi="Times New Roman" w:cs="Times New Roman"/>
          <w:sz w:val="24"/>
          <w:szCs w:val="24"/>
          <w:lang w:eastAsia="es-ES"/>
        </w:rPr>
      </w:pPr>
      <w:r w:rsidRPr="00AF2E71">
        <w:rPr>
          <w:rFonts w:ascii="Times New Roman" w:hAnsi="Times New Roman" w:cs="Times New Roman"/>
          <w:sz w:val="24"/>
          <w:szCs w:val="24"/>
          <w:lang w:eastAsia="es-ES"/>
        </w:rPr>
        <w:t>Según el informe del Banco de España La crisis del COVID-19 y su impacto sobre las condiciones económicas de las generaciones jóvenes, la renta de los cabezas de familia de los hogares compuestos por personas menores de 35 años está en torno a los 22.000 euros anuales. Una cifra que asciende hasta los casi 31.000 en el caso de los que más contribuyen en los hogares de entre</w:t>
      </w:r>
      <w:r>
        <w:rPr>
          <w:rFonts w:ascii="Times New Roman" w:hAnsi="Times New Roman" w:cs="Times New Roman"/>
          <w:sz w:val="24"/>
          <w:szCs w:val="24"/>
          <w:lang w:eastAsia="es-ES"/>
        </w:rPr>
        <w:t xml:space="preserve"> 35 y 44 años.</w:t>
      </w:r>
    </w:p>
    <w:p w:rsidR="00BC563A" w:rsidRPr="00AF2E71" w:rsidRDefault="00BC563A" w:rsidP="00BC563A">
      <w:pPr>
        <w:spacing w:line="240" w:lineRule="auto"/>
        <w:jc w:val="both"/>
        <w:rPr>
          <w:rFonts w:ascii="Times New Roman" w:hAnsi="Times New Roman" w:cs="Times New Roman"/>
          <w:sz w:val="24"/>
          <w:szCs w:val="24"/>
          <w:lang w:eastAsia="es-ES"/>
        </w:rPr>
      </w:pPr>
      <w:r w:rsidRPr="00AF2E71">
        <w:rPr>
          <w:rFonts w:ascii="Times New Roman" w:hAnsi="Times New Roman" w:cs="Times New Roman"/>
          <w:sz w:val="24"/>
          <w:szCs w:val="24"/>
          <w:lang w:eastAsia="es-ES"/>
        </w:rPr>
        <w:t>Estos últimos perciben algo menos que la generación del baby boom. Los cabezas de familia de los hogares españoles conformados por personas de entre 55 y 64 años está en torno a los 33.000 euros, siendo estos los que tienen unos mayores ingresos de entre todas las capas de población.</w:t>
      </w:r>
    </w:p>
    <w:p w:rsidR="00BC563A" w:rsidRPr="00AF2E71" w:rsidRDefault="00BC563A" w:rsidP="00BC563A">
      <w:pPr>
        <w:spacing w:line="240" w:lineRule="auto"/>
        <w:jc w:val="both"/>
        <w:rPr>
          <w:rFonts w:ascii="Times New Roman" w:hAnsi="Times New Roman" w:cs="Times New Roman"/>
          <w:sz w:val="24"/>
          <w:szCs w:val="24"/>
          <w:lang w:eastAsia="es-ES"/>
        </w:rPr>
      </w:pPr>
      <w:r w:rsidRPr="00AF2E71">
        <w:rPr>
          <w:rFonts w:ascii="Times New Roman" w:hAnsi="Times New Roman" w:cs="Times New Roman"/>
          <w:sz w:val="24"/>
          <w:szCs w:val="24"/>
          <w:lang w:eastAsia="es-ES"/>
        </w:rPr>
        <w:t>Todas las franjas de edad se vieron afectadas a nivel salarial por la crisis de 2008, pero como se puede ver en el gráfico del Observatorio Social La Caixa, los millennials fueron los más afectad</w:t>
      </w:r>
      <w:r>
        <w:rPr>
          <w:rFonts w:ascii="Times New Roman" w:hAnsi="Times New Roman" w:cs="Times New Roman"/>
          <w:sz w:val="24"/>
          <w:szCs w:val="24"/>
          <w:lang w:eastAsia="es-ES"/>
        </w:rPr>
        <w:t>os, sobre todo los más jóvenes.</w:t>
      </w:r>
    </w:p>
    <w:p w:rsidR="00BC563A" w:rsidRPr="00AF2E71" w:rsidRDefault="00BC563A" w:rsidP="00BC563A">
      <w:pPr>
        <w:spacing w:line="240" w:lineRule="auto"/>
        <w:jc w:val="both"/>
        <w:rPr>
          <w:rFonts w:ascii="Times New Roman" w:hAnsi="Times New Roman" w:cs="Times New Roman"/>
          <w:sz w:val="24"/>
          <w:szCs w:val="24"/>
          <w:lang w:eastAsia="es-ES"/>
        </w:rPr>
      </w:pPr>
      <w:r w:rsidRPr="00AF2E71">
        <w:rPr>
          <w:rFonts w:ascii="Times New Roman" w:hAnsi="Times New Roman" w:cs="Times New Roman"/>
          <w:sz w:val="24"/>
          <w:szCs w:val="24"/>
          <w:lang w:eastAsia="es-ES"/>
        </w:rPr>
        <w:t>Lo han tenido mucho más complicado que sus padres para comprar una casa. Pero las generaciones más jóvenes no lo van a tener más sencillo.</w:t>
      </w:r>
    </w:p>
    <w:p w:rsidR="00BC563A" w:rsidRPr="00AF2E71" w:rsidRDefault="00BC563A" w:rsidP="00BC563A">
      <w:pPr>
        <w:spacing w:line="240" w:lineRule="auto"/>
        <w:jc w:val="both"/>
        <w:rPr>
          <w:rFonts w:ascii="Times New Roman" w:hAnsi="Times New Roman" w:cs="Times New Roman"/>
          <w:sz w:val="24"/>
          <w:szCs w:val="24"/>
          <w:lang w:eastAsia="es-ES"/>
        </w:rPr>
      </w:pPr>
      <w:r w:rsidRPr="00AF2E71">
        <w:rPr>
          <w:rFonts w:ascii="Times New Roman" w:hAnsi="Times New Roman" w:cs="Times New Roman"/>
          <w:sz w:val="24"/>
          <w:szCs w:val="24"/>
          <w:lang w:eastAsia="es-ES"/>
        </w:rPr>
        <w:t>Después del estallido de la burbuja inmobiliaria, la vivienda se convertía en uno de los principales problemas para los millennials. Y lo sigue siendo a día de hoy, a tenor de las cifras, que indican que poco más de</w:t>
      </w:r>
      <w:r>
        <w:rPr>
          <w:rFonts w:ascii="Times New Roman" w:hAnsi="Times New Roman" w:cs="Times New Roman"/>
          <w:sz w:val="24"/>
          <w:szCs w:val="24"/>
          <w:lang w:eastAsia="es-ES"/>
        </w:rPr>
        <w:t xml:space="preserve"> la mitad consigue comprar una.</w:t>
      </w:r>
    </w:p>
    <w:p w:rsidR="00BC563A" w:rsidRPr="00AF2E71" w:rsidRDefault="00BC563A" w:rsidP="00BC563A">
      <w:pPr>
        <w:spacing w:line="240" w:lineRule="auto"/>
        <w:jc w:val="both"/>
        <w:rPr>
          <w:rFonts w:ascii="Times New Roman" w:hAnsi="Times New Roman" w:cs="Times New Roman"/>
          <w:sz w:val="24"/>
          <w:szCs w:val="24"/>
          <w:lang w:eastAsia="es-ES"/>
        </w:rPr>
      </w:pPr>
      <w:r w:rsidRPr="00AF2E71">
        <w:rPr>
          <w:rFonts w:ascii="Times New Roman" w:hAnsi="Times New Roman" w:cs="Times New Roman"/>
          <w:sz w:val="24"/>
          <w:szCs w:val="24"/>
          <w:lang w:eastAsia="es-ES"/>
        </w:rPr>
        <w:t>Según el INE, el 63,8% de los españoles de entre 30 y 44 años tenía en 2017 una casa en propiedad. Si discernimos por sexo, los hombres que habían comprado una casa ascendían al 67,1%, frente al 58,6% en el caso de las mujeres. En el siguiente grupo de edad, de entre 45 y 64 años, el porcentaje asciende hasta el 80%, sin prácticamente difer</w:t>
      </w:r>
      <w:r>
        <w:rPr>
          <w:rFonts w:ascii="Times New Roman" w:hAnsi="Times New Roman" w:cs="Times New Roman"/>
          <w:sz w:val="24"/>
          <w:szCs w:val="24"/>
          <w:lang w:eastAsia="es-ES"/>
        </w:rPr>
        <w:t>encias entre hombres y mujeres.</w:t>
      </w:r>
    </w:p>
    <w:p w:rsidR="00BC563A" w:rsidRPr="00AF2E71" w:rsidRDefault="00BC563A" w:rsidP="00BC563A">
      <w:pPr>
        <w:spacing w:line="240" w:lineRule="auto"/>
        <w:jc w:val="both"/>
        <w:rPr>
          <w:rFonts w:ascii="Times New Roman" w:hAnsi="Times New Roman" w:cs="Times New Roman"/>
          <w:sz w:val="24"/>
          <w:szCs w:val="24"/>
          <w:lang w:eastAsia="es-ES"/>
        </w:rPr>
      </w:pPr>
      <w:r w:rsidRPr="00AF2E71">
        <w:rPr>
          <w:rFonts w:ascii="Times New Roman" w:hAnsi="Times New Roman" w:cs="Times New Roman"/>
          <w:sz w:val="24"/>
          <w:szCs w:val="24"/>
          <w:lang w:eastAsia="es-ES"/>
        </w:rPr>
        <w:t>Con la subida de los precios de la vivienda a partir de la década de 1990 y unos salarios inferiores a los de la generación precedente, el resultado ha sido que el esfuerzo para comprar una vivienda por parte de un hogar mediano se dispare. En los años 80 una familia podía comprar un piso de casi 100 metros cuadrados con el equivalente a 3 años de ingresos brutos. Actualmente se necesitarían para una tipología similar unos 7 años.</w:t>
      </w:r>
    </w:p>
    <w:p w:rsidR="00BC563A" w:rsidRPr="00AF2E71" w:rsidRDefault="00BC563A" w:rsidP="00BC563A">
      <w:pPr>
        <w:spacing w:line="240" w:lineRule="auto"/>
        <w:jc w:val="both"/>
        <w:rPr>
          <w:rFonts w:ascii="Times New Roman" w:hAnsi="Times New Roman" w:cs="Times New Roman"/>
          <w:sz w:val="24"/>
          <w:szCs w:val="24"/>
          <w:lang w:eastAsia="es-ES"/>
        </w:rPr>
      </w:pPr>
      <w:r w:rsidRPr="00AF2E71">
        <w:rPr>
          <w:rFonts w:ascii="Times New Roman" w:hAnsi="Times New Roman" w:cs="Times New Roman"/>
          <w:sz w:val="24"/>
          <w:szCs w:val="24"/>
          <w:lang w:eastAsia="es-ES"/>
        </w:rPr>
        <w:t>La crisis ha retrasado todavía más la maternidad y, de hecho, las mujeres de 40 años tienen el doble de hijos que las de 23.</w:t>
      </w:r>
    </w:p>
    <w:p w:rsidR="00BC563A" w:rsidRPr="00AF2E71" w:rsidRDefault="00BC563A" w:rsidP="00BC563A">
      <w:pPr>
        <w:spacing w:line="240" w:lineRule="auto"/>
        <w:jc w:val="both"/>
        <w:rPr>
          <w:rFonts w:ascii="Times New Roman" w:hAnsi="Times New Roman" w:cs="Times New Roman"/>
          <w:sz w:val="24"/>
          <w:szCs w:val="24"/>
          <w:lang w:eastAsia="es-ES"/>
        </w:rPr>
      </w:pPr>
      <w:r w:rsidRPr="00AF2E71">
        <w:rPr>
          <w:rFonts w:ascii="Times New Roman" w:hAnsi="Times New Roman" w:cs="Times New Roman"/>
          <w:sz w:val="24"/>
          <w:szCs w:val="24"/>
          <w:lang w:eastAsia="es-ES"/>
        </w:rPr>
        <w:t>La natalidad es otro de los aspectos que ayudan a perfilar a este grupo poblacional. Las mejores condiciones de los millennials respecto a las generaciones posterior</w:t>
      </w:r>
      <w:r>
        <w:rPr>
          <w:rFonts w:ascii="Times New Roman" w:hAnsi="Times New Roman" w:cs="Times New Roman"/>
          <w:sz w:val="24"/>
          <w:szCs w:val="24"/>
          <w:lang w:eastAsia="es-ES"/>
        </w:rPr>
        <w:t xml:space="preserve">es se refleja en la natalidad. </w:t>
      </w:r>
    </w:p>
    <w:p w:rsidR="00BC563A" w:rsidRPr="00AF2E71" w:rsidRDefault="00BC563A" w:rsidP="00BC563A">
      <w:pPr>
        <w:spacing w:line="240" w:lineRule="auto"/>
        <w:jc w:val="both"/>
        <w:rPr>
          <w:rFonts w:ascii="Times New Roman" w:hAnsi="Times New Roman" w:cs="Times New Roman"/>
          <w:sz w:val="24"/>
          <w:szCs w:val="24"/>
          <w:lang w:eastAsia="es-ES"/>
        </w:rPr>
      </w:pPr>
      <w:r w:rsidRPr="00AF2E71">
        <w:rPr>
          <w:rFonts w:ascii="Times New Roman" w:hAnsi="Times New Roman" w:cs="Times New Roman"/>
          <w:sz w:val="24"/>
          <w:szCs w:val="24"/>
          <w:lang w:eastAsia="es-ES"/>
        </w:rPr>
        <w:t xml:space="preserve">Las mujeres españolas de 40 años tienen el doble de hijos que las de 23, pese a no estar las primeras en el baremo de edad ideal para ser madres (12.241 nacimientos frente a 6.266). La </w:t>
      </w:r>
      <w:r w:rsidRPr="00AF2E71">
        <w:rPr>
          <w:rFonts w:ascii="Times New Roman" w:hAnsi="Times New Roman" w:cs="Times New Roman"/>
          <w:sz w:val="24"/>
          <w:szCs w:val="24"/>
          <w:lang w:eastAsia="es-ES"/>
        </w:rPr>
        <w:lastRenderedPageBreak/>
        <w:t>edad a la que más mujeres tienen hijos en España se sitúa en los 34 años (26.361 nacimientos en 2019, según Statista).</w:t>
      </w:r>
    </w:p>
    <w:p w:rsidR="00BC563A" w:rsidRPr="00AF2E71" w:rsidRDefault="00BC563A" w:rsidP="00BC563A">
      <w:pPr>
        <w:spacing w:line="240" w:lineRule="auto"/>
        <w:jc w:val="both"/>
        <w:rPr>
          <w:rFonts w:ascii="Times New Roman" w:hAnsi="Times New Roman" w:cs="Times New Roman"/>
          <w:sz w:val="24"/>
          <w:szCs w:val="24"/>
          <w:lang w:eastAsia="es-ES"/>
        </w:rPr>
      </w:pPr>
      <w:r w:rsidRPr="00AF2E71">
        <w:rPr>
          <w:rFonts w:ascii="Times New Roman" w:hAnsi="Times New Roman" w:cs="Times New Roman"/>
          <w:sz w:val="24"/>
          <w:szCs w:val="24"/>
          <w:lang w:eastAsia="es-ES"/>
        </w:rPr>
        <w:t>El grueso de los nacimientos en España se da en madres de entre 31 y 37 años (por encima de los 20.000 en todos los años intermedios). Sin embargo, llama la atención que en nuestro país tienen aproximadamente los mismos hijos las mujeres de 22 años que las de 42. De hecho estas últimas tienen algunos más: 5.389 las primeras, en 2019, po</w:t>
      </w:r>
      <w:r>
        <w:rPr>
          <w:rFonts w:ascii="Times New Roman" w:hAnsi="Times New Roman" w:cs="Times New Roman"/>
          <w:sz w:val="24"/>
          <w:szCs w:val="24"/>
          <w:lang w:eastAsia="es-ES"/>
        </w:rPr>
        <w:t>r los 5.863 de las segundas.</w:t>
      </w:r>
    </w:p>
    <w:p w:rsidR="00BC563A" w:rsidRPr="00AF2E71" w:rsidRDefault="00BC563A" w:rsidP="00BC563A">
      <w:pPr>
        <w:spacing w:line="240" w:lineRule="auto"/>
        <w:jc w:val="both"/>
        <w:rPr>
          <w:rFonts w:ascii="Times New Roman" w:hAnsi="Times New Roman" w:cs="Times New Roman"/>
          <w:sz w:val="24"/>
          <w:szCs w:val="24"/>
          <w:lang w:eastAsia="es-ES"/>
        </w:rPr>
      </w:pPr>
      <w:r w:rsidRPr="00AF2E71">
        <w:rPr>
          <w:rFonts w:ascii="Times New Roman" w:hAnsi="Times New Roman" w:cs="Times New Roman"/>
          <w:sz w:val="24"/>
          <w:szCs w:val="24"/>
          <w:lang w:eastAsia="es-ES"/>
        </w:rPr>
        <w:t>Estos datos corresponden a antes de la pandemia, que ha provocado un descenso de la natalidad, según los datos provisionales del INE de 2020, que indican una caída de en torno al 20%. El Instituto Nacional de Estadística advierte, además, de un retraso preocupante en la maternidad, con un aumento del 41,1% respecto a hace una década del to</w:t>
      </w:r>
      <w:r>
        <w:rPr>
          <w:rFonts w:ascii="Times New Roman" w:hAnsi="Times New Roman" w:cs="Times New Roman"/>
          <w:sz w:val="24"/>
          <w:szCs w:val="24"/>
          <w:lang w:eastAsia="es-ES"/>
        </w:rPr>
        <w:t>tal de madres de 40 o más años.</w:t>
      </w:r>
    </w:p>
    <w:p w:rsidR="00BC563A" w:rsidRPr="00AF2E71" w:rsidRDefault="00BC563A" w:rsidP="00BC563A">
      <w:pPr>
        <w:spacing w:line="240" w:lineRule="auto"/>
        <w:jc w:val="both"/>
        <w:rPr>
          <w:rFonts w:ascii="Times New Roman" w:hAnsi="Times New Roman" w:cs="Times New Roman"/>
          <w:sz w:val="24"/>
          <w:szCs w:val="24"/>
          <w:lang w:eastAsia="es-ES"/>
        </w:rPr>
      </w:pPr>
      <w:r w:rsidRPr="00AF2E71">
        <w:rPr>
          <w:rFonts w:ascii="Times New Roman" w:hAnsi="Times New Roman" w:cs="Times New Roman"/>
          <w:sz w:val="24"/>
          <w:szCs w:val="24"/>
          <w:lang w:eastAsia="es-ES"/>
        </w:rPr>
        <w:t>¿Analógicos o digitales? Los millennials más creciditos han pasado</w:t>
      </w:r>
      <w:r w:rsidR="00ED16BD">
        <w:rPr>
          <w:rFonts w:ascii="Times New Roman" w:hAnsi="Times New Roman" w:cs="Times New Roman"/>
          <w:sz w:val="24"/>
          <w:szCs w:val="24"/>
          <w:lang w:eastAsia="es-ES"/>
        </w:rPr>
        <w:t xml:space="preserve"> d</w:t>
      </w:r>
      <w:r w:rsidRPr="00AF2E71">
        <w:rPr>
          <w:rFonts w:ascii="Times New Roman" w:hAnsi="Times New Roman" w:cs="Times New Roman"/>
          <w:sz w:val="24"/>
          <w:szCs w:val="24"/>
          <w:lang w:eastAsia="es-ES"/>
        </w:rPr>
        <w:t xml:space="preserve">el Nokia 3310 y </w:t>
      </w:r>
      <w:r w:rsidR="00ED16BD" w:rsidRPr="00AF2E71">
        <w:rPr>
          <w:rFonts w:ascii="Times New Roman" w:hAnsi="Times New Roman" w:cs="Times New Roman"/>
          <w:sz w:val="24"/>
          <w:szCs w:val="24"/>
          <w:lang w:eastAsia="es-ES"/>
        </w:rPr>
        <w:t>el walkman</w:t>
      </w:r>
      <w:r w:rsidR="00750AD1">
        <w:rPr>
          <w:rFonts w:ascii="Times New Roman" w:hAnsi="Times New Roman" w:cs="Times New Roman"/>
          <w:sz w:val="24"/>
          <w:szCs w:val="24"/>
          <w:lang w:eastAsia="es-ES"/>
        </w:rPr>
        <w:t>,</w:t>
      </w:r>
      <w:r w:rsidRPr="00AF2E71">
        <w:rPr>
          <w:rFonts w:ascii="Times New Roman" w:hAnsi="Times New Roman" w:cs="Times New Roman"/>
          <w:sz w:val="24"/>
          <w:szCs w:val="24"/>
          <w:lang w:eastAsia="es-ES"/>
        </w:rPr>
        <w:t xml:space="preserve"> al iPhone y Twitch</w:t>
      </w:r>
    </w:p>
    <w:p w:rsidR="00BC563A" w:rsidRPr="00AF2E71" w:rsidRDefault="00BC563A" w:rsidP="00BC563A">
      <w:pPr>
        <w:spacing w:line="240" w:lineRule="auto"/>
        <w:jc w:val="both"/>
        <w:rPr>
          <w:rFonts w:ascii="Times New Roman" w:hAnsi="Times New Roman" w:cs="Times New Roman"/>
          <w:sz w:val="24"/>
          <w:szCs w:val="24"/>
          <w:lang w:eastAsia="es-ES"/>
        </w:rPr>
      </w:pPr>
      <w:r w:rsidRPr="00AF2E71">
        <w:rPr>
          <w:rFonts w:ascii="Times New Roman" w:hAnsi="Times New Roman" w:cs="Times New Roman"/>
          <w:sz w:val="24"/>
          <w:szCs w:val="24"/>
          <w:lang w:eastAsia="es-ES"/>
        </w:rPr>
        <w:t>A nivel tecnológico, son los jóvenes no tan jóvenes que han escuchado música en un walkman, luego en CD y después en Napster. Ha visto infinidad de películas en VHS y han pasado buena parte de su infancia jugando en la c</w:t>
      </w:r>
      <w:r>
        <w:rPr>
          <w:rFonts w:ascii="Times New Roman" w:hAnsi="Times New Roman" w:cs="Times New Roman"/>
          <w:sz w:val="24"/>
          <w:szCs w:val="24"/>
          <w:lang w:eastAsia="es-ES"/>
        </w:rPr>
        <w:t xml:space="preserve">alle o en salones recreativos. </w:t>
      </w:r>
    </w:p>
    <w:p w:rsidR="00BC563A" w:rsidRPr="00AF2E71" w:rsidRDefault="00BC563A" w:rsidP="00BC563A">
      <w:pPr>
        <w:spacing w:line="240" w:lineRule="auto"/>
        <w:jc w:val="both"/>
        <w:rPr>
          <w:rFonts w:ascii="Times New Roman" w:hAnsi="Times New Roman" w:cs="Times New Roman"/>
          <w:sz w:val="24"/>
          <w:szCs w:val="24"/>
          <w:lang w:eastAsia="es-ES"/>
        </w:rPr>
      </w:pPr>
      <w:r w:rsidRPr="00AF2E71">
        <w:rPr>
          <w:rFonts w:ascii="Times New Roman" w:hAnsi="Times New Roman" w:cs="Times New Roman"/>
          <w:sz w:val="24"/>
          <w:szCs w:val="24"/>
          <w:lang w:eastAsia="es-ES"/>
        </w:rPr>
        <w:t>También han sido los primeros en vivir de primera mano la revolución tecnológica que ha supuesto la llegada de las nuevas tecnologías como internet o los smartphones, que han transformado completament</w:t>
      </w:r>
      <w:r>
        <w:rPr>
          <w:rFonts w:ascii="Times New Roman" w:hAnsi="Times New Roman" w:cs="Times New Roman"/>
          <w:sz w:val="24"/>
          <w:szCs w:val="24"/>
          <w:lang w:eastAsia="es-ES"/>
        </w:rPr>
        <w:t xml:space="preserve">e el mundo en unos pocos años. </w:t>
      </w:r>
    </w:p>
    <w:p w:rsidR="00BC563A" w:rsidRPr="00AF2E71" w:rsidRDefault="00BC563A" w:rsidP="00BC563A">
      <w:pPr>
        <w:spacing w:line="240" w:lineRule="auto"/>
        <w:jc w:val="both"/>
        <w:rPr>
          <w:rFonts w:ascii="Times New Roman" w:hAnsi="Times New Roman" w:cs="Times New Roman"/>
          <w:sz w:val="24"/>
          <w:szCs w:val="24"/>
          <w:lang w:eastAsia="es-ES"/>
        </w:rPr>
      </w:pPr>
      <w:r w:rsidRPr="00AF2E71">
        <w:rPr>
          <w:rFonts w:ascii="Times New Roman" w:hAnsi="Times New Roman" w:cs="Times New Roman"/>
          <w:sz w:val="24"/>
          <w:szCs w:val="24"/>
          <w:lang w:eastAsia="es-ES"/>
        </w:rPr>
        <w:t>Hoy se desenvuelven con soltura con las últimas innovaciones tecnológicas, pero muchos de ellos tienen grabados en la retina el infernal ruido que hacían los primeros routers para conectarse a la red desde el PC, el sonido de las notificaciones de Messenger o aquellos primeros móviles de Nokia que pesaban tanto como un ladrillo,</w:t>
      </w:r>
      <w:r>
        <w:rPr>
          <w:rFonts w:ascii="Times New Roman" w:hAnsi="Times New Roman" w:cs="Times New Roman"/>
          <w:sz w:val="24"/>
          <w:szCs w:val="24"/>
          <w:lang w:eastAsia="es-ES"/>
        </w:rPr>
        <w:t xml:space="preserve"> pero eran aún más resistentes.</w:t>
      </w:r>
    </w:p>
    <w:p w:rsidR="00BC563A" w:rsidRPr="00AF2E71" w:rsidRDefault="00BC563A" w:rsidP="00BC563A">
      <w:pPr>
        <w:spacing w:line="240" w:lineRule="auto"/>
        <w:jc w:val="both"/>
        <w:rPr>
          <w:rFonts w:ascii="Times New Roman" w:hAnsi="Times New Roman" w:cs="Times New Roman"/>
          <w:sz w:val="24"/>
          <w:szCs w:val="24"/>
          <w:lang w:eastAsia="es-ES"/>
        </w:rPr>
      </w:pPr>
      <w:r w:rsidRPr="00AF2E71">
        <w:rPr>
          <w:rFonts w:ascii="Times New Roman" w:hAnsi="Times New Roman" w:cs="Times New Roman"/>
          <w:sz w:val="24"/>
          <w:szCs w:val="24"/>
          <w:lang w:eastAsia="es-ES"/>
        </w:rPr>
        <w:t>Pueden ser, además, un activo valioso para muchas empresas en una era de trabajo híbrido. Con las habilidades de las generaciones mayores y jóvenes, pueden tender un puente entre los estilos de comunicación que pueden existir entre equipos formados por diferentes grupos de edad. Por ejemplo, un millennial geriátrico sabe cómo enviar un mensaje de Slack a un compañero de trabajo de la generación Z en lugar de llamarle de repente, lo que podría resultar alarmante para algunos. Pero también saben que deben ayudar a los compañeros de más edad para que aprendan a utilizar las platafor</w:t>
      </w:r>
      <w:r>
        <w:rPr>
          <w:rFonts w:ascii="Times New Roman" w:hAnsi="Times New Roman" w:cs="Times New Roman"/>
          <w:sz w:val="24"/>
          <w:szCs w:val="24"/>
          <w:lang w:eastAsia="es-ES"/>
        </w:rPr>
        <w:t>mas de videollamadas como Zoom.</w:t>
      </w:r>
    </w:p>
    <w:p w:rsidR="00BC563A" w:rsidRPr="00AF2E71" w:rsidRDefault="00BC563A" w:rsidP="00BC563A">
      <w:pPr>
        <w:spacing w:line="240" w:lineRule="auto"/>
        <w:jc w:val="both"/>
        <w:rPr>
          <w:rFonts w:ascii="Times New Roman" w:hAnsi="Times New Roman" w:cs="Times New Roman"/>
          <w:sz w:val="24"/>
          <w:szCs w:val="24"/>
          <w:lang w:eastAsia="es-ES"/>
        </w:rPr>
      </w:pPr>
      <w:r w:rsidRPr="00AF2E71">
        <w:rPr>
          <w:rFonts w:ascii="Times New Roman" w:hAnsi="Times New Roman" w:cs="Times New Roman"/>
          <w:sz w:val="24"/>
          <w:szCs w:val="24"/>
          <w:lang w:eastAsia="es-ES"/>
        </w:rPr>
        <w:t xml:space="preserve">Los cambios culturales se han dejado ver también en cuanto al aspecto espiritual. Según el CIS, en 1981, cuando nacieron los primeros millennials, solo un 20% de los jóvenes de entonces decía ser ateo o </w:t>
      </w:r>
      <w:r>
        <w:rPr>
          <w:rFonts w:ascii="Times New Roman" w:hAnsi="Times New Roman" w:cs="Times New Roman"/>
          <w:sz w:val="24"/>
          <w:szCs w:val="24"/>
          <w:lang w:eastAsia="es-ES"/>
        </w:rPr>
        <w:t>agnóstico. Hoy son casi el 60%.</w:t>
      </w:r>
    </w:p>
    <w:p w:rsidR="00BC563A" w:rsidRPr="00AF2E71" w:rsidRDefault="00BC563A" w:rsidP="00BC563A">
      <w:pPr>
        <w:spacing w:line="240" w:lineRule="auto"/>
        <w:jc w:val="both"/>
        <w:rPr>
          <w:rFonts w:ascii="Times New Roman" w:hAnsi="Times New Roman" w:cs="Times New Roman"/>
          <w:sz w:val="24"/>
          <w:szCs w:val="24"/>
          <w:lang w:eastAsia="es-ES"/>
        </w:rPr>
      </w:pPr>
      <w:r w:rsidRPr="00AF2E71">
        <w:rPr>
          <w:rFonts w:ascii="Times New Roman" w:hAnsi="Times New Roman" w:cs="Times New Roman"/>
          <w:sz w:val="24"/>
          <w:szCs w:val="24"/>
          <w:lang w:eastAsia="es-ES"/>
        </w:rPr>
        <w:t xml:space="preserve">La citada encuesta del Parlamento Europeo preguntaba a la muestra millennial en qué creían que había mejorado su vida respecto a la de sus padres. Por supuesto no destacaron los aspectos económicos y pusieron el foco en las áreas sociales, en asuntos como el acceso a la información, el ocio y la cultura, la libertad, la igualdad de género o la conciliación familiar. </w:t>
      </w:r>
    </w:p>
    <w:p w:rsidR="00BC563A" w:rsidRPr="00ED16BD" w:rsidRDefault="00BC563A" w:rsidP="00BC563A">
      <w:pPr>
        <w:spacing w:line="240" w:lineRule="auto"/>
        <w:jc w:val="both"/>
        <w:rPr>
          <w:rFonts w:ascii="Times New Roman" w:hAnsi="Times New Roman" w:cs="Times New Roman"/>
          <w:b/>
          <w:sz w:val="24"/>
          <w:szCs w:val="24"/>
          <w:lang w:eastAsia="es-ES"/>
        </w:rPr>
      </w:pPr>
      <w:r w:rsidRPr="00ED16BD">
        <w:rPr>
          <w:rFonts w:ascii="Times New Roman" w:hAnsi="Times New Roman" w:cs="Times New Roman"/>
          <w:b/>
          <w:sz w:val="24"/>
          <w:szCs w:val="24"/>
          <w:lang w:eastAsia="es-ES"/>
        </w:rPr>
        <w:t>La perspectiva</w:t>
      </w:r>
      <w:r w:rsidR="00ED16BD">
        <w:rPr>
          <w:rFonts w:ascii="Times New Roman" w:hAnsi="Times New Roman" w:cs="Times New Roman"/>
          <w:b/>
          <w:sz w:val="24"/>
          <w:szCs w:val="24"/>
          <w:lang w:eastAsia="es-ES"/>
        </w:rPr>
        <w:t xml:space="preserve"> (II)</w:t>
      </w:r>
      <w:r w:rsidR="00F37AC2">
        <w:rPr>
          <w:rFonts w:ascii="Times New Roman" w:hAnsi="Times New Roman" w:cs="Times New Roman"/>
          <w:b/>
          <w:sz w:val="24"/>
          <w:szCs w:val="24"/>
          <w:lang w:eastAsia="es-ES"/>
        </w:rPr>
        <w:t xml:space="preserve">: </w:t>
      </w:r>
      <w:r w:rsidRPr="00ED16BD">
        <w:rPr>
          <w:rFonts w:ascii="Times New Roman" w:hAnsi="Times New Roman" w:cs="Times New Roman"/>
          <w:b/>
          <w:sz w:val="24"/>
          <w:szCs w:val="24"/>
          <w:lang w:eastAsia="es-ES"/>
        </w:rPr>
        <w:t>Temporalidad y desempleo de la juventud europea (e</w:t>
      </w:r>
      <w:r w:rsidR="00ED16BD">
        <w:rPr>
          <w:rFonts w:ascii="Times New Roman" w:hAnsi="Times New Roman" w:cs="Times New Roman"/>
          <w:b/>
          <w:sz w:val="24"/>
          <w:szCs w:val="24"/>
          <w:lang w:eastAsia="es-ES"/>
        </w:rPr>
        <w:t>l drama de los “millennials”</w:t>
      </w:r>
      <w:r w:rsidRPr="00ED16BD">
        <w:rPr>
          <w:rFonts w:ascii="Times New Roman" w:hAnsi="Times New Roman" w:cs="Times New Roman"/>
          <w:b/>
          <w:sz w:val="24"/>
          <w:szCs w:val="24"/>
          <w:lang w:eastAsia="es-ES"/>
        </w:rPr>
        <w:t xml:space="preserve">: condenados a vivir peor que sus padres) </w:t>
      </w:r>
    </w:p>
    <w:p w:rsidR="00BC563A" w:rsidRDefault="00BC563A" w:rsidP="00BC563A">
      <w:pPr>
        <w:spacing w:line="240" w:lineRule="auto"/>
        <w:jc w:val="both"/>
        <w:rPr>
          <w:rFonts w:ascii="Times New Roman" w:hAnsi="Times New Roman" w:cs="Times New Roman"/>
          <w:b/>
          <w:sz w:val="24"/>
          <w:szCs w:val="24"/>
          <w:lang w:eastAsia="es-ES"/>
        </w:rPr>
      </w:pPr>
      <w:r>
        <w:rPr>
          <w:rFonts w:ascii="Times New Roman" w:hAnsi="Times New Roman" w:cs="Times New Roman"/>
          <w:b/>
          <w:sz w:val="24"/>
          <w:szCs w:val="24"/>
          <w:lang w:eastAsia="es-ES"/>
        </w:rPr>
        <w:t>La verdad de la milanesa (el deschave): del sueño capitalista a la pesadilla medieval</w:t>
      </w:r>
    </w:p>
    <w:p w:rsidR="00BC563A" w:rsidRDefault="00BC563A" w:rsidP="00BC563A">
      <w:pPr>
        <w:spacing w:line="240" w:lineRule="auto"/>
        <w:jc w:val="both"/>
        <w:rPr>
          <w:rFonts w:ascii="Times New Roman" w:hAnsi="Times New Roman" w:cs="Times New Roman"/>
          <w:sz w:val="24"/>
          <w:szCs w:val="24"/>
          <w:lang w:eastAsia="es-ES"/>
        </w:rPr>
      </w:pPr>
      <w:r>
        <w:rPr>
          <w:rFonts w:ascii="Times New Roman" w:hAnsi="Times New Roman" w:cs="Times New Roman"/>
          <w:sz w:val="24"/>
          <w:szCs w:val="24"/>
          <w:lang w:eastAsia="es-ES"/>
        </w:rPr>
        <w:lastRenderedPageBreak/>
        <w:t>L</w:t>
      </w:r>
      <w:r w:rsidRPr="00F047C4">
        <w:rPr>
          <w:rFonts w:ascii="Times New Roman" w:hAnsi="Times New Roman" w:cs="Times New Roman"/>
          <w:sz w:val="24"/>
          <w:szCs w:val="24"/>
          <w:lang w:eastAsia="es-ES"/>
        </w:rPr>
        <w:t>a precaria situació</w:t>
      </w:r>
      <w:r>
        <w:rPr>
          <w:rFonts w:ascii="Times New Roman" w:hAnsi="Times New Roman" w:cs="Times New Roman"/>
          <w:sz w:val="24"/>
          <w:szCs w:val="24"/>
          <w:lang w:eastAsia="es-ES"/>
        </w:rPr>
        <w:t>n actual de la juventud europea</w:t>
      </w:r>
      <w:r w:rsidRPr="00F047C4">
        <w:rPr>
          <w:rFonts w:ascii="Times New Roman" w:hAnsi="Times New Roman" w:cs="Times New Roman"/>
          <w:sz w:val="24"/>
          <w:szCs w:val="24"/>
          <w:lang w:eastAsia="es-ES"/>
        </w:rPr>
        <w:t xml:space="preserve"> no es causa</w:t>
      </w:r>
      <w:r>
        <w:rPr>
          <w:rFonts w:ascii="Times New Roman" w:hAnsi="Times New Roman" w:cs="Times New Roman"/>
          <w:sz w:val="24"/>
          <w:szCs w:val="24"/>
          <w:lang w:eastAsia="es-ES"/>
        </w:rPr>
        <w:t>da únicamente por la</w:t>
      </w:r>
      <w:r w:rsidRPr="00F047C4">
        <w:rPr>
          <w:rFonts w:ascii="Times New Roman" w:hAnsi="Times New Roman" w:cs="Times New Roman"/>
          <w:sz w:val="24"/>
          <w:szCs w:val="24"/>
          <w:lang w:eastAsia="es-ES"/>
        </w:rPr>
        <w:t xml:space="preserve"> covid-19. La generación nacida entre 1985 y 1995, conocidos popul</w:t>
      </w:r>
      <w:r>
        <w:rPr>
          <w:rFonts w:ascii="Times New Roman" w:hAnsi="Times New Roman" w:cs="Times New Roman"/>
          <w:sz w:val="24"/>
          <w:szCs w:val="24"/>
          <w:lang w:eastAsia="es-ES"/>
        </w:rPr>
        <w:t>armente como millennials, tiene</w:t>
      </w:r>
      <w:r w:rsidRPr="00F047C4">
        <w:rPr>
          <w:rFonts w:ascii="Times New Roman" w:hAnsi="Times New Roman" w:cs="Times New Roman"/>
          <w:sz w:val="24"/>
          <w:szCs w:val="24"/>
          <w:lang w:eastAsia="es-ES"/>
        </w:rPr>
        <w:t xml:space="preserve"> el dudoso honor de haber sufrido dos grandes recesiones en su periodo de formación e incorporación al mercado laboral.</w:t>
      </w:r>
    </w:p>
    <w:p w:rsidR="00BC563A" w:rsidRDefault="00BC563A" w:rsidP="00BC563A">
      <w:pPr>
        <w:spacing w:line="240" w:lineRule="auto"/>
        <w:jc w:val="both"/>
        <w:rPr>
          <w:rFonts w:ascii="Times New Roman" w:hAnsi="Times New Roman" w:cs="Times New Roman"/>
          <w:sz w:val="24"/>
          <w:szCs w:val="24"/>
          <w:lang w:eastAsia="es-ES"/>
        </w:rPr>
      </w:pPr>
      <w:r w:rsidRPr="00F047C4">
        <w:rPr>
          <w:rFonts w:ascii="Times New Roman" w:hAnsi="Times New Roman" w:cs="Times New Roman"/>
          <w:sz w:val="24"/>
          <w:szCs w:val="24"/>
          <w:lang w:eastAsia="es-ES"/>
        </w:rPr>
        <w:t>A una crisis tan larga y profunda como la vivida entre 2008 y 20</w:t>
      </w:r>
      <w:r>
        <w:rPr>
          <w:rFonts w:ascii="Times New Roman" w:hAnsi="Times New Roman" w:cs="Times New Roman"/>
          <w:sz w:val="24"/>
          <w:szCs w:val="24"/>
          <w:lang w:eastAsia="es-ES"/>
        </w:rPr>
        <w:t>12, se ha sumado en los años 2020 y 2021</w:t>
      </w:r>
      <w:r w:rsidRPr="00F047C4">
        <w:rPr>
          <w:rFonts w:ascii="Times New Roman" w:hAnsi="Times New Roman" w:cs="Times New Roman"/>
          <w:sz w:val="24"/>
          <w:szCs w:val="24"/>
          <w:lang w:eastAsia="es-ES"/>
        </w:rPr>
        <w:t xml:space="preserve"> una segu</w:t>
      </w:r>
      <w:r>
        <w:rPr>
          <w:rFonts w:ascii="Times New Roman" w:hAnsi="Times New Roman" w:cs="Times New Roman"/>
          <w:sz w:val="24"/>
          <w:szCs w:val="24"/>
          <w:lang w:eastAsia="es-ES"/>
        </w:rPr>
        <w:t xml:space="preserve">nda recesión, </w:t>
      </w:r>
      <w:r w:rsidRPr="00F047C4">
        <w:rPr>
          <w:rFonts w:ascii="Times New Roman" w:hAnsi="Times New Roman" w:cs="Times New Roman"/>
          <w:sz w:val="24"/>
          <w:szCs w:val="24"/>
          <w:lang w:eastAsia="es-ES"/>
        </w:rPr>
        <w:t>que parece haber condenado a los jóvenes de entre 25 y 35 años a una travesía por el desierto en su búsqueda de empleo y, en definitiva, de la estabilidad vital y económica. Algunos los han bautizado ya como la generación poscrisis o, directamente, la generación de la dos crisis.</w:t>
      </w:r>
    </w:p>
    <w:p w:rsidR="00BC563A" w:rsidRPr="009D3273" w:rsidRDefault="00BC563A" w:rsidP="00BC563A">
      <w:pPr>
        <w:spacing w:line="240" w:lineRule="auto"/>
        <w:jc w:val="both"/>
        <w:rPr>
          <w:rFonts w:ascii="Times New Roman" w:hAnsi="Times New Roman" w:cs="Times New Roman"/>
          <w:sz w:val="24"/>
          <w:szCs w:val="24"/>
          <w:lang w:eastAsia="es-ES"/>
        </w:rPr>
      </w:pPr>
      <w:r w:rsidRPr="009D3273">
        <w:rPr>
          <w:rFonts w:ascii="Times New Roman" w:hAnsi="Times New Roman" w:cs="Times New Roman"/>
          <w:sz w:val="24"/>
          <w:szCs w:val="24"/>
          <w:lang w:eastAsia="es-ES"/>
        </w:rPr>
        <w:t>Que los jóvenes de hoy en día vivirán peor que sus padres ya no es una frase hipotética, sino un hecho. Así lo reflejan los datos.</w:t>
      </w:r>
      <w:r>
        <w:rPr>
          <w:rFonts w:ascii="Times New Roman" w:hAnsi="Times New Roman" w:cs="Times New Roman"/>
          <w:sz w:val="24"/>
          <w:szCs w:val="24"/>
          <w:lang w:eastAsia="es-ES"/>
        </w:rPr>
        <w:t xml:space="preserve"> Segúndiversas investigaciones</w:t>
      </w:r>
      <w:r w:rsidRPr="009D3273">
        <w:rPr>
          <w:rFonts w:ascii="Times New Roman" w:hAnsi="Times New Roman" w:cs="Times New Roman"/>
          <w:sz w:val="24"/>
          <w:szCs w:val="24"/>
          <w:lang w:eastAsia="es-ES"/>
        </w:rPr>
        <w:t>, la generación de jóvenes que comenzó a incorporarse a la vida adulta en 2008 y que se ha topado con recesiones, precariedad y un elevadísimo desempleo es víctima de diferentes brechas y de un aplazamiento, o incluso imposibilidad, a la hora de avanz</w:t>
      </w:r>
      <w:r>
        <w:rPr>
          <w:rFonts w:ascii="Times New Roman" w:hAnsi="Times New Roman" w:cs="Times New Roman"/>
          <w:sz w:val="24"/>
          <w:szCs w:val="24"/>
          <w:lang w:eastAsia="es-ES"/>
        </w:rPr>
        <w:t>ar en sus expectativas vitales.</w:t>
      </w:r>
    </w:p>
    <w:p w:rsidR="00BC563A" w:rsidRPr="009D3273" w:rsidRDefault="00BC563A" w:rsidP="00BC563A">
      <w:pPr>
        <w:spacing w:line="240" w:lineRule="auto"/>
        <w:jc w:val="both"/>
        <w:rPr>
          <w:rFonts w:ascii="Times New Roman" w:hAnsi="Times New Roman" w:cs="Times New Roman"/>
          <w:sz w:val="24"/>
          <w:szCs w:val="24"/>
          <w:lang w:eastAsia="es-ES"/>
        </w:rPr>
      </w:pPr>
      <w:r w:rsidRPr="009D3273">
        <w:rPr>
          <w:rFonts w:ascii="Times New Roman" w:hAnsi="Times New Roman" w:cs="Times New Roman"/>
          <w:sz w:val="24"/>
          <w:szCs w:val="24"/>
          <w:lang w:eastAsia="es-ES"/>
        </w:rPr>
        <w:t>El origen de estas brechas está en la profunda segmentación entre insid</w:t>
      </w:r>
      <w:r>
        <w:rPr>
          <w:rFonts w:ascii="Times New Roman" w:hAnsi="Times New Roman" w:cs="Times New Roman"/>
          <w:sz w:val="24"/>
          <w:szCs w:val="24"/>
          <w:lang w:eastAsia="es-ES"/>
        </w:rPr>
        <w:t>ers -</w:t>
      </w:r>
      <w:r w:rsidRPr="009D3273">
        <w:rPr>
          <w:rFonts w:ascii="Times New Roman" w:hAnsi="Times New Roman" w:cs="Times New Roman"/>
          <w:sz w:val="24"/>
          <w:szCs w:val="24"/>
          <w:lang w:eastAsia="es-ES"/>
        </w:rPr>
        <w:t>trabajadores estables y relativamente bien protegidos- y outsiders -cuya condición la determina su juventud y el nivel de estudios. Eso ha provocado q</w:t>
      </w:r>
      <w:r>
        <w:rPr>
          <w:rFonts w:ascii="Times New Roman" w:hAnsi="Times New Roman" w:cs="Times New Roman"/>
          <w:sz w:val="24"/>
          <w:szCs w:val="24"/>
          <w:lang w:eastAsia="es-ES"/>
        </w:rPr>
        <w:t xml:space="preserve">ue la incorporación </w:t>
      </w:r>
      <w:r w:rsidRPr="009D3273">
        <w:rPr>
          <w:rFonts w:ascii="Times New Roman" w:hAnsi="Times New Roman" w:cs="Times New Roman"/>
          <w:sz w:val="24"/>
          <w:szCs w:val="24"/>
          <w:lang w:eastAsia="es-ES"/>
        </w:rPr>
        <w:t>haya derivado en plazos anormalmente largos hasta encontrar la estabilidad, más aún entre la</w:t>
      </w:r>
      <w:r>
        <w:rPr>
          <w:rFonts w:ascii="Times New Roman" w:hAnsi="Times New Roman" w:cs="Times New Roman"/>
          <w:sz w:val="24"/>
          <w:szCs w:val="24"/>
          <w:lang w:eastAsia="es-ES"/>
        </w:rPr>
        <w:t>s personas con menor formación.</w:t>
      </w:r>
    </w:p>
    <w:p w:rsidR="00BC563A" w:rsidRPr="009D3273" w:rsidRDefault="00BC563A" w:rsidP="00BC563A">
      <w:pPr>
        <w:spacing w:line="240" w:lineRule="auto"/>
        <w:jc w:val="both"/>
        <w:rPr>
          <w:rFonts w:ascii="Times New Roman" w:hAnsi="Times New Roman" w:cs="Times New Roman"/>
          <w:sz w:val="24"/>
          <w:szCs w:val="24"/>
          <w:lang w:eastAsia="es-ES"/>
        </w:rPr>
      </w:pPr>
      <w:r w:rsidRPr="009D3273">
        <w:rPr>
          <w:rFonts w:ascii="Times New Roman" w:hAnsi="Times New Roman" w:cs="Times New Roman"/>
          <w:sz w:val="24"/>
          <w:szCs w:val="24"/>
          <w:lang w:eastAsia="es-ES"/>
        </w:rPr>
        <w:t xml:space="preserve">En consecuencia, la llamada generación poscrisis inicia sus carreras laborales con menores ingresos que los percibidos por la generación precrisis a la misma edad. </w:t>
      </w:r>
      <w:r>
        <w:rPr>
          <w:rFonts w:ascii="Times New Roman" w:hAnsi="Times New Roman" w:cs="Times New Roman"/>
          <w:sz w:val="24"/>
          <w:szCs w:val="24"/>
          <w:lang w:eastAsia="es-ES"/>
        </w:rPr>
        <w:t>Para el caso de España, e</w:t>
      </w:r>
      <w:r w:rsidRPr="009D3273">
        <w:rPr>
          <w:rFonts w:ascii="Times New Roman" w:hAnsi="Times New Roman" w:cs="Times New Roman"/>
          <w:sz w:val="24"/>
          <w:szCs w:val="24"/>
          <w:lang w:eastAsia="es-ES"/>
        </w:rPr>
        <w:t>n concreto, entre los 20 y 30 años, los millennials han ingresado entre 1.000 y 2.000 euros netos menos cada año que la generación anterior, lo que tiene una grave inciden</w:t>
      </w:r>
      <w:r>
        <w:rPr>
          <w:rFonts w:ascii="Times New Roman" w:hAnsi="Times New Roman" w:cs="Times New Roman"/>
          <w:sz w:val="24"/>
          <w:szCs w:val="24"/>
          <w:lang w:eastAsia="es-ES"/>
        </w:rPr>
        <w:t>cia en el patrimonio acumulado.</w:t>
      </w:r>
    </w:p>
    <w:p w:rsidR="00BC563A" w:rsidRPr="009D3273" w:rsidRDefault="00BC563A" w:rsidP="00BC563A">
      <w:pPr>
        <w:spacing w:line="240" w:lineRule="auto"/>
        <w:jc w:val="both"/>
        <w:rPr>
          <w:rFonts w:ascii="Times New Roman" w:hAnsi="Times New Roman" w:cs="Times New Roman"/>
          <w:sz w:val="24"/>
          <w:szCs w:val="24"/>
          <w:lang w:eastAsia="es-ES"/>
        </w:rPr>
      </w:pPr>
      <w:r w:rsidRPr="009D3273">
        <w:rPr>
          <w:rFonts w:ascii="Times New Roman" w:hAnsi="Times New Roman" w:cs="Times New Roman"/>
          <w:sz w:val="24"/>
          <w:szCs w:val="24"/>
          <w:lang w:eastAsia="es-ES"/>
        </w:rPr>
        <w:t>Una brecha que no comienza a cerrarse hasta entrada la treintena. A los 33 años la brecha de ingresos entre ambas generaciones alcanza su pico: unos 13.000 euros de media, una diferencia de más del 16%.</w:t>
      </w:r>
    </w:p>
    <w:p w:rsidR="00BC563A" w:rsidRDefault="00BC563A" w:rsidP="00BC563A">
      <w:pPr>
        <w:spacing w:line="240" w:lineRule="auto"/>
        <w:jc w:val="both"/>
        <w:rPr>
          <w:rFonts w:ascii="Times New Roman" w:hAnsi="Times New Roman" w:cs="Times New Roman"/>
          <w:sz w:val="24"/>
          <w:szCs w:val="24"/>
          <w:lang w:eastAsia="es-ES"/>
        </w:rPr>
      </w:pPr>
      <w:r w:rsidRPr="009D3273">
        <w:rPr>
          <w:rFonts w:ascii="Times New Roman" w:hAnsi="Times New Roman" w:cs="Times New Roman"/>
          <w:sz w:val="24"/>
          <w:szCs w:val="24"/>
          <w:lang w:eastAsia="es-ES"/>
        </w:rPr>
        <w:t>Pero la recuperación de ingresos a partir de la treintena no significa que se igualen las oportunidades. Por el contrario, el tiempo perdido en la acumulación de ingresos lastra el desarrollo de proyectos vitales, como emanciparse del hogar de sus padres, adquirir una vivienda o formar una familia.</w:t>
      </w:r>
    </w:p>
    <w:p w:rsidR="00BC563A" w:rsidRDefault="00BC563A" w:rsidP="00BC563A">
      <w:pPr>
        <w:spacing w:line="240" w:lineRule="auto"/>
        <w:jc w:val="both"/>
        <w:rPr>
          <w:rFonts w:ascii="Times New Roman" w:hAnsi="Times New Roman" w:cs="Times New Roman"/>
          <w:sz w:val="24"/>
          <w:szCs w:val="24"/>
          <w:lang w:eastAsia="es-ES"/>
        </w:rPr>
      </w:pPr>
      <w:r w:rsidRPr="009D3273">
        <w:rPr>
          <w:rFonts w:ascii="Times New Roman" w:hAnsi="Times New Roman" w:cs="Times New Roman"/>
          <w:sz w:val="24"/>
          <w:szCs w:val="24"/>
          <w:lang w:eastAsia="es-ES"/>
        </w:rPr>
        <w:t>Los datos son claros: España es uno de los países con la emancipación juvenil más tardía de Europa. De acuerdo con las cifras de Eurostat de abril de 2020, la edad media de emancipación en la Unión Europea es de 26,2 años, mientras que en España asciende a los 29,5 años. Asimis</w:t>
      </w:r>
      <w:r>
        <w:rPr>
          <w:rFonts w:ascii="Times New Roman" w:hAnsi="Times New Roman" w:cs="Times New Roman"/>
          <w:sz w:val="24"/>
          <w:szCs w:val="24"/>
          <w:lang w:eastAsia="es-ES"/>
        </w:rPr>
        <w:t xml:space="preserve">mo, según datos del INE de </w:t>
      </w:r>
      <w:r w:rsidRPr="009D3273">
        <w:rPr>
          <w:rFonts w:ascii="Times New Roman" w:hAnsi="Times New Roman" w:cs="Times New Roman"/>
          <w:sz w:val="24"/>
          <w:szCs w:val="24"/>
          <w:lang w:eastAsia="es-ES"/>
        </w:rPr>
        <w:t>abril</w:t>
      </w:r>
      <w:r>
        <w:rPr>
          <w:rFonts w:ascii="Times New Roman" w:hAnsi="Times New Roman" w:cs="Times New Roman"/>
          <w:sz w:val="24"/>
          <w:szCs w:val="24"/>
          <w:lang w:eastAsia="es-ES"/>
        </w:rPr>
        <w:t xml:space="preserve"> 2021</w:t>
      </w:r>
      <w:r w:rsidRPr="009D3273">
        <w:rPr>
          <w:rFonts w:ascii="Times New Roman" w:hAnsi="Times New Roman" w:cs="Times New Roman"/>
          <w:sz w:val="24"/>
          <w:szCs w:val="24"/>
          <w:lang w:eastAsia="es-ES"/>
        </w:rPr>
        <w:t>, un 55% de los jóvenes entre 25 y 29 años aún vive con sus padres, porcentaje que, si bien baja hasta el 25,6% entre los 30 y 34 años, se ha visto incrementado durante la pandemia en ambos sexos y en esas dos franjas de edad.</w:t>
      </w:r>
    </w:p>
    <w:p w:rsidR="00BC563A" w:rsidRDefault="00BC563A" w:rsidP="00BC563A">
      <w:pPr>
        <w:spacing w:line="240" w:lineRule="auto"/>
        <w:jc w:val="both"/>
        <w:rPr>
          <w:rFonts w:ascii="Times New Roman" w:hAnsi="Times New Roman" w:cs="Times New Roman"/>
          <w:sz w:val="24"/>
          <w:szCs w:val="24"/>
          <w:lang w:eastAsia="es-ES"/>
        </w:rPr>
      </w:pPr>
      <w:r w:rsidRPr="00D53A41">
        <w:rPr>
          <w:rFonts w:ascii="Times New Roman" w:hAnsi="Times New Roman" w:cs="Times New Roman"/>
          <w:sz w:val="24"/>
          <w:szCs w:val="24"/>
          <w:lang w:eastAsia="es-ES"/>
        </w:rPr>
        <w:t>El encadenamiento de las crisis de 2008 y 2020, especialmente dura</w:t>
      </w:r>
      <w:r>
        <w:rPr>
          <w:rFonts w:ascii="Times New Roman" w:hAnsi="Times New Roman" w:cs="Times New Roman"/>
          <w:sz w:val="24"/>
          <w:szCs w:val="24"/>
          <w:lang w:eastAsia="es-ES"/>
        </w:rPr>
        <w:t xml:space="preserve"> en gran parte de los países europeos</w:t>
      </w:r>
      <w:r w:rsidRPr="00D53A41">
        <w:rPr>
          <w:rFonts w:ascii="Times New Roman" w:hAnsi="Times New Roman" w:cs="Times New Roman"/>
          <w:sz w:val="24"/>
          <w:szCs w:val="24"/>
          <w:lang w:eastAsia="es-ES"/>
        </w:rPr>
        <w:t>, ha traído durante esta última década un clima de incertidumbre, de cuestionamiento del sistema democrático y, en definitiva, de inestabilidad política.</w:t>
      </w:r>
    </w:p>
    <w:p w:rsidR="00BC563A" w:rsidRPr="00EA266B" w:rsidRDefault="00BC563A" w:rsidP="00BC563A">
      <w:pPr>
        <w:spacing w:line="240" w:lineRule="auto"/>
        <w:jc w:val="both"/>
        <w:rPr>
          <w:rFonts w:ascii="Times New Roman" w:hAnsi="Times New Roman" w:cs="Times New Roman"/>
          <w:sz w:val="24"/>
          <w:szCs w:val="24"/>
          <w:lang w:eastAsia="es-ES"/>
        </w:rPr>
      </w:pPr>
      <w:r w:rsidRPr="00EA266B">
        <w:rPr>
          <w:rFonts w:ascii="Times New Roman" w:hAnsi="Times New Roman" w:cs="Times New Roman"/>
          <w:sz w:val="24"/>
          <w:szCs w:val="24"/>
          <w:lang w:eastAsia="es-ES"/>
        </w:rPr>
        <w:t xml:space="preserve">La deriva más </w:t>
      </w:r>
      <w:r>
        <w:rPr>
          <w:rFonts w:ascii="Times New Roman" w:hAnsi="Times New Roman" w:cs="Times New Roman"/>
          <w:sz w:val="24"/>
          <w:szCs w:val="24"/>
          <w:lang w:eastAsia="es-ES"/>
        </w:rPr>
        <w:t xml:space="preserve">peligrosa, sin embargo, según los expertos es </w:t>
      </w:r>
      <w:r w:rsidRPr="00EA266B">
        <w:rPr>
          <w:rFonts w:ascii="Times New Roman" w:hAnsi="Times New Roman" w:cs="Times New Roman"/>
          <w:sz w:val="24"/>
          <w:szCs w:val="24"/>
          <w:lang w:eastAsia="es-ES"/>
        </w:rPr>
        <w:t>una ruptura del pacto social, extendido en la Europa de posguerra y basado en la seguridad que ofrecía a las generaciones más jóvenes una sociedad llena de oportunidades, crecimiento</w:t>
      </w:r>
      <w:r>
        <w:rPr>
          <w:rFonts w:ascii="Times New Roman" w:hAnsi="Times New Roman" w:cs="Times New Roman"/>
          <w:sz w:val="24"/>
          <w:szCs w:val="24"/>
          <w:lang w:eastAsia="es-ES"/>
        </w:rPr>
        <w:t xml:space="preserve"> económico y protección social.</w:t>
      </w:r>
    </w:p>
    <w:p w:rsidR="00BC563A" w:rsidRPr="00EA266B" w:rsidRDefault="00BC563A" w:rsidP="00BC563A">
      <w:pPr>
        <w:spacing w:line="240" w:lineRule="auto"/>
        <w:jc w:val="both"/>
        <w:rPr>
          <w:rFonts w:ascii="Times New Roman" w:hAnsi="Times New Roman" w:cs="Times New Roman"/>
          <w:sz w:val="24"/>
          <w:szCs w:val="24"/>
          <w:lang w:eastAsia="es-ES"/>
        </w:rPr>
      </w:pPr>
      <w:r w:rsidRPr="00EA266B">
        <w:rPr>
          <w:rFonts w:ascii="Times New Roman" w:hAnsi="Times New Roman" w:cs="Times New Roman"/>
          <w:sz w:val="24"/>
          <w:szCs w:val="24"/>
          <w:lang w:eastAsia="es-ES"/>
        </w:rPr>
        <w:lastRenderedPageBreak/>
        <w:t>Si los jóvenes no encuentran ese camino prometido de seguridad y progreso, aumenta su cuestionamiento institucional y se produce una ruptura con el sistema que puede derivar en corrientes p</w:t>
      </w:r>
      <w:r>
        <w:rPr>
          <w:rFonts w:ascii="Times New Roman" w:hAnsi="Times New Roman" w:cs="Times New Roman"/>
          <w:sz w:val="24"/>
          <w:szCs w:val="24"/>
          <w:lang w:eastAsia="es-ES"/>
        </w:rPr>
        <w:t>opulistas y extremistas.</w:t>
      </w:r>
    </w:p>
    <w:p w:rsidR="00BC563A" w:rsidRPr="00F047C4" w:rsidRDefault="00BC563A" w:rsidP="00BC563A">
      <w:pPr>
        <w:spacing w:line="240" w:lineRule="auto"/>
        <w:jc w:val="both"/>
        <w:rPr>
          <w:rFonts w:ascii="Times New Roman" w:hAnsi="Times New Roman" w:cs="Times New Roman"/>
          <w:sz w:val="24"/>
          <w:szCs w:val="24"/>
          <w:lang w:eastAsia="es-ES"/>
        </w:rPr>
      </w:pPr>
      <w:r w:rsidRPr="00EA266B">
        <w:rPr>
          <w:rFonts w:ascii="Times New Roman" w:hAnsi="Times New Roman" w:cs="Times New Roman"/>
          <w:sz w:val="24"/>
          <w:szCs w:val="24"/>
          <w:lang w:eastAsia="es-ES"/>
        </w:rPr>
        <w:t>Si los partidos dominantes, además, no son capaces de recoger las demandas y necesidades de los segmentos que se incorporan a la toma de decisiones, la democracia puede sufrir una erosión aún mayor.</w:t>
      </w:r>
    </w:p>
    <w:p w:rsidR="00BC563A" w:rsidRDefault="00BC563A" w:rsidP="00BC563A">
      <w:pPr>
        <w:spacing w:line="240" w:lineRule="auto"/>
        <w:jc w:val="both"/>
        <w:rPr>
          <w:rFonts w:ascii="Times New Roman" w:hAnsi="Times New Roman" w:cs="Times New Roman"/>
          <w:sz w:val="24"/>
          <w:szCs w:val="24"/>
          <w:lang w:eastAsia="es-ES"/>
        </w:rPr>
      </w:pPr>
      <w:r w:rsidRPr="00F24821">
        <w:rPr>
          <w:rFonts w:ascii="Times New Roman" w:hAnsi="Times New Roman" w:cs="Times New Roman"/>
          <w:b/>
          <w:sz w:val="24"/>
          <w:szCs w:val="24"/>
          <w:lang w:eastAsia="es-ES"/>
        </w:rPr>
        <w:t>Antes de antes (el huevo de la serpiente)</w:t>
      </w:r>
      <w:r>
        <w:rPr>
          <w:rFonts w:ascii="Times New Roman" w:hAnsi="Times New Roman" w:cs="Times New Roman"/>
          <w:sz w:val="24"/>
          <w:szCs w:val="24"/>
          <w:lang w:eastAsia="es-ES"/>
        </w:rPr>
        <w:t xml:space="preserve">: </w:t>
      </w:r>
      <w:r w:rsidRPr="001A640E">
        <w:rPr>
          <w:rFonts w:ascii="Times New Roman" w:hAnsi="Times New Roman" w:cs="Times New Roman"/>
          <w:sz w:val="24"/>
          <w:szCs w:val="24"/>
          <w:lang w:eastAsia="es-ES"/>
        </w:rPr>
        <w:t xml:space="preserve">El incremento de las desigualdades en la distribución de la renta y la riqueza en las economías avanzadas es una tendencia que se viene observando desde hace ya casi veinticinco años. </w:t>
      </w:r>
      <w:r>
        <w:rPr>
          <w:rFonts w:ascii="Times New Roman" w:hAnsi="Times New Roman" w:cs="Times New Roman"/>
          <w:sz w:val="24"/>
          <w:szCs w:val="24"/>
          <w:lang w:eastAsia="es-ES"/>
        </w:rPr>
        <w:t>Paradójicamente, en la anterior</w:t>
      </w:r>
      <w:r w:rsidRPr="001A640E">
        <w:rPr>
          <w:rFonts w:ascii="Times New Roman" w:hAnsi="Times New Roman" w:cs="Times New Roman"/>
          <w:sz w:val="24"/>
          <w:szCs w:val="24"/>
          <w:lang w:eastAsia="es-ES"/>
        </w:rPr>
        <w:t xml:space="preserve"> crisis</w:t>
      </w:r>
      <w:r>
        <w:rPr>
          <w:rFonts w:ascii="Times New Roman" w:hAnsi="Times New Roman" w:cs="Times New Roman"/>
          <w:sz w:val="24"/>
          <w:szCs w:val="24"/>
          <w:lang w:eastAsia="es-ES"/>
        </w:rPr>
        <w:t>,</w:t>
      </w:r>
      <w:r w:rsidRPr="001A640E">
        <w:rPr>
          <w:rFonts w:ascii="Times New Roman" w:hAnsi="Times New Roman" w:cs="Times New Roman"/>
          <w:sz w:val="24"/>
          <w:szCs w:val="24"/>
          <w:lang w:eastAsia="es-ES"/>
        </w:rPr>
        <w:t xml:space="preserve"> las personas que más la sufrieron fueron las que menos habían contribuido a desencadenarla, y ahora está sucediendo algo similar. Quienes están engrosando mayoritariamente las filas del desempleo son los jóvenes y personas con niveles de cualificación relativamente bajos en el sector servicios. Por otra parte, la inestabilidad política y la polarización son fenómenos que están directamente relacionados con ese incremento de las desigualdades. El sistema económico capitalista, lejos de ganar adeptos, está esquinando y dejando en la cuneta a segmentos de la población. No está ofreciendo esa igualdad de oportunidades que siempre ha ocupado la portada de su folleto promocional. Por primera vez en la historia de las economías avanzadas, las generaciones actuales van a vivir peor que las que les precedieron.</w:t>
      </w:r>
    </w:p>
    <w:p w:rsidR="00BC563A" w:rsidRDefault="00BC563A" w:rsidP="00BC563A">
      <w:pPr>
        <w:spacing w:line="240" w:lineRule="auto"/>
        <w:jc w:val="both"/>
        <w:rPr>
          <w:rFonts w:ascii="Times New Roman" w:hAnsi="Times New Roman" w:cs="Times New Roman"/>
          <w:sz w:val="24"/>
          <w:szCs w:val="24"/>
          <w:lang w:eastAsia="es-ES"/>
        </w:rPr>
      </w:pPr>
      <w:r>
        <w:rPr>
          <w:rFonts w:ascii="Times New Roman" w:hAnsi="Times New Roman" w:cs="Times New Roman"/>
          <w:sz w:val="24"/>
          <w:szCs w:val="24"/>
          <w:lang w:eastAsia="es-ES"/>
        </w:rPr>
        <w:t xml:space="preserve">Existen </w:t>
      </w:r>
      <w:r w:rsidRPr="00BE12D7">
        <w:rPr>
          <w:rFonts w:ascii="Times New Roman" w:hAnsi="Times New Roman" w:cs="Times New Roman"/>
          <w:sz w:val="24"/>
          <w:szCs w:val="24"/>
          <w:lang w:eastAsia="es-ES"/>
        </w:rPr>
        <w:t>tendencias potencialmente dañinas para el sistema económico procedentes del interior del propio sistema. Muchas de esas amenazas siguen estando muy presentes hoy, y lo que ha hecho la pandemia</w:t>
      </w:r>
      <w:r>
        <w:rPr>
          <w:rFonts w:ascii="Times New Roman" w:hAnsi="Times New Roman" w:cs="Times New Roman"/>
          <w:sz w:val="24"/>
          <w:szCs w:val="24"/>
          <w:lang w:eastAsia="es-ES"/>
        </w:rPr>
        <w:t>, o la invasión de Ucrania por parte de Rusia,</w:t>
      </w:r>
      <w:r w:rsidRPr="00BE12D7">
        <w:rPr>
          <w:rFonts w:ascii="Times New Roman" w:hAnsi="Times New Roman" w:cs="Times New Roman"/>
          <w:sz w:val="24"/>
          <w:szCs w:val="24"/>
          <w:lang w:eastAsia="es-ES"/>
        </w:rPr>
        <w:t xml:space="preserve"> ha sido acentuarlas y poner en evidencia la fragilidad y vulnerabilidad del modelo. Por ejemplo, la necesidad de que las empresas asuman una función objetivo más amplia que la mera maximización del beneficio de los accionistas a corto plazo, de que adopten un planteamiento que vele más por la comunidad en la que operan y se acer</w:t>
      </w:r>
      <w:r>
        <w:rPr>
          <w:rFonts w:ascii="Times New Roman" w:hAnsi="Times New Roman" w:cs="Times New Roman"/>
          <w:sz w:val="24"/>
          <w:szCs w:val="24"/>
          <w:lang w:eastAsia="es-ES"/>
        </w:rPr>
        <w:t>que a eso que se ha denominado “</w:t>
      </w:r>
      <w:r w:rsidRPr="00BE12D7">
        <w:rPr>
          <w:rFonts w:ascii="Times New Roman" w:hAnsi="Times New Roman" w:cs="Times New Roman"/>
          <w:sz w:val="24"/>
          <w:szCs w:val="24"/>
          <w:lang w:eastAsia="es-ES"/>
        </w:rPr>
        <w:t xml:space="preserve">el </w:t>
      </w:r>
      <w:r>
        <w:rPr>
          <w:rFonts w:ascii="Times New Roman" w:hAnsi="Times New Roman" w:cs="Times New Roman"/>
          <w:sz w:val="24"/>
          <w:szCs w:val="24"/>
          <w:lang w:eastAsia="es-ES"/>
        </w:rPr>
        <w:t>capitalismo de los stakeholders”</w:t>
      </w:r>
      <w:r w:rsidRPr="00BE12D7">
        <w:rPr>
          <w:rFonts w:ascii="Times New Roman" w:hAnsi="Times New Roman" w:cs="Times New Roman"/>
          <w:sz w:val="24"/>
          <w:szCs w:val="24"/>
          <w:lang w:eastAsia="es-ES"/>
        </w:rPr>
        <w:t>. La otra</w:t>
      </w:r>
      <w:r>
        <w:rPr>
          <w:rFonts w:ascii="Times New Roman" w:hAnsi="Times New Roman" w:cs="Times New Roman"/>
          <w:sz w:val="24"/>
          <w:szCs w:val="24"/>
          <w:lang w:eastAsia="es-ES"/>
        </w:rPr>
        <w:t>, es la conveniencia de acelerar el proceso de reindustrialización (desglob</w:t>
      </w:r>
      <w:r w:rsidR="00D333D6">
        <w:rPr>
          <w:rFonts w:ascii="Times New Roman" w:hAnsi="Times New Roman" w:cs="Times New Roman"/>
          <w:sz w:val="24"/>
          <w:szCs w:val="24"/>
          <w:lang w:eastAsia="es-ES"/>
        </w:rPr>
        <w:t>a</w:t>
      </w:r>
      <w:r>
        <w:rPr>
          <w:rFonts w:ascii="Times New Roman" w:hAnsi="Times New Roman" w:cs="Times New Roman"/>
          <w:sz w:val="24"/>
          <w:szCs w:val="24"/>
          <w:lang w:eastAsia="es-ES"/>
        </w:rPr>
        <w:t xml:space="preserve">lización), control de capitales (desfinancierización), abastecimiento de recursos estratégicos o críticos (autonomía), reequilibrio del comercio exterior y las metas ecológicas.  </w:t>
      </w:r>
    </w:p>
    <w:p w:rsidR="00ED16BD" w:rsidRDefault="00F24821" w:rsidP="00BC563A">
      <w:pPr>
        <w:spacing w:line="240" w:lineRule="auto"/>
        <w:jc w:val="both"/>
        <w:rPr>
          <w:rFonts w:ascii="Times New Roman" w:hAnsi="Times New Roman" w:cs="Times New Roman"/>
          <w:sz w:val="24"/>
          <w:szCs w:val="24"/>
          <w:lang w:eastAsia="es-ES"/>
        </w:rPr>
      </w:pPr>
      <w:r w:rsidRPr="00F24821">
        <w:rPr>
          <w:rFonts w:ascii="Times New Roman" w:hAnsi="Times New Roman" w:cs="Times New Roman"/>
          <w:b/>
          <w:sz w:val="24"/>
          <w:szCs w:val="24"/>
          <w:lang w:eastAsia="es-ES"/>
        </w:rPr>
        <w:t>¿Esperando a Godot?</w:t>
      </w:r>
      <w:r w:rsidRPr="00F24821">
        <w:rPr>
          <w:rFonts w:ascii="Times New Roman" w:hAnsi="Times New Roman" w:cs="Times New Roman"/>
          <w:sz w:val="24"/>
          <w:szCs w:val="24"/>
          <w:lang w:eastAsia="es-ES"/>
        </w:rPr>
        <w:t>:</w:t>
      </w:r>
      <w:r>
        <w:rPr>
          <w:rFonts w:ascii="Times New Roman" w:hAnsi="Times New Roman" w:cs="Times New Roman"/>
          <w:sz w:val="24"/>
          <w:szCs w:val="24"/>
          <w:lang w:eastAsia="es-ES"/>
        </w:rPr>
        <w:t>Ni los amos del universo (Wall Street, Silicon Valley), ni la fábrica del mundo (China), van a regalar alegremente el cambio de modelo, unos por</w:t>
      </w:r>
      <w:r w:rsidR="00750AD1">
        <w:rPr>
          <w:rFonts w:ascii="Times New Roman" w:hAnsi="Times New Roman" w:cs="Times New Roman"/>
          <w:sz w:val="24"/>
          <w:szCs w:val="24"/>
          <w:lang w:eastAsia="es-ES"/>
        </w:rPr>
        <w:t xml:space="preserve"> avaricia y los otros</w:t>
      </w:r>
      <w:r w:rsidR="00E431F8">
        <w:rPr>
          <w:rFonts w:ascii="Times New Roman" w:hAnsi="Times New Roman" w:cs="Times New Roman"/>
          <w:sz w:val="24"/>
          <w:szCs w:val="24"/>
          <w:lang w:eastAsia="es-ES"/>
        </w:rPr>
        <w:t xml:space="preserve"> por</w:t>
      </w:r>
      <w:r w:rsidR="00750AD1">
        <w:rPr>
          <w:rFonts w:ascii="Times New Roman" w:hAnsi="Times New Roman" w:cs="Times New Roman"/>
          <w:sz w:val="24"/>
          <w:szCs w:val="24"/>
          <w:lang w:eastAsia="es-ES"/>
        </w:rPr>
        <w:t xml:space="preserve"> supervivencia</w:t>
      </w:r>
      <w:r>
        <w:rPr>
          <w:rFonts w:ascii="Times New Roman" w:hAnsi="Times New Roman" w:cs="Times New Roman"/>
          <w:sz w:val="24"/>
          <w:szCs w:val="24"/>
          <w:lang w:eastAsia="es-ES"/>
        </w:rPr>
        <w:t>, van a defender sus intereses con uñas y dientes, y además, para más inri</w:t>
      </w:r>
      <w:r w:rsidR="00CB1788">
        <w:rPr>
          <w:rFonts w:ascii="Times New Roman" w:hAnsi="Times New Roman" w:cs="Times New Roman"/>
          <w:sz w:val="24"/>
          <w:szCs w:val="24"/>
          <w:lang w:eastAsia="es-ES"/>
        </w:rPr>
        <w:t>,</w:t>
      </w:r>
      <w:r>
        <w:rPr>
          <w:rFonts w:ascii="Times New Roman" w:hAnsi="Times New Roman" w:cs="Times New Roman"/>
          <w:sz w:val="24"/>
          <w:szCs w:val="24"/>
          <w:lang w:eastAsia="es-ES"/>
        </w:rPr>
        <w:t xml:space="preserve"> tienen al esta</w:t>
      </w:r>
      <w:r w:rsidR="00CB1788">
        <w:rPr>
          <w:rFonts w:ascii="Times New Roman" w:hAnsi="Times New Roman" w:cs="Times New Roman"/>
          <w:sz w:val="24"/>
          <w:szCs w:val="24"/>
          <w:lang w:eastAsia="es-ES"/>
        </w:rPr>
        <w:t>blishment (políticos, think tanks</w:t>
      </w:r>
      <w:r>
        <w:rPr>
          <w:rFonts w:ascii="Times New Roman" w:hAnsi="Times New Roman" w:cs="Times New Roman"/>
          <w:sz w:val="24"/>
          <w:szCs w:val="24"/>
          <w:lang w:eastAsia="es-ES"/>
        </w:rPr>
        <w:t xml:space="preserve">, administración) a su favor. La única forma de intentar un regreso al futuro (desglobalización) es </w:t>
      </w:r>
      <w:r w:rsidR="00F37AC2">
        <w:rPr>
          <w:rFonts w:ascii="Times New Roman" w:hAnsi="Times New Roman" w:cs="Times New Roman"/>
          <w:sz w:val="24"/>
          <w:szCs w:val="24"/>
          <w:lang w:eastAsia="es-ES"/>
        </w:rPr>
        <w:t xml:space="preserve">con una </w:t>
      </w:r>
      <w:r w:rsidR="00E2308B">
        <w:rPr>
          <w:rFonts w:ascii="Times New Roman" w:hAnsi="Times New Roman" w:cs="Times New Roman"/>
          <w:sz w:val="24"/>
          <w:szCs w:val="24"/>
          <w:lang w:eastAsia="es-ES"/>
        </w:rPr>
        <w:t>“</w:t>
      </w:r>
      <w:r w:rsidR="00F37AC2">
        <w:rPr>
          <w:rFonts w:ascii="Times New Roman" w:hAnsi="Times New Roman" w:cs="Times New Roman"/>
          <w:sz w:val="24"/>
          <w:szCs w:val="24"/>
          <w:lang w:eastAsia="es-ES"/>
        </w:rPr>
        <w:t>rebelión social</w:t>
      </w:r>
      <w:r w:rsidR="00E2308B">
        <w:rPr>
          <w:rFonts w:ascii="Times New Roman" w:hAnsi="Times New Roman" w:cs="Times New Roman"/>
          <w:sz w:val="24"/>
          <w:szCs w:val="24"/>
          <w:lang w:eastAsia="es-ES"/>
        </w:rPr>
        <w:t>”</w:t>
      </w:r>
      <w:r w:rsidR="00F37AC2">
        <w:rPr>
          <w:rFonts w:ascii="Times New Roman" w:hAnsi="Times New Roman" w:cs="Times New Roman"/>
          <w:sz w:val="24"/>
          <w:szCs w:val="24"/>
          <w:lang w:eastAsia="es-ES"/>
        </w:rPr>
        <w:t xml:space="preserve">. ¿Posible? SI. ¿Probable? NO.Con </w:t>
      </w:r>
      <w:r w:rsidR="00E2308B">
        <w:rPr>
          <w:rFonts w:ascii="Times New Roman" w:hAnsi="Times New Roman" w:cs="Times New Roman"/>
          <w:sz w:val="24"/>
          <w:szCs w:val="24"/>
          <w:lang w:eastAsia="es-ES"/>
        </w:rPr>
        <w:t>una juventud sonámbula, estabulada</w:t>
      </w:r>
      <w:r w:rsidR="00F37AC2">
        <w:rPr>
          <w:rFonts w:ascii="Times New Roman" w:hAnsi="Times New Roman" w:cs="Times New Roman"/>
          <w:sz w:val="24"/>
          <w:szCs w:val="24"/>
          <w:lang w:eastAsia="es-ES"/>
        </w:rPr>
        <w:t>, adocenada</w:t>
      </w:r>
      <w:r w:rsidR="00C50652">
        <w:rPr>
          <w:rFonts w:ascii="Times New Roman" w:hAnsi="Times New Roman" w:cs="Times New Roman"/>
          <w:sz w:val="24"/>
          <w:szCs w:val="24"/>
          <w:lang w:eastAsia="es-ES"/>
        </w:rPr>
        <w:t>,</w:t>
      </w:r>
      <w:r w:rsidR="00F37AC2">
        <w:rPr>
          <w:rFonts w:ascii="Times New Roman" w:hAnsi="Times New Roman" w:cs="Times New Roman"/>
          <w:sz w:val="24"/>
          <w:szCs w:val="24"/>
          <w:lang w:eastAsia="es-ES"/>
        </w:rPr>
        <w:t xml:space="preserve"> NUNCA. JAMÁS.</w:t>
      </w:r>
    </w:p>
    <w:p w:rsidR="00DF598E" w:rsidRDefault="004E5645" w:rsidP="00BC563A">
      <w:pPr>
        <w:spacing w:line="240" w:lineRule="auto"/>
        <w:jc w:val="both"/>
        <w:rPr>
          <w:rFonts w:ascii="Times New Roman" w:hAnsi="Times New Roman" w:cs="Times New Roman"/>
          <w:sz w:val="24"/>
          <w:szCs w:val="24"/>
          <w:lang w:eastAsia="es-ES"/>
        </w:rPr>
      </w:pPr>
      <w:r>
        <w:rPr>
          <w:rFonts w:ascii="Times New Roman" w:hAnsi="Times New Roman" w:cs="Times New Roman"/>
          <w:sz w:val="24"/>
          <w:szCs w:val="24"/>
          <w:lang w:eastAsia="es-ES"/>
        </w:rPr>
        <w:t>Si continúan pegados al móvil, atrapados en las redes sociales,</w:t>
      </w:r>
      <w:r w:rsidR="00DF598E">
        <w:rPr>
          <w:rFonts w:ascii="Times New Roman" w:hAnsi="Times New Roman" w:cs="Times New Roman"/>
          <w:sz w:val="24"/>
          <w:szCs w:val="24"/>
          <w:lang w:eastAsia="es-ES"/>
        </w:rPr>
        <w:t xml:space="preserve"> tecleando como posesos,</w:t>
      </w:r>
      <w:r>
        <w:rPr>
          <w:rFonts w:ascii="Times New Roman" w:hAnsi="Times New Roman" w:cs="Times New Roman"/>
          <w:sz w:val="24"/>
          <w:szCs w:val="24"/>
          <w:lang w:eastAsia="es-ES"/>
        </w:rPr>
        <w:t xml:space="preserve"> enviando mensajitos, apretando el botón de like,</w:t>
      </w:r>
      <w:r w:rsidR="00DF598E">
        <w:rPr>
          <w:rFonts w:ascii="Times New Roman" w:hAnsi="Times New Roman" w:cs="Times New Roman"/>
          <w:sz w:val="24"/>
          <w:szCs w:val="24"/>
          <w:lang w:eastAsia="es-ES"/>
        </w:rPr>
        <w:t xml:space="preserve"> imitando</w:t>
      </w:r>
      <w:r>
        <w:rPr>
          <w:rFonts w:ascii="Times New Roman" w:hAnsi="Times New Roman" w:cs="Times New Roman"/>
          <w:sz w:val="24"/>
          <w:szCs w:val="24"/>
          <w:lang w:eastAsia="es-ES"/>
        </w:rPr>
        <w:t xml:space="preserve"> a las influencers,</w:t>
      </w:r>
      <w:r w:rsidR="00DF598E">
        <w:rPr>
          <w:rFonts w:ascii="Times New Roman" w:hAnsi="Times New Roman" w:cs="Times New Roman"/>
          <w:sz w:val="24"/>
          <w:szCs w:val="24"/>
          <w:lang w:eastAsia="es-ES"/>
        </w:rPr>
        <w:t xml:space="preserve"> haciéndose selfies, mirando tonterías en TikTok, boba</w:t>
      </w:r>
      <w:r w:rsidR="00C50652">
        <w:rPr>
          <w:rFonts w:ascii="Times New Roman" w:hAnsi="Times New Roman" w:cs="Times New Roman"/>
          <w:sz w:val="24"/>
          <w:szCs w:val="24"/>
          <w:lang w:eastAsia="es-ES"/>
        </w:rPr>
        <w:t>das en YouTube, o descargando la última app</w:t>
      </w:r>
      <w:r w:rsidR="00DF598E">
        <w:rPr>
          <w:rFonts w:ascii="Times New Roman" w:hAnsi="Times New Roman" w:cs="Times New Roman"/>
          <w:sz w:val="24"/>
          <w:szCs w:val="24"/>
          <w:lang w:eastAsia="es-ES"/>
        </w:rPr>
        <w:t xml:space="preserve">… no sabrán, ni podrán, iniciar ninguna forma de </w:t>
      </w:r>
      <w:r w:rsidR="00E2308B">
        <w:rPr>
          <w:rFonts w:ascii="Times New Roman" w:hAnsi="Times New Roman" w:cs="Times New Roman"/>
          <w:sz w:val="24"/>
          <w:szCs w:val="24"/>
          <w:lang w:eastAsia="es-ES"/>
        </w:rPr>
        <w:t>“</w:t>
      </w:r>
      <w:r w:rsidR="00DF598E">
        <w:rPr>
          <w:rFonts w:ascii="Times New Roman" w:hAnsi="Times New Roman" w:cs="Times New Roman"/>
          <w:sz w:val="24"/>
          <w:szCs w:val="24"/>
          <w:lang w:eastAsia="es-ES"/>
        </w:rPr>
        <w:t>rebelión social</w:t>
      </w:r>
      <w:r w:rsidR="00E2308B">
        <w:rPr>
          <w:rFonts w:ascii="Times New Roman" w:hAnsi="Times New Roman" w:cs="Times New Roman"/>
          <w:sz w:val="24"/>
          <w:szCs w:val="24"/>
          <w:lang w:eastAsia="es-ES"/>
        </w:rPr>
        <w:t>”</w:t>
      </w:r>
      <w:r w:rsidR="00DF598E">
        <w:rPr>
          <w:rFonts w:ascii="Times New Roman" w:hAnsi="Times New Roman" w:cs="Times New Roman"/>
          <w:sz w:val="24"/>
          <w:szCs w:val="24"/>
          <w:lang w:eastAsia="es-ES"/>
        </w:rPr>
        <w:t xml:space="preserve">. NUNCA. JAMÁS. </w:t>
      </w:r>
    </w:p>
    <w:p w:rsidR="005C5ABE" w:rsidRDefault="00F15BA3" w:rsidP="00BC563A">
      <w:pPr>
        <w:spacing w:line="240" w:lineRule="auto"/>
        <w:jc w:val="both"/>
        <w:rPr>
          <w:rFonts w:ascii="Times New Roman" w:hAnsi="Times New Roman" w:cs="Times New Roman"/>
          <w:sz w:val="24"/>
          <w:szCs w:val="24"/>
          <w:lang w:eastAsia="es-ES"/>
        </w:rPr>
      </w:pPr>
      <w:r>
        <w:rPr>
          <w:rFonts w:ascii="Times New Roman" w:hAnsi="Times New Roman" w:cs="Times New Roman"/>
          <w:sz w:val="24"/>
          <w:szCs w:val="24"/>
          <w:lang w:eastAsia="es-ES"/>
        </w:rPr>
        <w:t>Podrán seguir</w:t>
      </w:r>
      <w:r w:rsidR="00DF598E">
        <w:rPr>
          <w:rFonts w:ascii="Times New Roman" w:hAnsi="Times New Roman" w:cs="Times New Roman"/>
          <w:sz w:val="24"/>
          <w:szCs w:val="24"/>
          <w:lang w:eastAsia="es-ES"/>
        </w:rPr>
        <w:t xml:space="preserve"> siendo unos “esclavos felices”</w:t>
      </w:r>
      <w:r>
        <w:rPr>
          <w:rFonts w:ascii="Times New Roman" w:hAnsi="Times New Roman" w:cs="Times New Roman"/>
          <w:sz w:val="24"/>
          <w:szCs w:val="24"/>
          <w:lang w:eastAsia="es-ES"/>
        </w:rPr>
        <w:t xml:space="preserve">, </w:t>
      </w:r>
      <w:r w:rsidR="006E3C79">
        <w:rPr>
          <w:rFonts w:ascii="Times New Roman" w:hAnsi="Times New Roman" w:cs="Times New Roman"/>
          <w:sz w:val="24"/>
          <w:szCs w:val="24"/>
          <w:lang w:eastAsia="es-ES"/>
        </w:rPr>
        <w:t>anestesiados por</w:t>
      </w:r>
      <w:r>
        <w:rPr>
          <w:rFonts w:ascii="Times New Roman" w:hAnsi="Times New Roman" w:cs="Times New Roman"/>
          <w:sz w:val="24"/>
          <w:szCs w:val="24"/>
          <w:lang w:eastAsia="es-ES"/>
        </w:rPr>
        <w:t xml:space="preserve"> el “soma”</w:t>
      </w:r>
      <w:r w:rsidR="00DF598E">
        <w:rPr>
          <w:rFonts w:ascii="Times New Roman" w:hAnsi="Times New Roman" w:cs="Times New Roman"/>
          <w:sz w:val="24"/>
          <w:szCs w:val="24"/>
          <w:lang w:eastAsia="es-ES"/>
        </w:rPr>
        <w:t xml:space="preserve"> de Facebook</w:t>
      </w:r>
      <w:r w:rsidR="00E2308B">
        <w:rPr>
          <w:rFonts w:ascii="Times New Roman" w:hAnsi="Times New Roman" w:cs="Times New Roman"/>
          <w:sz w:val="24"/>
          <w:szCs w:val="24"/>
          <w:lang w:eastAsia="es-ES"/>
        </w:rPr>
        <w:t>,</w:t>
      </w:r>
      <w:r w:rsidR="00DF598E">
        <w:rPr>
          <w:rFonts w:ascii="Times New Roman" w:hAnsi="Times New Roman" w:cs="Times New Roman"/>
          <w:sz w:val="24"/>
          <w:szCs w:val="24"/>
          <w:lang w:eastAsia="es-ES"/>
        </w:rPr>
        <w:t xml:space="preserve"> y</w:t>
      </w:r>
      <w:r w:rsidR="006E3C79">
        <w:rPr>
          <w:rFonts w:ascii="Times New Roman" w:hAnsi="Times New Roman" w:cs="Times New Roman"/>
          <w:sz w:val="24"/>
          <w:szCs w:val="24"/>
          <w:lang w:eastAsia="es-ES"/>
        </w:rPr>
        <w:t xml:space="preserve"> controlados por</w:t>
      </w:r>
      <w:r>
        <w:rPr>
          <w:rFonts w:ascii="Times New Roman" w:hAnsi="Times New Roman" w:cs="Times New Roman"/>
          <w:sz w:val="24"/>
          <w:szCs w:val="24"/>
          <w:lang w:eastAsia="es-ES"/>
        </w:rPr>
        <w:t xml:space="preserve"> los “algoritmos” de Google, creyendo saber de qué se trata, suponiendo tener libertad de decisión</w:t>
      </w:r>
      <w:r w:rsidR="005C5ABE">
        <w:rPr>
          <w:rFonts w:ascii="Times New Roman" w:hAnsi="Times New Roman" w:cs="Times New Roman"/>
          <w:sz w:val="24"/>
          <w:szCs w:val="24"/>
          <w:lang w:eastAsia="es-ES"/>
        </w:rPr>
        <w:t xml:space="preserve">, </w:t>
      </w:r>
      <w:r>
        <w:rPr>
          <w:rFonts w:ascii="Times New Roman" w:hAnsi="Times New Roman" w:cs="Times New Roman"/>
          <w:sz w:val="24"/>
          <w:szCs w:val="24"/>
          <w:lang w:eastAsia="es-ES"/>
        </w:rPr>
        <w:t>soñando ser dueños de su propio destino,</w:t>
      </w:r>
      <w:r w:rsidR="005C5ABE">
        <w:rPr>
          <w:rFonts w:ascii="Times New Roman" w:hAnsi="Times New Roman" w:cs="Times New Roman"/>
          <w:sz w:val="24"/>
          <w:szCs w:val="24"/>
          <w:lang w:eastAsia="es-ES"/>
        </w:rPr>
        <w:t xml:space="preserve"> presumiendo de autonomía,</w:t>
      </w:r>
      <w:r>
        <w:rPr>
          <w:rFonts w:ascii="Times New Roman" w:hAnsi="Times New Roman" w:cs="Times New Roman"/>
          <w:sz w:val="24"/>
          <w:szCs w:val="24"/>
          <w:lang w:eastAsia="es-ES"/>
        </w:rPr>
        <w:t xml:space="preserve"> mientras</w:t>
      </w:r>
      <w:r w:rsidR="005C5ABE">
        <w:rPr>
          <w:rFonts w:ascii="Times New Roman" w:hAnsi="Times New Roman" w:cs="Times New Roman"/>
          <w:sz w:val="24"/>
          <w:szCs w:val="24"/>
          <w:lang w:eastAsia="es-ES"/>
        </w:rPr>
        <w:t>, pedalean para Uber,  empaquetan para</w:t>
      </w:r>
      <w:r w:rsidR="006E3C79">
        <w:rPr>
          <w:rFonts w:ascii="Times New Roman" w:hAnsi="Times New Roman" w:cs="Times New Roman"/>
          <w:sz w:val="24"/>
          <w:szCs w:val="24"/>
          <w:lang w:eastAsia="es-ES"/>
        </w:rPr>
        <w:t xml:space="preserve"> Amazon, o reponen para Carrefour</w:t>
      </w:r>
      <w:r w:rsidR="005C5ABE">
        <w:rPr>
          <w:rFonts w:ascii="Times New Roman" w:hAnsi="Times New Roman" w:cs="Times New Roman"/>
          <w:sz w:val="24"/>
          <w:szCs w:val="24"/>
          <w:lang w:eastAsia="es-ES"/>
        </w:rPr>
        <w:t>… pero,</w:t>
      </w:r>
      <w:r w:rsidR="006E3C79">
        <w:rPr>
          <w:rFonts w:ascii="Times New Roman" w:hAnsi="Times New Roman" w:cs="Times New Roman"/>
          <w:sz w:val="24"/>
          <w:szCs w:val="24"/>
          <w:lang w:eastAsia="es-ES"/>
        </w:rPr>
        <w:t xml:space="preserve"> no sabrán, ni podrán,</w:t>
      </w:r>
      <w:r w:rsidR="005C5ABE">
        <w:rPr>
          <w:rFonts w:ascii="Times New Roman" w:hAnsi="Times New Roman" w:cs="Times New Roman"/>
          <w:sz w:val="24"/>
          <w:szCs w:val="24"/>
          <w:lang w:eastAsia="es-ES"/>
        </w:rPr>
        <w:t xml:space="preserve"> iniciar n</w:t>
      </w:r>
      <w:r w:rsidR="006E3C79">
        <w:rPr>
          <w:rFonts w:ascii="Times New Roman" w:hAnsi="Times New Roman" w:cs="Times New Roman"/>
          <w:sz w:val="24"/>
          <w:szCs w:val="24"/>
          <w:lang w:eastAsia="es-ES"/>
        </w:rPr>
        <w:t xml:space="preserve">inguna forma de </w:t>
      </w:r>
      <w:r w:rsidR="00E2308B">
        <w:rPr>
          <w:rFonts w:ascii="Times New Roman" w:hAnsi="Times New Roman" w:cs="Times New Roman"/>
          <w:sz w:val="24"/>
          <w:szCs w:val="24"/>
          <w:lang w:eastAsia="es-ES"/>
        </w:rPr>
        <w:t>“</w:t>
      </w:r>
      <w:r w:rsidR="006E3C79">
        <w:rPr>
          <w:rFonts w:ascii="Times New Roman" w:hAnsi="Times New Roman" w:cs="Times New Roman"/>
          <w:sz w:val="24"/>
          <w:szCs w:val="24"/>
          <w:lang w:eastAsia="es-ES"/>
        </w:rPr>
        <w:t>rebelión social</w:t>
      </w:r>
      <w:r w:rsidR="00E2308B">
        <w:rPr>
          <w:rFonts w:ascii="Times New Roman" w:hAnsi="Times New Roman" w:cs="Times New Roman"/>
          <w:sz w:val="24"/>
          <w:szCs w:val="24"/>
          <w:lang w:eastAsia="es-ES"/>
        </w:rPr>
        <w:t>”</w:t>
      </w:r>
      <w:r w:rsidR="006E3C79">
        <w:rPr>
          <w:rFonts w:ascii="Times New Roman" w:hAnsi="Times New Roman" w:cs="Times New Roman"/>
          <w:sz w:val="24"/>
          <w:szCs w:val="24"/>
          <w:lang w:eastAsia="es-ES"/>
        </w:rPr>
        <w:t>.</w:t>
      </w:r>
      <w:r w:rsidR="005C5ABE">
        <w:rPr>
          <w:rFonts w:ascii="Times New Roman" w:hAnsi="Times New Roman" w:cs="Times New Roman"/>
          <w:sz w:val="24"/>
          <w:szCs w:val="24"/>
          <w:lang w:eastAsia="es-ES"/>
        </w:rPr>
        <w:t xml:space="preserve"> NUNCA. JAMÁS. </w:t>
      </w:r>
    </w:p>
    <w:p w:rsidR="005C5ABE" w:rsidRDefault="006E3C79" w:rsidP="00ED16BD">
      <w:pPr>
        <w:spacing w:line="240" w:lineRule="auto"/>
        <w:jc w:val="both"/>
        <w:rPr>
          <w:rFonts w:ascii="Times New Roman" w:hAnsi="Times New Roman" w:cs="Times New Roman"/>
          <w:sz w:val="24"/>
          <w:szCs w:val="24"/>
          <w:lang w:eastAsia="es-ES"/>
        </w:rPr>
      </w:pPr>
      <w:r>
        <w:rPr>
          <w:rFonts w:ascii="Times New Roman" w:hAnsi="Times New Roman" w:cs="Times New Roman"/>
          <w:sz w:val="24"/>
          <w:szCs w:val="24"/>
          <w:lang w:eastAsia="es-ES"/>
        </w:rPr>
        <w:t>Jóvenes nomofóbicos</w:t>
      </w:r>
      <w:r w:rsidR="005C5ABE">
        <w:rPr>
          <w:rFonts w:ascii="Times New Roman" w:hAnsi="Times New Roman" w:cs="Times New Roman"/>
          <w:sz w:val="24"/>
          <w:szCs w:val="24"/>
          <w:lang w:eastAsia="es-ES"/>
        </w:rPr>
        <w:t xml:space="preserve">: la culpa de lo que está ocurriendo no es de ustedes. Pero la culpa de que siga ocurriendo será exclusivamente de ustedes. Espero que sepan entender el mensaje. </w:t>
      </w:r>
    </w:p>
    <w:p w:rsidR="00BC563A" w:rsidRPr="005C5ABE" w:rsidRDefault="00ED16BD" w:rsidP="00ED16BD">
      <w:pPr>
        <w:spacing w:line="240" w:lineRule="auto"/>
        <w:jc w:val="both"/>
        <w:rPr>
          <w:rFonts w:ascii="Times New Roman" w:hAnsi="Times New Roman" w:cs="Times New Roman"/>
          <w:sz w:val="24"/>
          <w:szCs w:val="24"/>
          <w:lang w:eastAsia="es-ES"/>
        </w:rPr>
      </w:pPr>
      <w:r>
        <w:rPr>
          <w:rFonts w:ascii="Times New Roman" w:hAnsi="Times New Roman" w:cs="Times New Roman"/>
          <w:b/>
          <w:sz w:val="24"/>
          <w:szCs w:val="24"/>
          <w:lang w:eastAsia="es-ES"/>
        </w:rPr>
        <w:lastRenderedPageBreak/>
        <w:t xml:space="preserve">- </w:t>
      </w:r>
      <w:r w:rsidRPr="009365F1">
        <w:rPr>
          <w:rFonts w:ascii="Times New Roman" w:hAnsi="Times New Roman" w:cs="Times New Roman"/>
          <w:b/>
          <w:sz w:val="24"/>
          <w:szCs w:val="24"/>
          <w:lang w:eastAsia="es-ES"/>
        </w:rPr>
        <w:t>Cada nueva generación tiene más difícil superar la riqueza de sus padres</w:t>
      </w:r>
    </w:p>
    <w:p w:rsidR="00B973B6" w:rsidRPr="00ED16BD" w:rsidRDefault="00B973B6" w:rsidP="00ED16BD">
      <w:pPr>
        <w:spacing w:line="240" w:lineRule="auto"/>
        <w:jc w:val="both"/>
        <w:rPr>
          <w:rFonts w:ascii="Times New Roman" w:hAnsi="Times New Roman" w:cs="Times New Roman"/>
          <w:sz w:val="24"/>
          <w:szCs w:val="24"/>
          <w:lang w:eastAsia="es-ES"/>
        </w:rPr>
      </w:pPr>
    </w:p>
    <w:p w:rsidR="005C70F3" w:rsidRPr="00230224" w:rsidRDefault="005C70F3" w:rsidP="00EF5FA4">
      <w:pPr>
        <w:spacing w:line="240" w:lineRule="auto"/>
        <w:rPr>
          <w:rFonts w:ascii="Times New Roman" w:hAnsi="Times New Roman" w:cs="Times New Roman"/>
          <w:sz w:val="24"/>
          <w:szCs w:val="24"/>
        </w:rPr>
      </w:pPr>
      <w:r w:rsidRPr="0009703D">
        <w:rPr>
          <w:rFonts w:ascii="Times New Roman" w:hAnsi="Times New Roman" w:cs="Times New Roman"/>
          <w:noProof/>
          <w:sz w:val="24"/>
          <w:szCs w:val="24"/>
          <w:lang w:val="en-GB" w:eastAsia="zh-CN"/>
        </w:rPr>
        <w:drawing>
          <wp:inline distT="0" distB="0" distL="0" distR="0">
            <wp:extent cx="5731510" cy="3214370"/>
            <wp:effectExtent l="0" t="0" r="2540" b="508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5731510" cy="3214370"/>
                    </a:xfrm>
                    <a:prstGeom prst="rect">
                      <a:avLst/>
                    </a:prstGeom>
                  </pic:spPr>
                </pic:pic>
              </a:graphicData>
            </a:graphic>
          </wp:inline>
        </w:drawing>
      </w:r>
    </w:p>
    <w:p w:rsidR="00B973B6" w:rsidRPr="00F37AC2" w:rsidRDefault="00B973B6" w:rsidP="00ED16BD">
      <w:pPr>
        <w:spacing w:line="240" w:lineRule="auto"/>
        <w:jc w:val="both"/>
        <w:rPr>
          <w:rFonts w:ascii="Times New Roman" w:hAnsi="Times New Roman" w:cs="Times New Roman"/>
          <w:b/>
          <w:sz w:val="24"/>
          <w:szCs w:val="24"/>
          <w:lang w:eastAsia="es-ES"/>
        </w:rPr>
      </w:pPr>
    </w:p>
    <w:p w:rsidR="00ED16BD" w:rsidRPr="006E3C79" w:rsidRDefault="00ED16BD" w:rsidP="00ED16BD">
      <w:pPr>
        <w:spacing w:line="240" w:lineRule="auto"/>
        <w:jc w:val="both"/>
        <w:rPr>
          <w:rFonts w:ascii="Times New Roman" w:hAnsi="Times New Roman" w:cs="Times New Roman"/>
          <w:b/>
          <w:sz w:val="24"/>
          <w:szCs w:val="24"/>
          <w:lang w:val="en-US" w:eastAsia="es-ES"/>
        </w:rPr>
      </w:pPr>
      <w:r w:rsidRPr="006E3C79">
        <w:rPr>
          <w:rFonts w:ascii="Times New Roman" w:hAnsi="Times New Roman" w:cs="Times New Roman"/>
          <w:b/>
          <w:sz w:val="24"/>
          <w:szCs w:val="24"/>
          <w:lang w:val="en-US" w:eastAsia="es-ES"/>
        </w:rPr>
        <w:t>Decline Upward Mobility</w:t>
      </w:r>
    </w:p>
    <w:p w:rsidR="00ED16BD" w:rsidRPr="006E3C79" w:rsidRDefault="00ED16BD" w:rsidP="00ED16BD">
      <w:pPr>
        <w:spacing w:line="240" w:lineRule="auto"/>
        <w:jc w:val="both"/>
        <w:rPr>
          <w:rFonts w:ascii="Times New Roman" w:hAnsi="Times New Roman" w:cs="Times New Roman"/>
          <w:sz w:val="24"/>
          <w:szCs w:val="24"/>
          <w:lang w:val="en-US" w:eastAsia="es-ES"/>
        </w:rPr>
      </w:pPr>
      <w:r w:rsidRPr="006E3C79">
        <w:rPr>
          <w:rFonts w:ascii="Times New Roman" w:hAnsi="Times New Roman" w:cs="Times New Roman"/>
          <w:sz w:val="24"/>
          <w:szCs w:val="24"/>
          <w:lang w:val="en-US" w:eastAsia="es-ES"/>
        </w:rPr>
        <w:t xml:space="preserve">(Fuente: magnet.xacata.com - </w:t>
      </w:r>
      <w:r w:rsidRPr="006E3C79">
        <w:rPr>
          <w:rFonts w:ascii="Times New Roman" w:hAnsi="Times New Roman" w:cs="Times New Roman"/>
          <w:b/>
          <w:sz w:val="24"/>
          <w:szCs w:val="24"/>
          <w:lang w:val="en-US" w:eastAsia="es-ES"/>
        </w:rPr>
        <w:t>9/11/20</w:t>
      </w:r>
      <w:r w:rsidRPr="006E3C79">
        <w:rPr>
          <w:rFonts w:ascii="Times New Roman" w:hAnsi="Times New Roman" w:cs="Times New Roman"/>
          <w:sz w:val="24"/>
          <w:szCs w:val="24"/>
          <w:lang w:val="en-US" w:eastAsia="es-ES"/>
        </w:rPr>
        <w:t xml:space="preserve">) </w:t>
      </w:r>
    </w:p>
    <w:p w:rsidR="00ED16BD" w:rsidRPr="00BF019F" w:rsidRDefault="00ED16BD" w:rsidP="00ED16BD">
      <w:pPr>
        <w:spacing w:line="240" w:lineRule="auto"/>
        <w:jc w:val="both"/>
        <w:rPr>
          <w:rFonts w:ascii="Times New Roman" w:hAnsi="Times New Roman" w:cs="Times New Roman"/>
          <w:sz w:val="24"/>
          <w:szCs w:val="24"/>
          <w:lang w:eastAsia="es-ES"/>
        </w:rPr>
      </w:pPr>
      <w:r w:rsidRPr="00BF019F">
        <w:rPr>
          <w:rFonts w:ascii="Times New Roman" w:hAnsi="Times New Roman" w:cs="Times New Roman"/>
          <w:sz w:val="24"/>
          <w:szCs w:val="24"/>
          <w:lang w:eastAsia="es-ES"/>
        </w:rPr>
        <w:t>El sistema político-económico-social surgido en los países occidentales tras la Segunda Guerra Mundial se basaba en una promesa muy sencilla: si trabajabas a denuedo, si te esforzabas lo suficiente, siempre podrías vivir mejor que tus padres. Aquella verdad se sostuvo durante unas pocas décadas. A principios de los ochenta inició un lento y paulatino declive consumado definitivamen</w:t>
      </w:r>
      <w:r>
        <w:rPr>
          <w:rFonts w:ascii="Times New Roman" w:hAnsi="Times New Roman" w:cs="Times New Roman"/>
          <w:sz w:val="24"/>
          <w:szCs w:val="24"/>
          <w:lang w:eastAsia="es-ES"/>
        </w:rPr>
        <w:t>te en la Gran Recesión de 2008.</w:t>
      </w:r>
    </w:p>
    <w:p w:rsidR="00ED16BD" w:rsidRDefault="00ED16BD" w:rsidP="00ED16BD">
      <w:pPr>
        <w:spacing w:line="240" w:lineRule="auto"/>
        <w:jc w:val="both"/>
        <w:rPr>
          <w:rFonts w:ascii="Times New Roman" w:hAnsi="Times New Roman" w:cs="Times New Roman"/>
          <w:sz w:val="24"/>
          <w:szCs w:val="24"/>
          <w:lang w:eastAsia="es-ES"/>
        </w:rPr>
      </w:pPr>
      <w:r w:rsidRPr="00BF019F">
        <w:rPr>
          <w:rFonts w:ascii="Times New Roman" w:hAnsi="Times New Roman" w:cs="Times New Roman"/>
          <w:sz w:val="24"/>
          <w:szCs w:val="24"/>
          <w:lang w:eastAsia="es-ES"/>
        </w:rPr>
        <w:t>Aquella crisis y sus consecuencias supusieron un punto de no retorno para el modelo de crecimiento y reparto económico predominante durante los sesenta años previos. Por primera vez, una generación de jóvenes descubrió no sin amargura que viviría peor que sus padres. La desigualdad generacional y laboral ha representado uno de los grandes temas de conversación en España y el resto de Europa, así como en Estados Unidos. Pero la Gran Recesión sól</w:t>
      </w:r>
      <w:r>
        <w:rPr>
          <w:rFonts w:ascii="Times New Roman" w:hAnsi="Times New Roman" w:cs="Times New Roman"/>
          <w:sz w:val="24"/>
          <w:szCs w:val="24"/>
          <w:lang w:eastAsia="es-ES"/>
        </w:rPr>
        <w:t>o aceleró una tendencia previa.</w:t>
      </w:r>
    </w:p>
    <w:p w:rsidR="00ED16BD" w:rsidRPr="00BF019F" w:rsidRDefault="00ED16BD" w:rsidP="00ED16BD">
      <w:pPr>
        <w:spacing w:line="240" w:lineRule="auto"/>
        <w:jc w:val="both"/>
        <w:rPr>
          <w:rFonts w:ascii="Times New Roman" w:hAnsi="Times New Roman" w:cs="Times New Roman"/>
          <w:sz w:val="24"/>
          <w:szCs w:val="24"/>
          <w:lang w:eastAsia="es-ES"/>
        </w:rPr>
      </w:pPr>
      <w:r w:rsidRPr="00BF019F">
        <w:rPr>
          <w:rFonts w:ascii="Times New Roman" w:hAnsi="Times New Roman" w:cs="Times New Roman"/>
          <w:sz w:val="24"/>
          <w:szCs w:val="24"/>
          <w:lang w:eastAsia="es-ES"/>
        </w:rPr>
        <w:t>Lo</w:t>
      </w:r>
      <w:r>
        <w:rPr>
          <w:rFonts w:ascii="Times New Roman" w:hAnsi="Times New Roman" w:cs="Times New Roman"/>
          <w:sz w:val="24"/>
          <w:szCs w:val="24"/>
          <w:lang w:eastAsia="es-ES"/>
        </w:rPr>
        <w:t xml:space="preserve"> ilustra de forma magnífica el siguiente</w:t>
      </w:r>
      <w:r w:rsidRPr="00BF019F">
        <w:rPr>
          <w:rFonts w:ascii="Times New Roman" w:hAnsi="Times New Roman" w:cs="Times New Roman"/>
          <w:sz w:val="24"/>
          <w:szCs w:val="24"/>
          <w:lang w:eastAsia="es-ES"/>
        </w:rPr>
        <w:t xml:space="preserve"> gráfico elaborado por Oppor</w:t>
      </w:r>
      <w:r>
        <w:rPr>
          <w:rFonts w:ascii="Times New Roman" w:hAnsi="Times New Roman" w:cs="Times New Roman"/>
          <w:sz w:val="24"/>
          <w:szCs w:val="24"/>
          <w:lang w:eastAsia="es-ES"/>
        </w:rPr>
        <w:t xml:space="preserve">tunity Insights y recogida </w:t>
      </w:r>
      <w:r w:rsidRPr="00BF019F">
        <w:rPr>
          <w:rFonts w:ascii="Times New Roman" w:hAnsi="Times New Roman" w:cs="Times New Roman"/>
          <w:sz w:val="24"/>
          <w:szCs w:val="24"/>
          <w:lang w:eastAsia="es-ES"/>
        </w:rPr>
        <w:t>por Visual Capitalist. Se centra en los datos de riqueza recopilados por la administración estadounidense desde mediados del siglo pasado hasta nuestros días. La conclusión visual es difícilmente optimista: generación tras generación los hijos están teniendo más y más dificultades para igualar o superar las ganancias de sus progenitores. El ascensor social, aquella vieja promesa del capitalismo contemporáneo, se ha esfumado. Es ya la ilusión de sólo unos pocos.</w:t>
      </w:r>
    </w:p>
    <w:p w:rsidR="00ED16BD" w:rsidRPr="009365F1" w:rsidRDefault="00ED16BD" w:rsidP="00ED16BD">
      <w:pPr>
        <w:spacing w:line="240" w:lineRule="auto"/>
        <w:jc w:val="both"/>
        <w:rPr>
          <w:rFonts w:ascii="Times New Roman" w:hAnsi="Times New Roman" w:cs="Times New Roman"/>
          <w:b/>
          <w:sz w:val="24"/>
          <w:szCs w:val="24"/>
          <w:lang w:eastAsia="es-ES"/>
        </w:rPr>
      </w:pPr>
    </w:p>
    <w:p w:rsidR="00ED16BD" w:rsidRDefault="00ED16BD" w:rsidP="00ED16BD">
      <w:pPr>
        <w:spacing w:line="240" w:lineRule="auto"/>
        <w:jc w:val="both"/>
        <w:rPr>
          <w:rFonts w:ascii="Times New Roman" w:hAnsi="Times New Roman" w:cs="Times New Roman"/>
          <w:sz w:val="24"/>
          <w:szCs w:val="24"/>
          <w:lang w:eastAsia="es-ES"/>
        </w:rPr>
      </w:pPr>
      <w:r>
        <w:rPr>
          <w:noProof/>
          <w:lang w:val="en-GB" w:eastAsia="zh-CN"/>
        </w:rPr>
        <w:lastRenderedPageBreak/>
        <w:drawing>
          <wp:inline distT="0" distB="0" distL="0" distR="0">
            <wp:extent cx="5727700" cy="4064000"/>
            <wp:effectExtent l="0" t="0" r="6350" b="0"/>
            <wp:docPr id="115" name="Imagen 115" descr="Decline Upward Mobili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ecline Upward Mobility"/>
                    <pic:cNvPicPr>
                      <a:picLocks noChangeAspect="1" noChangeArrowheads="1"/>
                    </pic:cNvPicPr>
                  </pic:nvPicPr>
                  <pic:blipFill>
                    <a:blip r:embed="rId3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1510" cy="4066703"/>
                    </a:xfrm>
                    <a:prstGeom prst="rect">
                      <a:avLst/>
                    </a:prstGeom>
                    <a:noFill/>
                    <a:ln>
                      <a:noFill/>
                    </a:ln>
                  </pic:spPr>
                </pic:pic>
              </a:graphicData>
            </a:graphic>
          </wp:inline>
        </w:drawing>
      </w:r>
    </w:p>
    <w:p w:rsidR="00ED16BD" w:rsidRPr="00BF019F" w:rsidRDefault="00ED16BD" w:rsidP="00ED16BD">
      <w:pPr>
        <w:spacing w:line="240" w:lineRule="auto"/>
        <w:jc w:val="both"/>
        <w:rPr>
          <w:rFonts w:ascii="Times New Roman" w:hAnsi="Times New Roman" w:cs="Times New Roman"/>
          <w:sz w:val="24"/>
          <w:szCs w:val="24"/>
          <w:lang w:eastAsia="es-ES"/>
        </w:rPr>
      </w:pPr>
      <w:r w:rsidRPr="00BF019F">
        <w:rPr>
          <w:rFonts w:ascii="Times New Roman" w:hAnsi="Times New Roman" w:cs="Times New Roman"/>
          <w:sz w:val="24"/>
          <w:szCs w:val="24"/>
          <w:lang w:eastAsia="es-ES"/>
        </w:rPr>
        <w:t>¿Qué ha pasado? Las causas son muy variadas y las hemos debatido largamente aquí. Sabemos que los salarios, por ejemplo, se han estancado. Los trabajadores occidentales ganan más o menos lo mismo hoy que hace cuarenta años. Sabemos también que el acceso a la educación superior se ha convertido en la clave para aspirar a una buena carrera profesional y a ganancias abultadas. Los obreros sin estudios, las clases bajas, ya no pueden aspirar a cuadros medios o de responsabilidad a cambio de un salario digno; tan sólo a empleos cada vez más precarios y temporales.</w:t>
      </w:r>
    </w:p>
    <w:p w:rsidR="00ED16BD" w:rsidRDefault="00ED16BD" w:rsidP="00ED16BD">
      <w:pPr>
        <w:spacing w:line="240" w:lineRule="auto"/>
        <w:jc w:val="both"/>
        <w:rPr>
          <w:rFonts w:ascii="Times New Roman" w:hAnsi="Times New Roman" w:cs="Times New Roman"/>
          <w:sz w:val="24"/>
          <w:szCs w:val="24"/>
          <w:lang w:eastAsia="es-ES"/>
        </w:rPr>
      </w:pPr>
      <w:r w:rsidRPr="00BF019F">
        <w:rPr>
          <w:rFonts w:ascii="Times New Roman" w:hAnsi="Times New Roman" w:cs="Times New Roman"/>
          <w:sz w:val="24"/>
          <w:szCs w:val="24"/>
          <w:lang w:eastAsia="es-ES"/>
        </w:rPr>
        <w:t>Este proceso ha ido penalizando a cada nueva generación respecto a la de sus padres, cristalizando en los millennial, cuya salida al mercado laboral coincidió con la Gran Recesión de 2008. España alcanzó picos del 55% de paro juvenil y aún hoy está por encima del 40%. Sus oportunidades laborales ya no pasan por puestos de larga duración en empresas estables, sino una elevadísima rotación laboral, fruto de la temporalidad y, para algunas cohortes demográficas, de la precariedad.</w:t>
      </w:r>
    </w:p>
    <w:p w:rsidR="00ED16BD" w:rsidRPr="00BF019F" w:rsidRDefault="00ED16BD" w:rsidP="00ED16BD">
      <w:pPr>
        <w:spacing w:line="240" w:lineRule="auto"/>
        <w:jc w:val="both"/>
        <w:rPr>
          <w:rFonts w:ascii="Times New Roman" w:hAnsi="Times New Roman" w:cs="Times New Roman"/>
          <w:sz w:val="24"/>
          <w:szCs w:val="24"/>
          <w:lang w:eastAsia="es-ES"/>
        </w:rPr>
      </w:pPr>
      <w:r w:rsidRPr="00BF019F">
        <w:rPr>
          <w:rFonts w:ascii="Times New Roman" w:hAnsi="Times New Roman" w:cs="Times New Roman"/>
          <w:sz w:val="24"/>
          <w:szCs w:val="24"/>
          <w:lang w:eastAsia="es-ES"/>
        </w:rPr>
        <w:t>Las cifras de Estados Unidos son muy ilustrativas. La probabilidad de que un joven supere a sus padres ha ido cayendo poco a poco en todos los deciles. En 1940, los hijos del percentil más bajo (aquellas familias más pobres) tenían un 95% de probabilidades de obtener una mejor posición económica que sus padres. En 1980 ese porcentaje se había reducido al 79%. Lo mismo sucedió con el percentil medio (la clase media): si en 1940 el 93% de sus hijos podían aspirar a vivir mejor que sus progenit</w:t>
      </w:r>
      <w:r>
        <w:rPr>
          <w:rFonts w:ascii="Times New Roman" w:hAnsi="Times New Roman" w:cs="Times New Roman"/>
          <w:sz w:val="24"/>
          <w:szCs w:val="24"/>
          <w:lang w:eastAsia="es-ES"/>
        </w:rPr>
        <w:t>ores, en 1980 eran sólo el 45%.</w:t>
      </w:r>
    </w:p>
    <w:p w:rsidR="00ED16BD" w:rsidRPr="00BF019F" w:rsidRDefault="00ED16BD" w:rsidP="00ED16BD">
      <w:pPr>
        <w:spacing w:line="240" w:lineRule="auto"/>
        <w:jc w:val="both"/>
        <w:rPr>
          <w:rFonts w:ascii="Times New Roman" w:hAnsi="Times New Roman" w:cs="Times New Roman"/>
          <w:sz w:val="24"/>
          <w:szCs w:val="24"/>
          <w:lang w:eastAsia="es-ES"/>
        </w:rPr>
      </w:pPr>
      <w:r w:rsidRPr="00BF019F">
        <w:rPr>
          <w:rFonts w:ascii="Times New Roman" w:hAnsi="Times New Roman" w:cs="Times New Roman"/>
          <w:sz w:val="24"/>
          <w:szCs w:val="24"/>
          <w:lang w:eastAsia="es-ES"/>
        </w:rPr>
        <w:t xml:space="preserve">Es decir, a la altura de la Generación X, la perspectiva de la mayor parte de hijos de clase media (más numerosa que las cohortes ricas o extremadamente pobres) era de estancamiento. Ya no podrían superar la riqueza y el estatus de sus padres. Similares cifras arroja el percentil alto: los hijos de las familias ricas tenían un 41% de mejorar las ganancias de sus </w:t>
      </w:r>
      <w:r w:rsidRPr="00BF019F">
        <w:rPr>
          <w:rFonts w:ascii="Times New Roman" w:hAnsi="Times New Roman" w:cs="Times New Roman"/>
          <w:sz w:val="24"/>
          <w:szCs w:val="24"/>
          <w:lang w:eastAsia="es-ES"/>
        </w:rPr>
        <w:lastRenderedPageBreak/>
        <w:t>progenitores en 1940; un porcentaje abultadísimo que contrasta con el 8% de 1980. Una caída abrupta a todos los niveles.</w:t>
      </w:r>
    </w:p>
    <w:p w:rsidR="00ED16BD" w:rsidRPr="00BF019F" w:rsidRDefault="00ED16BD" w:rsidP="00ED16BD">
      <w:pPr>
        <w:spacing w:line="240" w:lineRule="auto"/>
        <w:jc w:val="both"/>
        <w:rPr>
          <w:rFonts w:ascii="Times New Roman" w:hAnsi="Times New Roman" w:cs="Times New Roman"/>
          <w:sz w:val="24"/>
          <w:szCs w:val="24"/>
          <w:lang w:eastAsia="es-ES"/>
        </w:rPr>
      </w:pPr>
      <w:r w:rsidRPr="00BF019F">
        <w:rPr>
          <w:rFonts w:ascii="Times New Roman" w:hAnsi="Times New Roman" w:cs="Times New Roman"/>
          <w:sz w:val="24"/>
          <w:szCs w:val="24"/>
          <w:lang w:eastAsia="es-ES"/>
        </w:rPr>
        <w:t>Como decimos, los factores son variados, pero se pueden resumir a grandes rasgos en dos: los salarios se han estancado desde mediados de los setenta (al cambio, los trabajadores de 1964 cobraban $20,27 la hora, frente a los $22,65 de 2018); y la economía se ha polarizado (menos clase media y una brecha mayor, y más difícil de sortear, entre los más privilegiados económicamente y los más pobres). Algo que han percibido las nuevas generaciones, cada vez más activas políticamente, más radicales y más descontentas con el capitalismo.</w:t>
      </w:r>
    </w:p>
    <w:p w:rsidR="00ED16BD" w:rsidRDefault="00ED16BD" w:rsidP="00ED16BD">
      <w:pPr>
        <w:spacing w:line="240" w:lineRule="auto"/>
        <w:jc w:val="both"/>
        <w:rPr>
          <w:rFonts w:ascii="Times New Roman" w:hAnsi="Times New Roman" w:cs="Times New Roman"/>
          <w:sz w:val="24"/>
          <w:szCs w:val="24"/>
          <w:lang w:eastAsia="es-ES"/>
        </w:rPr>
      </w:pPr>
      <w:r w:rsidRPr="00BF019F">
        <w:rPr>
          <w:rFonts w:ascii="Times New Roman" w:hAnsi="Times New Roman" w:cs="Times New Roman"/>
          <w:sz w:val="24"/>
          <w:szCs w:val="24"/>
          <w:lang w:eastAsia="es-ES"/>
        </w:rPr>
        <w:t>En E</w:t>
      </w:r>
      <w:r w:rsidR="00B973B6">
        <w:rPr>
          <w:rFonts w:ascii="Times New Roman" w:hAnsi="Times New Roman" w:cs="Times New Roman"/>
          <w:sz w:val="24"/>
          <w:szCs w:val="24"/>
          <w:lang w:eastAsia="es-ES"/>
        </w:rPr>
        <w:t>stados Unidos es la muerte del “sueño americano”</w:t>
      </w:r>
      <w:r w:rsidRPr="00BF019F">
        <w:rPr>
          <w:rFonts w:ascii="Times New Roman" w:hAnsi="Times New Roman" w:cs="Times New Roman"/>
          <w:sz w:val="24"/>
          <w:szCs w:val="24"/>
          <w:lang w:eastAsia="es-ES"/>
        </w:rPr>
        <w:t>, un sueño que dejó de existir hace muchos años. La renta de tus padres es el mejor predictor de tu renta futura. En Europa el proceso se ha mimetizado, descontando su mayor asistencia social y su mayor naturaleza redistributiva, pero la conclusión para millones de jóvenes es la misma: vivirán peor que sus padres (o aspirarán como máximo a mantener su estatus; en España, heredando sus propiedades inmobiliarias). La vieja promesa del capitalismo ni siquiera ha llegado a ser una opción para ellos.</w:t>
      </w:r>
    </w:p>
    <w:p w:rsidR="00ED16BD" w:rsidRPr="00BF019F" w:rsidRDefault="00ED16BD" w:rsidP="00ED16BD">
      <w:pPr>
        <w:spacing w:line="240" w:lineRule="auto"/>
        <w:jc w:val="both"/>
        <w:rPr>
          <w:rFonts w:ascii="Times New Roman" w:hAnsi="Times New Roman" w:cs="Times New Roman"/>
          <w:sz w:val="24"/>
          <w:szCs w:val="24"/>
          <w:lang w:eastAsia="es-ES"/>
        </w:rPr>
      </w:pPr>
      <w:r w:rsidRPr="00BF019F">
        <w:rPr>
          <w:rFonts w:ascii="Times New Roman" w:hAnsi="Times New Roman" w:cs="Times New Roman"/>
          <w:sz w:val="24"/>
          <w:szCs w:val="24"/>
          <w:lang w:eastAsia="es-ES"/>
        </w:rPr>
        <w:t>El sistema político-económico-social surgido en los países occidentales tras la Segunda Guerra Mundial se basaba en una promesa muy sencilla: si trabajabas a denuedo, si te esforzabas lo suficiente, siempre podrías vivir mejor que tus padres. Aquella verdad se sostuvo durante unas pocas décadas. A principios de los ochenta inició un lento y paulatino declive consumado definitivamen</w:t>
      </w:r>
      <w:r>
        <w:rPr>
          <w:rFonts w:ascii="Times New Roman" w:hAnsi="Times New Roman" w:cs="Times New Roman"/>
          <w:sz w:val="24"/>
          <w:szCs w:val="24"/>
          <w:lang w:eastAsia="es-ES"/>
        </w:rPr>
        <w:t>te en la Gran Recesión de 2008.</w:t>
      </w:r>
    </w:p>
    <w:p w:rsidR="00ED16BD" w:rsidRPr="00BF019F" w:rsidRDefault="00ED16BD" w:rsidP="00ED16BD">
      <w:pPr>
        <w:spacing w:line="240" w:lineRule="auto"/>
        <w:jc w:val="both"/>
        <w:rPr>
          <w:rFonts w:ascii="Times New Roman" w:hAnsi="Times New Roman" w:cs="Times New Roman"/>
          <w:sz w:val="24"/>
          <w:szCs w:val="24"/>
          <w:lang w:eastAsia="es-ES"/>
        </w:rPr>
      </w:pPr>
      <w:r w:rsidRPr="00BF019F">
        <w:rPr>
          <w:rFonts w:ascii="Times New Roman" w:hAnsi="Times New Roman" w:cs="Times New Roman"/>
          <w:sz w:val="24"/>
          <w:szCs w:val="24"/>
          <w:lang w:eastAsia="es-ES"/>
        </w:rPr>
        <w:t>Aquella crisis y sus consecuencias supusieron un punto de no retorno para el modelo de crecimiento y reparto económico predominante durante los sesenta años previos. Por primera vez, una generación de jóvenes descubrió no sin amargura que viviría peor que sus padres. La desigualdad generacional y laboral ha representado uno de los grandes temas de conversación en España y el resto de Europa, así como en Estados Unidos. Pero la Gran Recesión sól</w:t>
      </w:r>
      <w:r>
        <w:rPr>
          <w:rFonts w:ascii="Times New Roman" w:hAnsi="Times New Roman" w:cs="Times New Roman"/>
          <w:sz w:val="24"/>
          <w:szCs w:val="24"/>
          <w:lang w:eastAsia="es-ES"/>
        </w:rPr>
        <w:t>o aceleró una tendencia previa.</w:t>
      </w:r>
    </w:p>
    <w:p w:rsidR="00ED16BD" w:rsidRDefault="00ED16BD" w:rsidP="00ED16BD">
      <w:pPr>
        <w:spacing w:line="240" w:lineRule="auto"/>
        <w:jc w:val="both"/>
        <w:rPr>
          <w:rFonts w:ascii="Times New Roman" w:hAnsi="Times New Roman" w:cs="Times New Roman"/>
          <w:sz w:val="24"/>
          <w:szCs w:val="24"/>
          <w:lang w:eastAsia="es-ES"/>
        </w:rPr>
      </w:pPr>
      <w:r w:rsidRPr="00BF019F">
        <w:rPr>
          <w:rFonts w:ascii="Times New Roman" w:hAnsi="Times New Roman" w:cs="Times New Roman"/>
          <w:sz w:val="24"/>
          <w:szCs w:val="24"/>
          <w:lang w:eastAsia="es-ES"/>
        </w:rPr>
        <w:t>Lo ilustra de forma magnífica este gráfico elaborado por Opportunity Insights y recogida aquí por Visual Capitalist. Se centra en los datos de riqueza recopilados por la administración estadounidense desde mediados del siglo pasado hasta nuestros días. La conclusión visual es difícilmente optimista: generación tras generación los hijos están teniendo más y más dificultades para igualar o superar las ganancias de sus progenitores. El ascensor social, aquella vieja promesa del capitalismo contemporáneo, se ha esfumado. Es ya la ilusión de sólo unos pocos.</w:t>
      </w:r>
    </w:p>
    <w:p w:rsidR="00ED16BD" w:rsidRDefault="00ED16BD" w:rsidP="00ED16BD">
      <w:pPr>
        <w:spacing w:line="240" w:lineRule="auto"/>
        <w:jc w:val="both"/>
        <w:rPr>
          <w:rFonts w:ascii="Times New Roman" w:hAnsi="Times New Roman" w:cs="Times New Roman"/>
          <w:b/>
          <w:sz w:val="24"/>
          <w:szCs w:val="24"/>
          <w:lang w:eastAsia="es-ES"/>
        </w:rPr>
      </w:pPr>
      <w:r w:rsidRPr="002F2048">
        <w:rPr>
          <w:rFonts w:ascii="Times New Roman" w:hAnsi="Times New Roman" w:cs="Times New Roman"/>
          <w:b/>
          <w:sz w:val="24"/>
          <w:szCs w:val="24"/>
          <w:lang w:eastAsia="es-ES"/>
        </w:rPr>
        <w:t xml:space="preserve">La generación estafada o los hijos </w:t>
      </w:r>
      <w:r>
        <w:rPr>
          <w:rFonts w:ascii="Times New Roman" w:hAnsi="Times New Roman" w:cs="Times New Roman"/>
          <w:b/>
          <w:sz w:val="24"/>
          <w:szCs w:val="24"/>
          <w:lang w:eastAsia="es-ES"/>
        </w:rPr>
        <w:t>que vivirán peor que sus padres</w:t>
      </w:r>
    </w:p>
    <w:p w:rsidR="00ED16BD" w:rsidRPr="001A640E" w:rsidRDefault="00ED16BD" w:rsidP="00ED16BD">
      <w:pPr>
        <w:spacing w:line="240" w:lineRule="auto"/>
        <w:jc w:val="both"/>
        <w:rPr>
          <w:rFonts w:ascii="Times New Roman" w:hAnsi="Times New Roman" w:cs="Times New Roman"/>
          <w:sz w:val="24"/>
          <w:szCs w:val="24"/>
          <w:lang w:eastAsia="es-ES"/>
        </w:rPr>
      </w:pPr>
      <w:r>
        <w:rPr>
          <w:rFonts w:ascii="Times New Roman" w:hAnsi="Times New Roman" w:cs="Times New Roman"/>
          <w:sz w:val="24"/>
          <w:szCs w:val="24"/>
          <w:lang w:eastAsia="es-ES"/>
        </w:rPr>
        <w:t xml:space="preserve">(Fuente: marcvidal.net - </w:t>
      </w:r>
      <w:r w:rsidRPr="001A640E">
        <w:rPr>
          <w:rFonts w:ascii="Times New Roman" w:hAnsi="Times New Roman" w:cs="Times New Roman"/>
          <w:b/>
          <w:sz w:val="24"/>
          <w:szCs w:val="24"/>
          <w:lang w:eastAsia="es-ES"/>
        </w:rPr>
        <w:t>20/4/21</w:t>
      </w:r>
      <w:r>
        <w:rPr>
          <w:rFonts w:ascii="Times New Roman" w:hAnsi="Times New Roman" w:cs="Times New Roman"/>
          <w:sz w:val="24"/>
          <w:szCs w:val="24"/>
          <w:lang w:eastAsia="es-ES"/>
        </w:rPr>
        <w:t>)</w:t>
      </w:r>
    </w:p>
    <w:p w:rsidR="00ED16BD" w:rsidRPr="002F2048" w:rsidRDefault="00ED16BD" w:rsidP="00ED16BD">
      <w:pPr>
        <w:spacing w:line="240" w:lineRule="auto"/>
        <w:jc w:val="both"/>
        <w:rPr>
          <w:rFonts w:ascii="Times New Roman" w:hAnsi="Times New Roman" w:cs="Times New Roman"/>
          <w:sz w:val="24"/>
          <w:szCs w:val="24"/>
          <w:lang w:eastAsia="es-ES"/>
        </w:rPr>
      </w:pPr>
      <w:r w:rsidRPr="002F2048">
        <w:rPr>
          <w:rFonts w:ascii="Times New Roman" w:hAnsi="Times New Roman" w:cs="Times New Roman"/>
          <w:sz w:val="24"/>
          <w:szCs w:val="24"/>
          <w:lang w:eastAsia="es-ES"/>
        </w:rPr>
        <w:t xml:space="preserve">Algunos le llaman la generación precaria, otros, la llaman la generación estafada. Algunos estudios reflejan que los menores de 34 años son el único grupo de edad más preocupado por las consecuencias económicas que está teniendo la situación actual que por las que pudieran haber de tipo sanitarias. </w:t>
      </w:r>
    </w:p>
    <w:p w:rsidR="00ED16BD" w:rsidRPr="002F2048" w:rsidRDefault="00ED16BD" w:rsidP="00ED16BD">
      <w:pPr>
        <w:spacing w:line="240" w:lineRule="auto"/>
        <w:jc w:val="both"/>
        <w:rPr>
          <w:rFonts w:ascii="Times New Roman" w:hAnsi="Times New Roman" w:cs="Times New Roman"/>
          <w:sz w:val="24"/>
          <w:szCs w:val="24"/>
          <w:lang w:eastAsia="es-ES"/>
        </w:rPr>
      </w:pPr>
      <w:r w:rsidRPr="002F2048">
        <w:rPr>
          <w:rFonts w:ascii="Times New Roman" w:hAnsi="Times New Roman" w:cs="Times New Roman"/>
          <w:sz w:val="24"/>
          <w:szCs w:val="24"/>
          <w:lang w:eastAsia="es-ES"/>
        </w:rPr>
        <w:t xml:space="preserve">Estamos hablando de jóvenes de hasta treinta y cuatro años. Son los grandes perjudicados de la doble crisis que hemos vivido, la de la explosión de la burbuja inmobiliaria y la que acaba de empezar. </w:t>
      </w:r>
      <w:r>
        <w:rPr>
          <w:rFonts w:ascii="Times New Roman" w:hAnsi="Times New Roman" w:cs="Times New Roman"/>
          <w:sz w:val="24"/>
          <w:szCs w:val="24"/>
          <w:lang w:eastAsia="es-ES"/>
        </w:rPr>
        <w:t>En el caso de España, durante</w:t>
      </w:r>
      <w:r w:rsidRPr="002F2048">
        <w:rPr>
          <w:rFonts w:ascii="Times New Roman" w:hAnsi="Times New Roman" w:cs="Times New Roman"/>
          <w:sz w:val="24"/>
          <w:szCs w:val="24"/>
          <w:lang w:eastAsia="es-ES"/>
        </w:rPr>
        <w:t xml:space="preserve"> la crisis de 2008, el paro general</w:t>
      </w:r>
      <w:r>
        <w:rPr>
          <w:rFonts w:ascii="Times New Roman" w:hAnsi="Times New Roman" w:cs="Times New Roman"/>
          <w:sz w:val="24"/>
          <w:szCs w:val="24"/>
          <w:lang w:eastAsia="es-ES"/>
        </w:rPr>
        <w:t xml:space="preserve"> se fue del 8% (</w:t>
      </w:r>
      <w:r w:rsidRPr="002F2048">
        <w:rPr>
          <w:rFonts w:ascii="Times New Roman" w:hAnsi="Times New Roman" w:cs="Times New Roman"/>
          <w:sz w:val="24"/>
          <w:szCs w:val="24"/>
          <w:lang w:eastAsia="es-ES"/>
        </w:rPr>
        <w:t>cuando la construcción tiraba de la economía</w:t>
      </w:r>
      <w:r>
        <w:rPr>
          <w:rFonts w:ascii="Times New Roman" w:hAnsi="Times New Roman" w:cs="Times New Roman"/>
          <w:sz w:val="24"/>
          <w:szCs w:val="24"/>
          <w:lang w:eastAsia="es-ES"/>
        </w:rPr>
        <w:t>)</w:t>
      </w:r>
      <w:r w:rsidRPr="002F2048">
        <w:rPr>
          <w:rFonts w:ascii="Times New Roman" w:hAnsi="Times New Roman" w:cs="Times New Roman"/>
          <w:sz w:val="24"/>
          <w:szCs w:val="24"/>
          <w:lang w:eastAsia="es-ES"/>
        </w:rPr>
        <w:t>, al 26%. Pero entre los jóvenes ese paro se fue del 17 al 56%. Prácticamente dos de cada tres</w:t>
      </w:r>
      <w:r>
        <w:rPr>
          <w:rFonts w:ascii="Times New Roman" w:hAnsi="Times New Roman" w:cs="Times New Roman"/>
          <w:sz w:val="24"/>
          <w:szCs w:val="24"/>
          <w:lang w:eastAsia="es-ES"/>
        </w:rPr>
        <w:t xml:space="preserve"> jóvenes estaban en el paro. En la crisis de 2020 </w:t>
      </w:r>
      <w:r>
        <w:rPr>
          <w:rFonts w:ascii="Times New Roman" w:hAnsi="Times New Roman" w:cs="Times New Roman"/>
          <w:sz w:val="24"/>
          <w:szCs w:val="24"/>
          <w:lang w:eastAsia="es-ES"/>
        </w:rPr>
        <w:lastRenderedPageBreak/>
        <w:t>la situación fue muy similar. El paro general creció</w:t>
      </w:r>
      <w:r w:rsidRPr="002F2048">
        <w:rPr>
          <w:rFonts w:ascii="Times New Roman" w:hAnsi="Times New Roman" w:cs="Times New Roman"/>
          <w:sz w:val="24"/>
          <w:szCs w:val="24"/>
          <w:lang w:eastAsia="es-ES"/>
        </w:rPr>
        <w:t xml:space="preserve"> hasta el 16%, p</w:t>
      </w:r>
      <w:r>
        <w:rPr>
          <w:rFonts w:ascii="Times New Roman" w:hAnsi="Times New Roman" w:cs="Times New Roman"/>
          <w:sz w:val="24"/>
          <w:szCs w:val="24"/>
          <w:lang w:eastAsia="es-ES"/>
        </w:rPr>
        <w:t>ero entre los jóvenes llegó hasta el 40%.</w:t>
      </w:r>
    </w:p>
    <w:p w:rsidR="00ED16BD" w:rsidRPr="002F2048" w:rsidRDefault="00ED16BD" w:rsidP="00ED16BD">
      <w:pPr>
        <w:spacing w:line="240" w:lineRule="auto"/>
        <w:jc w:val="both"/>
        <w:rPr>
          <w:rFonts w:ascii="Times New Roman" w:hAnsi="Times New Roman" w:cs="Times New Roman"/>
          <w:sz w:val="24"/>
          <w:szCs w:val="24"/>
          <w:lang w:eastAsia="es-ES"/>
        </w:rPr>
      </w:pPr>
      <w:r w:rsidRPr="002F2048">
        <w:rPr>
          <w:rFonts w:ascii="Times New Roman" w:hAnsi="Times New Roman" w:cs="Times New Roman"/>
          <w:sz w:val="24"/>
          <w:szCs w:val="24"/>
          <w:lang w:eastAsia="es-ES"/>
        </w:rPr>
        <w:t>Y es que hay un motivo para ello. Los jóvenes acaparan siete de cada diez contratos temporales firmados en España. Hay territorios en los que ser joven es equivalente a no trabajar. En Ceuta y Melilla, por ejemplo, el paro juvenil es de más del 65%. Más de la mitad de los jóvenes están en paro en Andalucía y en Canarias un 57,7%. Con estos datos, la edad de emancipación de muchos de esos jóvenes se sigue retrasando y está ya casi en los 30 años, según Eurostat. Muy lejos de los 19 años en Noru</w:t>
      </w:r>
      <w:r>
        <w:rPr>
          <w:rFonts w:ascii="Times New Roman" w:hAnsi="Times New Roman" w:cs="Times New Roman"/>
          <w:sz w:val="24"/>
          <w:szCs w:val="24"/>
          <w:lang w:eastAsia="es-ES"/>
        </w:rPr>
        <w:t>ega o los 21 años de Dinamarca.</w:t>
      </w:r>
    </w:p>
    <w:p w:rsidR="00ED16BD" w:rsidRPr="002F2048" w:rsidRDefault="00ED16BD" w:rsidP="00ED16BD">
      <w:pPr>
        <w:spacing w:line="240" w:lineRule="auto"/>
        <w:jc w:val="both"/>
        <w:rPr>
          <w:rFonts w:ascii="Times New Roman" w:hAnsi="Times New Roman" w:cs="Times New Roman"/>
          <w:sz w:val="24"/>
          <w:szCs w:val="24"/>
          <w:lang w:eastAsia="es-ES"/>
        </w:rPr>
      </w:pPr>
      <w:r w:rsidRPr="002F2048">
        <w:rPr>
          <w:rFonts w:ascii="Times New Roman" w:hAnsi="Times New Roman" w:cs="Times New Roman"/>
          <w:sz w:val="24"/>
          <w:szCs w:val="24"/>
          <w:lang w:eastAsia="es-ES"/>
        </w:rPr>
        <w:t>El incremento de las desigualdades en la distribución de la renta y la riqueza se va a extender y va a afectar mucho a los jóvenes. Paradójicamente, en la anterior crisis, las personas que más la sufrieron fueron las que menos habían contribuido a desencadenarla, y ahora está sucediendo algo similar. Quienes están engrosando mayoritariamente las filas del desempleo son los jóvenes y personas con niveles de cualificación relativamente</w:t>
      </w:r>
      <w:r>
        <w:rPr>
          <w:rFonts w:ascii="Times New Roman" w:hAnsi="Times New Roman" w:cs="Times New Roman"/>
          <w:sz w:val="24"/>
          <w:szCs w:val="24"/>
          <w:lang w:eastAsia="es-ES"/>
        </w:rPr>
        <w:t xml:space="preserve"> bajos en el sector servicios. </w:t>
      </w:r>
    </w:p>
    <w:p w:rsidR="00ED16BD" w:rsidRPr="002F2048" w:rsidRDefault="00ED16BD" w:rsidP="00ED16BD">
      <w:pPr>
        <w:spacing w:line="240" w:lineRule="auto"/>
        <w:jc w:val="both"/>
        <w:rPr>
          <w:rFonts w:ascii="Times New Roman" w:hAnsi="Times New Roman" w:cs="Times New Roman"/>
          <w:sz w:val="24"/>
          <w:szCs w:val="24"/>
          <w:lang w:eastAsia="es-ES"/>
        </w:rPr>
      </w:pPr>
      <w:r w:rsidRPr="002F2048">
        <w:rPr>
          <w:rFonts w:ascii="Times New Roman" w:hAnsi="Times New Roman" w:cs="Times New Roman"/>
          <w:sz w:val="24"/>
          <w:szCs w:val="24"/>
          <w:lang w:eastAsia="es-ES"/>
        </w:rPr>
        <w:t xml:space="preserve">Y esto trae consecuencias sociales importantes, hasta el punto de que esta generación empieza a vivir lo que se denomina como envidia generacional. Esta es la generación de los hijos que saben que van a vivir peor que sus padres. También trae consecuencias políticas. El CIS reflejaba en su último estudio que, uno de cada cinco jóvenes menores de 24 años, un 21,9% defiende literalmente que en algunas circunstancias un régimen autoritario puede ser mejor que una democracia </w:t>
      </w:r>
    </w:p>
    <w:p w:rsidR="00ED16BD" w:rsidRPr="002F2048" w:rsidRDefault="00ED16BD" w:rsidP="00ED16BD">
      <w:pPr>
        <w:spacing w:line="240" w:lineRule="auto"/>
        <w:jc w:val="both"/>
        <w:rPr>
          <w:rFonts w:ascii="Times New Roman" w:hAnsi="Times New Roman" w:cs="Times New Roman"/>
          <w:sz w:val="24"/>
          <w:szCs w:val="24"/>
          <w:lang w:eastAsia="es-ES"/>
        </w:rPr>
      </w:pPr>
      <w:r>
        <w:rPr>
          <w:rFonts w:ascii="Times New Roman" w:hAnsi="Times New Roman" w:cs="Times New Roman"/>
          <w:sz w:val="24"/>
          <w:szCs w:val="24"/>
          <w:lang w:eastAsia="es-ES"/>
        </w:rPr>
        <w:t>Hay otra consecuencia terrible en</w:t>
      </w:r>
      <w:r w:rsidRPr="002F2048">
        <w:rPr>
          <w:rFonts w:ascii="Times New Roman" w:hAnsi="Times New Roman" w:cs="Times New Roman"/>
          <w:sz w:val="24"/>
          <w:szCs w:val="24"/>
          <w:lang w:eastAsia="es-ES"/>
        </w:rPr>
        <w:t xml:space="preserve"> esta situación que parece</w:t>
      </w:r>
      <w:r>
        <w:rPr>
          <w:rFonts w:ascii="Times New Roman" w:hAnsi="Times New Roman" w:cs="Times New Roman"/>
          <w:sz w:val="24"/>
          <w:szCs w:val="24"/>
          <w:lang w:eastAsia="es-ES"/>
        </w:rPr>
        <w:t xml:space="preserve"> quea </w:t>
      </w:r>
      <w:r w:rsidRPr="002F2048">
        <w:rPr>
          <w:rFonts w:ascii="Times New Roman" w:hAnsi="Times New Roman" w:cs="Times New Roman"/>
          <w:sz w:val="24"/>
          <w:szCs w:val="24"/>
          <w:lang w:eastAsia="es-ES"/>
        </w:rPr>
        <w:t>nadie</w:t>
      </w:r>
      <w:r>
        <w:rPr>
          <w:rFonts w:ascii="Times New Roman" w:hAnsi="Times New Roman" w:cs="Times New Roman"/>
          <w:sz w:val="24"/>
          <w:szCs w:val="24"/>
          <w:lang w:eastAsia="es-ES"/>
        </w:rPr>
        <w:t xml:space="preserve"> interesa</w:t>
      </w:r>
      <w:r w:rsidRPr="002F2048">
        <w:rPr>
          <w:rFonts w:ascii="Times New Roman" w:hAnsi="Times New Roman" w:cs="Times New Roman"/>
          <w:sz w:val="24"/>
          <w:szCs w:val="24"/>
          <w:lang w:eastAsia="es-ES"/>
        </w:rPr>
        <w:t xml:space="preserve"> atender correctamente. Hablamos de una generación golpeada, de una generación vulnerable, de una generación que vive en casa de sus</w:t>
      </w:r>
      <w:r>
        <w:rPr>
          <w:rFonts w:ascii="Times New Roman" w:hAnsi="Times New Roman" w:cs="Times New Roman"/>
          <w:sz w:val="24"/>
          <w:szCs w:val="24"/>
          <w:lang w:eastAsia="es-ES"/>
        </w:rPr>
        <w:t xml:space="preserve"> padres, en una especie de “limbo familiar y social”</w:t>
      </w:r>
      <w:r w:rsidRPr="002F2048">
        <w:rPr>
          <w:rFonts w:ascii="Times New Roman" w:hAnsi="Times New Roman" w:cs="Times New Roman"/>
          <w:sz w:val="24"/>
          <w:szCs w:val="24"/>
          <w:lang w:eastAsia="es-ES"/>
        </w:rPr>
        <w:t>. Lejos de poder emanciparse, de iniciar la construcción de una vida propia. Es un tema de primer orden y que rompe ese contrato entre generaciones que se debería respetar, porque algunos estudios reflejan que cuando se sufre esta quiebra generacional, se arrastra a lo largo del resto de la vida laboral y lo puede convertir en per</w:t>
      </w:r>
      <w:r>
        <w:rPr>
          <w:rFonts w:ascii="Times New Roman" w:hAnsi="Times New Roman" w:cs="Times New Roman"/>
          <w:sz w:val="24"/>
          <w:szCs w:val="24"/>
          <w:lang w:eastAsia="es-ES"/>
        </w:rPr>
        <w:t>manente. A esto se le puedellamar una vida en provisional.</w:t>
      </w:r>
    </w:p>
    <w:p w:rsidR="00ED16BD" w:rsidRPr="002F2048" w:rsidRDefault="00ED16BD" w:rsidP="00ED16BD">
      <w:pPr>
        <w:spacing w:line="240" w:lineRule="auto"/>
        <w:jc w:val="both"/>
        <w:rPr>
          <w:rFonts w:ascii="Times New Roman" w:hAnsi="Times New Roman" w:cs="Times New Roman"/>
          <w:sz w:val="24"/>
          <w:szCs w:val="24"/>
          <w:lang w:eastAsia="es-ES"/>
        </w:rPr>
      </w:pPr>
      <w:r>
        <w:rPr>
          <w:rFonts w:ascii="Times New Roman" w:hAnsi="Times New Roman" w:cs="Times New Roman"/>
          <w:sz w:val="24"/>
          <w:szCs w:val="24"/>
          <w:lang w:eastAsia="es-ES"/>
        </w:rPr>
        <w:t>Existe</w:t>
      </w:r>
      <w:r w:rsidRPr="002F2048">
        <w:rPr>
          <w:rFonts w:ascii="Times New Roman" w:hAnsi="Times New Roman" w:cs="Times New Roman"/>
          <w:sz w:val="24"/>
          <w:szCs w:val="24"/>
          <w:lang w:eastAsia="es-ES"/>
        </w:rPr>
        <w:t xml:space="preserve"> un problema muy serio en cuanto al contrato ínter generacional que, como se rompa, puede ser muy peligroso. A esta generación se les ha dicho: fórmate todo lo que puedas y después accederás a un empleo, a un salario y comenzarás una vida. Algo que no es mayoritariamente posible. Es, técnicamente, una generación estafada. Una generación sobre cualificada para un mercado laboral que no los necesita. De momento, sólo puede darles una respuesta</w:t>
      </w:r>
      <w:r>
        <w:rPr>
          <w:rFonts w:ascii="Times New Roman" w:hAnsi="Times New Roman" w:cs="Times New Roman"/>
          <w:sz w:val="24"/>
          <w:szCs w:val="24"/>
          <w:lang w:eastAsia="es-ES"/>
        </w:rPr>
        <w:t xml:space="preserve"> temporal. Así es el</w:t>
      </w:r>
      <w:r w:rsidRPr="002F2048">
        <w:rPr>
          <w:rFonts w:ascii="Times New Roman" w:hAnsi="Times New Roman" w:cs="Times New Roman"/>
          <w:sz w:val="24"/>
          <w:szCs w:val="24"/>
          <w:lang w:eastAsia="es-ES"/>
        </w:rPr>
        <w:t xml:space="preserve"> mercado laboral</w:t>
      </w:r>
      <w:r>
        <w:rPr>
          <w:rFonts w:ascii="Times New Roman" w:hAnsi="Times New Roman" w:cs="Times New Roman"/>
          <w:sz w:val="24"/>
          <w:szCs w:val="24"/>
          <w:lang w:eastAsia="es-ES"/>
        </w:rPr>
        <w:t xml:space="preserve"> para los jóvenes</w:t>
      </w:r>
      <w:r w:rsidRPr="002F2048">
        <w:rPr>
          <w:rFonts w:ascii="Times New Roman" w:hAnsi="Times New Roman" w:cs="Times New Roman"/>
          <w:sz w:val="24"/>
          <w:szCs w:val="24"/>
          <w:lang w:eastAsia="es-ES"/>
        </w:rPr>
        <w:t xml:space="preserve">. </w:t>
      </w:r>
    </w:p>
    <w:p w:rsidR="00ED16BD" w:rsidRDefault="00ED16BD" w:rsidP="00ED16BD">
      <w:pPr>
        <w:spacing w:line="240" w:lineRule="auto"/>
        <w:jc w:val="both"/>
        <w:rPr>
          <w:rFonts w:ascii="Times New Roman" w:hAnsi="Times New Roman" w:cs="Times New Roman"/>
          <w:sz w:val="24"/>
          <w:szCs w:val="24"/>
          <w:lang w:eastAsia="es-ES"/>
        </w:rPr>
      </w:pPr>
      <w:r w:rsidRPr="002F2048">
        <w:rPr>
          <w:rFonts w:ascii="Times New Roman" w:hAnsi="Times New Roman" w:cs="Times New Roman"/>
          <w:sz w:val="24"/>
          <w:szCs w:val="24"/>
          <w:lang w:eastAsia="es-ES"/>
        </w:rPr>
        <w:t xml:space="preserve">Y la pregunta ahora mismo es ¿cómo se soluciona? ¿Cómo se soluciona ahora mismo un mercado laboral roto en dos? Roto entre quienes tienen derechos y trabajos consolidados y quienes tienen precariedad y sólo aspiraciones. Habrá que volver a reconstruir ese contrato entre generaciones o muchos de nuestros jóvenes se irán para no volver y los que se queden cada vez trabajarán en empleos que repercutan menos en la recaudación pública. </w:t>
      </w:r>
    </w:p>
    <w:p w:rsidR="00F24821" w:rsidRDefault="00F24821" w:rsidP="00F24821">
      <w:pPr>
        <w:spacing w:line="240" w:lineRule="auto"/>
        <w:jc w:val="both"/>
        <w:rPr>
          <w:rFonts w:ascii="Times New Roman" w:hAnsi="Times New Roman" w:cs="Times New Roman"/>
          <w:b/>
          <w:sz w:val="24"/>
          <w:szCs w:val="24"/>
        </w:rPr>
      </w:pPr>
      <w:r w:rsidRPr="00982DC0">
        <w:rPr>
          <w:rFonts w:ascii="Times New Roman" w:hAnsi="Times New Roman" w:cs="Times New Roman"/>
          <w:b/>
          <w:sz w:val="24"/>
          <w:szCs w:val="24"/>
        </w:rPr>
        <w:t>Generación de cristal, ¿por lo frágil o por lo transparente?</w:t>
      </w:r>
    </w:p>
    <w:p w:rsidR="00F24821" w:rsidRPr="00936FBF" w:rsidRDefault="00F24821" w:rsidP="00F24821">
      <w:pPr>
        <w:spacing w:line="240" w:lineRule="auto"/>
        <w:jc w:val="both"/>
        <w:rPr>
          <w:rFonts w:ascii="Times New Roman" w:hAnsi="Times New Roman" w:cs="Times New Roman"/>
          <w:sz w:val="24"/>
          <w:szCs w:val="24"/>
        </w:rPr>
      </w:pPr>
      <w:r w:rsidRPr="00936FBF">
        <w:rPr>
          <w:rFonts w:ascii="Times New Roman" w:hAnsi="Times New Roman" w:cs="Times New Roman"/>
          <w:sz w:val="24"/>
          <w:szCs w:val="24"/>
        </w:rPr>
        <w:t>(Fuente: elsaltodiario.com -</w:t>
      </w:r>
      <w:r>
        <w:rPr>
          <w:rFonts w:ascii="Times New Roman" w:hAnsi="Times New Roman" w:cs="Times New Roman"/>
          <w:b/>
          <w:sz w:val="24"/>
          <w:szCs w:val="24"/>
        </w:rPr>
        <w:t xml:space="preserve"> 5/4/21</w:t>
      </w:r>
      <w:r>
        <w:rPr>
          <w:rFonts w:ascii="Times New Roman" w:hAnsi="Times New Roman" w:cs="Times New Roman"/>
          <w:sz w:val="24"/>
          <w:szCs w:val="24"/>
        </w:rPr>
        <w:t>)</w:t>
      </w:r>
    </w:p>
    <w:p w:rsidR="00F24821" w:rsidRPr="00982DC0" w:rsidRDefault="00F24821" w:rsidP="00F24821">
      <w:pPr>
        <w:spacing w:line="240" w:lineRule="auto"/>
        <w:jc w:val="both"/>
        <w:rPr>
          <w:rFonts w:ascii="Times New Roman" w:hAnsi="Times New Roman" w:cs="Times New Roman"/>
          <w:sz w:val="24"/>
          <w:szCs w:val="24"/>
        </w:rPr>
      </w:pPr>
      <w:r w:rsidRPr="00982DC0">
        <w:rPr>
          <w:rFonts w:ascii="Times New Roman" w:hAnsi="Times New Roman" w:cs="Times New Roman"/>
          <w:sz w:val="24"/>
          <w:szCs w:val="24"/>
        </w:rPr>
        <w:t>El número de jóvenes que remite síntomas de depresión o ansiedad se ha incrementado tras la pandemia mientras los expertos hablan de una “cuarta ola” de mala salud mental.</w:t>
      </w:r>
    </w:p>
    <w:p w:rsidR="00F24821" w:rsidRDefault="00F24821" w:rsidP="00F24821">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H</w:t>
      </w:r>
      <w:r w:rsidRPr="00982DC0">
        <w:rPr>
          <w:rFonts w:ascii="Times New Roman" w:hAnsi="Times New Roman" w:cs="Times New Roman"/>
          <w:sz w:val="24"/>
          <w:szCs w:val="24"/>
        </w:rPr>
        <w:t xml:space="preserve">ace unos meses una cadena televisiva preguntaba a una niña qué lección sacaba del coronavirus. “He aprendido que no tenemos futuro”, espetaba ella, poniendo en palabras el sentimiento de millones de jóvenes que, crecidos entre crisis, han de resignarse a vivir peor que sus padres. La Organización Mundial de la Salud (OMS) afirma que la depresión será la primera causa de discapacidad entre jóvenes y adultos en 2030 y, a día de hoy, el suicidio es la segunda causa de muerte entre personas de entre 15 a 29 años. En un contexto de desigualdades acusadas, falta de expectativas ante un mercado laboral inaccesible e incapacidad de planificación o de cumplimiento de las aspiraciones vitales, la herencia recibida ha llevado a que la </w:t>
      </w:r>
      <w:r>
        <w:rPr>
          <w:rFonts w:ascii="Times New Roman" w:hAnsi="Times New Roman" w:cs="Times New Roman"/>
          <w:sz w:val="24"/>
          <w:szCs w:val="24"/>
        </w:rPr>
        <w:t>generación Z -la nacida entre 1995 y 2010-</w:t>
      </w:r>
      <w:r w:rsidRPr="00982DC0">
        <w:rPr>
          <w:rFonts w:ascii="Times New Roman" w:hAnsi="Times New Roman" w:cs="Times New Roman"/>
          <w:sz w:val="24"/>
          <w:szCs w:val="24"/>
        </w:rPr>
        <w:t xml:space="preserve"> sienta menos reparos a la hora de exponer sin tapujos su forma de pensar, sentir y padecer.</w:t>
      </w:r>
    </w:p>
    <w:p w:rsidR="00F24821" w:rsidRDefault="00F24821" w:rsidP="00F24821">
      <w:pPr>
        <w:spacing w:line="240" w:lineRule="auto"/>
        <w:jc w:val="both"/>
        <w:rPr>
          <w:rFonts w:ascii="Times New Roman" w:hAnsi="Times New Roman" w:cs="Times New Roman"/>
          <w:sz w:val="24"/>
          <w:szCs w:val="24"/>
        </w:rPr>
      </w:pPr>
      <w:r w:rsidRPr="00982DC0">
        <w:rPr>
          <w:rFonts w:ascii="Times New Roman" w:hAnsi="Times New Roman" w:cs="Times New Roman"/>
          <w:sz w:val="24"/>
          <w:szCs w:val="24"/>
        </w:rPr>
        <w:t>Aunque ni el cuestionamiento de los discursos hegemónicos ni la voluntad por evidenciar la relación entre la salud mental y el sistema capitalista sean algo nuevo, el auge de las redes sociales ha ayudado a que cada vez más jóvenes hablen abiertamente de cuestiones como la depresión o la ansiedad. “Creo que es una generación donde no se compran los mantras capitalistas y neoliberales de que si estudias o trabajas todo irá bien”, argumenta Marta Carmona, psiquiatra crítica con el sistema de salud mental español, quien alude también al 40,2% de desempleo juvenil en España, la cifra más elevada de la Unión Europea. La necesidad de expresar pensamientos, sentimientos, inquietudes o lamentos ha llevado al uso del concepto de “generación de cristal” para definir, despectivamente, a los zoomers, pero para Carmona, lejos de eso, “es una generación que se va a tener que hacer cargo de las cenizas de una sociedad y de un planeta que lleva décadas quemándose y que exterioriza mucho más ese malestar porque le han visto el cartón al sistema”.</w:t>
      </w:r>
    </w:p>
    <w:p w:rsidR="00ED16BD" w:rsidRDefault="00ED16BD" w:rsidP="00ED16BD">
      <w:pPr>
        <w:spacing w:line="240" w:lineRule="auto"/>
        <w:jc w:val="both"/>
        <w:rPr>
          <w:rFonts w:ascii="Times New Roman" w:hAnsi="Times New Roman" w:cs="Times New Roman"/>
          <w:b/>
          <w:sz w:val="24"/>
          <w:szCs w:val="24"/>
        </w:rPr>
      </w:pPr>
      <w:r w:rsidRPr="006A6D65">
        <w:rPr>
          <w:rFonts w:ascii="Times New Roman" w:hAnsi="Times New Roman" w:cs="Times New Roman"/>
          <w:b/>
          <w:sz w:val="24"/>
          <w:szCs w:val="24"/>
        </w:rPr>
        <w:t>Millennials: qué salió mal con la generación que pasó de ser ambiciosa a ser infeliz</w:t>
      </w:r>
    </w:p>
    <w:p w:rsidR="00ED16BD" w:rsidRPr="006A6D65" w:rsidRDefault="00ED16BD" w:rsidP="00ED16BD">
      <w:pPr>
        <w:spacing w:line="240" w:lineRule="auto"/>
        <w:jc w:val="both"/>
        <w:rPr>
          <w:rFonts w:ascii="Times New Roman" w:hAnsi="Times New Roman" w:cs="Times New Roman"/>
          <w:b/>
          <w:sz w:val="24"/>
          <w:szCs w:val="24"/>
        </w:rPr>
      </w:pPr>
      <w:r>
        <w:rPr>
          <w:rFonts w:ascii="Times New Roman" w:hAnsi="Times New Roman" w:cs="Times New Roman"/>
          <w:sz w:val="24"/>
          <w:szCs w:val="24"/>
        </w:rPr>
        <w:t xml:space="preserve">(Fuente: BBCMundo - </w:t>
      </w:r>
      <w:r w:rsidRPr="001A640E">
        <w:rPr>
          <w:rFonts w:ascii="Times New Roman" w:hAnsi="Times New Roman" w:cs="Times New Roman"/>
          <w:b/>
          <w:sz w:val="24"/>
          <w:szCs w:val="24"/>
        </w:rPr>
        <w:t>4/8/21</w:t>
      </w:r>
      <w:r>
        <w:rPr>
          <w:rFonts w:ascii="Times New Roman" w:hAnsi="Times New Roman" w:cs="Times New Roman"/>
          <w:sz w:val="24"/>
          <w:szCs w:val="24"/>
        </w:rPr>
        <w:t>)</w:t>
      </w:r>
    </w:p>
    <w:p w:rsidR="00ED16BD" w:rsidRPr="006A6D65" w:rsidRDefault="00ED16BD" w:rsidP="00ED16BD">
      <w:pPr>
        <w:spacing w:line="240" w:lineRule="auto"/>
        <w:jc w:val="both"/>
        <w:rPr>
          <w:rFonts w:ascii="Times New Roman" w:hAnsi="Times New Roman" w:cs="Times New Roman"/>
          <w:sz w:val="24"/>
          <w:szCs w:val="24"/>
        </w:rPr>
      </w:pPr>
      <w:r w:rsidRPr="006A6D65">
        <w:rPr>
          <w:rFonts w:ascii="Times New Roman" w:hAnsi="Times New Roman" w:cs="Times New Roman"/>
          <w:sz w:val="24"/>
          <w:szCs w:val="24"/>
        </w:rPr>
        <w:t xml:space="preserve">La primera generación que vivió con computadoras personales, teléfonos inteligentes, internet y el flujo global de información desde una edad temprana tenía grandes expectativas para sí misma: con más años de educación que sus padres y con una composición más diversa socialmente, los millennials soñaron con más prosperidad e impacto global que </w:t>
      </w:r>
      <w:r>
        <w:rPr>
          <w:rFonts w:ascii="Times New Roman" w:hAnsi="Times New Roman" w:cs="Times New Roman"/>
          <w:sz w:val="24"/>
          <w:szCs w:val="24"/>
        </w:rPr>
        <w:t>muchas generaciones anteriores.</w:t>
      </w:r>
    </w:p>
    <w:p w:rsidR="00ED16BD" w:rsidRPr="006A6D65" w:rsidRDefault="00ED16BD" w:rsidP="00ED16BD">
      <w:pPr>
        <w:spacing w:line="240" w:lineRule="auto"/>
        <w:jc w:val="both"/>
        <w:rPr>
          <w:rFonts w:ascii="Times New Roman" w:hAnsi="Times New Roman" w:cs="Times New Roman"/>
          <w:sz w:val="24"/>
          <w:szCs w:val="24"/>
        </w:rPr>
      </w:pPr>
      <w:r w:rsidRPr="006A6D65">
        <w:rPr>
          <w:rFonts w:ascii="Times New Roman" w:hAnsi="Times New Roman" w:cs="Times New Roman"/>
          <w:sz w:val="24"/>
          <w:szCs w:val="24"/>
        </w:rPr>
        <w:t>Sin embargo, las encuestas internacionales muestran que los millennials, cuya edad actualmente oscila entre los 26 y los 40, más o menos, tienen más probabilidades de endeudarse que sus antepasados y tardan más, en promedio, en dejar la casa de sus padres o en alcanzar los hitos tradicionales de la vida adulta, como comprar una propiedad o un automóvil.</w:t>
      </w:r>
    </w:p>
    <w:p w:rsidR="00ED16BD" w:rsidRPr="006A6D65" w:rsidRDefault="00ED16BD" w:rsidP="00ED16BD">
      <w:pPr>
        <w:spacing w:line="240" w:lineRule="auto"/>
        <w:jc w:val="both"/>
        <w:rPr>
          <w:rFonts w:ascii="Times New Roman" w:hAnsi="Times New Roman" w:cs="Times New Roman"/>
          <w:sz w:val="24"/>
          <w:szCs w:val="24"/>
        </w:rPr>
      </w:pPr>
      <w:r w:rsidRPr="006A6D65">
        <w:rPr>
          <w:rFonts w:ascii="Times New Roman" w:hAnsi="Times New Roman" w:cs="Times New Roman"/>
          <w:sz w:val="24"/>
          <w:szCs w:val="24"/>
        </w:rPr>
        <w:t>Esta desconexión entre la expectativa y la realidad ha convertido a los millennials en el blanco de memes o comentarios despectivos</w:t>
      </w:r>
      <w:r w:rsidR="00B973B6">
        <w:rPr>
          <w:rFonts w:ascii="Times New Roman" w:hAnsi="Times New Roman" w:cs="Times New Roman"/>
          <w:sz w:val="24"/>
          <w:szCs w:val="24"/>
        </w:rPr>
        <w:t xml:space="preserve"> en internet sobre su aparente “fracaso”, “pereza”</w:t>
      </w:r>
      <w:r w:rsidRPr="006A6D65">
        <w:rPr>
          <w:rFonts w:ascii="Times New Roman" w:hAnsi="Times New Roman" w:cs="Times New Roman"/>
          <w:sz w:val="24"/>
          <w:szCs w:val="24"/>
        </w:rPr>
        <w:t xml:space="preserve"> o m</w:t>
      </w:r>
      <w:r>
        <w:rPr>
          <w:rFonts w:ascii="Times New Roman" w:hAnsi="Times New Roman" w:cs="Times New Roman"/>
          <w:sz w:val="24"/>
          <w:szCs w:val="24"/>
        </w:rPr>
        <w:t>ayor dependencia de sus padres.</w:t>
      </w:r>
    </w:p>
    <w:p w:rsidR="00ED16BD" w:rsidRPr="006A6D65" w:rsidRDefault="00ED16BD" w:rsidP="00ED16BD">
      <w:pPr>
        <w:spacing w:line="240" w:lineRule="auto"/>
        <w:jc w:val="both"/>
        <w:rPr>
          <w:rFonts w:ascii="Times New Roman" w:hAnsi="Times New Roman" w:cs="Times New Roman"/>
          <w:sz w:val="24"/>
          <w:szCs w:val="24"/>
        </w:rPr>
      </w:pPr>
      <w:r w:rsidRPr="006A6D65">
        <w:rPr>
          <w:rFonts w:ascii="Times New Roman" w:hAnsi="Times New Roman" w:cs="Times New Roman"/>
          <w:sz w:val="24"/>
          <w:szCs w:val="24"/>
        </w:rPr>
        <w:t>Y para empeorar las cosas, la generación millennial ahora recibe las miradas desdeñosas de la generación Z, la que le sigue, y para quienes gran parte de lo que se asocia con millennials es visto como vergonzoso.</w:t>
      </w:r>
    </w:p>
    <w:p w:rsidR="00ED16BD" w:rsidRDefault="00ED16BD" w:rsidP="00ED16BD">
      <w:pPr>
        <w:spacing w:line="240" w:lineRule="auto"/>
        <w:jc w:val="both"/>
        <w:rPr>
          <w:rFonts w:ascii="Times New Roman" w:hAnsi="Times New Roman" w:cs="Times New Roman"/>
          <w:sz w:val="24"/>
          <w:szCs w:val="24"/>
        </w:rPr>
      </w:pPr>
      <w:r w:rsidRPr="006A6D65">
        <w:rPr>
          <w:rFonts w:ascii="Times New Roman" w:hAnsi="Times New Roman" w:cs="Times New Roman"/>
          <w:sz w:val="24"/>
          <w:szCs w:val="24"/>
        </w:rPr>
        <w:t>Entonces, ¿qué fue lo que salió mal para los millennials? Y ¿realmente fracasaron?</w:t>
      </w:r>
    </w:p>
    <w:p w:rsidR="00ED16BD" w:rsidRPr="00DA18D1" w:rsidRDefault="00ED16BD" w:rsidP="00ED16BD">
      <w:pPr>
        <w:spacing w:line="240" w:lineRule="auto"/>
        <w:jc w:val="both"/>
        <w:rPr>
          <w:rFonts w:ascii="Times New Roman" w:hAnsi="Times New Roman" w:cs="Times New Roman"/>
          <w:sz w:val="24"/>
          <w:szCs w:val="24"/>
        </w:rPr>
      </w:pPr>
      <w:r w:rsidRPr="00DA18D1">
        <w:rPr>
          <w:rFonts w:ascii="Times New Roman" w:hAnsi="Times New Roman" w:cs="Times New Roman"/>
          <w:sz w:val="24"/>
          <w:szCs w:val="24"/>
        </w:rPr>
        <w:t>La respuesta de muchos investigadores es, ante todo, que la culpa no es exactamente de los millennials: es principal</w:t>
      </w:r>
      <w:r>
        <w:rPr>
          <w:rFonts w:ascii="Times New Roman" w:hAnsi="Times New Roman" w:cs="Times New Roman"/>
          <w:sz w:val="24"/>
          <w:szCs w:val="24"/>
        </w:rPr>
        <w:t>mente el estado de la economía.</w:t>
      </w:r>
    </w:p>
    <w:p w:rsidR="00ED16BD" w:rsidRPr="00DA18D1" w:rsidRDefault="00B973B6" w:rsidP="00ED16BD">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w:t>
      </w:r>
      <w:r w:rsidR="00ED16BD" w:rsidRPr="00DA18D1">
        <w:rPr>
          <w:rFonts w:ascii="Times New Roman" w:hAnsi="Times New Roman" w:cs="Times New Roman"/>
          <w:sz w:val="24"/>
          <w:szCs w:val="24"/>
        </w:rPr>
        <w:t>La generación millennial se convirtió en adulta en los primeros días de los teléfonos inteligentes y la conectividad. Entonces, de alguna manera, estaban en el lugar correcto en el momento adecuado para desarrollar grandes i</w:t>
      </w:r>
      <w:r>
        <w:rPr>
          <w:rFonts w:ascii="Times New Roman" w:hAnsi="Times New Roman" w:cs="Times New Roman"/>
          <w:sz w:val="24"/>
          <w:szCs w:val="24"/>
        </w:rPr>
        <w:t>deas sobre su papel en el mundo”</w:t>
      </w:r>
      <w:r w:rsidR="00ED16BD" w:rsidRPr="00DA18D1">
        <w:rPr>
          <w:rFonts w:ascii="Times New Roman" w:hAnsi="Times New Roman" w:cs="Times New Roman"/>
          <w:sz w:val="24"/>
          <w:szCs w:val="24"/>
        </w:rPr>
        <w:t>, explica Jason Dorsey, experto en perfiles de millennials y presidente de la empresa estadounidense Centro de Cinética Generacional, que analiza los hábitos globales de los</w:t>
      </w:r>
      <w:r w:rsidR="00ED16BD">
        <w:rPr>
          <w:rFonts w:ascii="Times New Roman" w:hAnsi="Times New Roman" w:cs="Times New Roman"/>
          <w:sz w:val="24"/>
          <w:szCs w:val="24"/>
        </w:rPr>
        <w:t xml:space="preserve"> millennials y la generación Z.</w:t>
      </w:r>
    </w:p>
    <w:p w:rsidR="00ED16BD" w:rsidRPr="00DA18D1" w:rsidRDefault="00B973B6" w:rsidP="00ED16BD">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ED16BD" w:rsidRPr="00DA18D1">
        <w:rPr>
          <w:rFonts w:ascii="Times New Roman" w:hAnsi="Times New Roman" w:cs="Times New Roman"/>
          <w:sz w:val="24"/>
          <w:szCs w:val="24"/>
        </w:rPr>
        <w:t>Sus padres les dijeron que tendrían éxito, que tenían un amplio acceso a la educación en comparación con las generaciones anteriores, y había una gran sensa</w:t>
      </w:r>
      <w:r>
        <w:rPr>
          <w:rFonts w:ascii="Times New Roman" w:hAnsi="Times New Roman" w:cs="Times New Roman"/>
          <w:sz w:val="24"/>
          <w:szCs w:val="24"/>
        </w:rPr>
        <w:t>ción de conexión y de impacto”</w:t>
      </w:r>
      <w:r w:rsidR="00ED16BD">
        <w:rPr>
          <w:rFonts w:ascii="Times New Roman" w:hAnsi="Times New Roman" w:cs="Times New Roman"/>
          <w:sz w:val="24"/>
          <w:szCs w:val="24"/>
        </w:rPr>
        <w:t>.</w:t>
      </w:r>
    </w:p>
    <w:p w:rsidR="00ED16BD" w:rsidRPr="00DA18D1" w:rsidRDefault="00ED16BD" w:rsidP="00ED16BD">
      <w:pPr>
        <w:spacing w:line="240" w:lineRule="auto"/>
        <w:jc w:val="both"/>
        <w:rPr>
          <w:rFonts w:ascii="Times New Roman" w:hAnsi="Times New Roman" w:cs="Times New Roman"/>
          <w:sz w:val="24"/>
          <w:szCs w:val="24"/>
        </w:rPr>
      </w:pPr>
      <w:r w:rsidRPr="00DA18D1">
        <w:rPr>
          <w:rFonts w:ascii="Times New Roman" w:hAnsi="Times New Roman" w:cs="Times New Roman"/>
          <w:sz w:val="24"/>
          <w:szCs w:val="24"/>
        </w:rPr>
        <w:t>Pero esta generación enfrentó grandes recesiones, como la que arrastró al mundo luego de la cr</w:t>
      </w:r>
      <w:r>
        <w:rPr>
          <w:rFonts w:ascii="Times New Roman" w:hAnsi="Times New Roman" w:cs="Times New Roman"/>
          <w:sz w:val="24"/>
          <w:szCs w:val="24"/>
        </w:rPr>
        <w:t>isis financiera de 2008 a 2009.</w:t>
      </w:r>
    </w:p>
    <w:p w:rsidR="00ED16BD" w:rsidRPr="00DA18D1" w:rsidRDefault="00B973B6" w:rsidP="00ED16BD">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ED16BD" w:rsidRPr="00DA18D1">
        <w:rPr>
          <w:rFonts w:ascii="Times New Roman" w:hAnsi="Times New Roman" w:cs="Times New Roman"/>
          <w:sz w:val="24"/>
          <w:szCs w:val="24"/>
        </w:rPr>
        <w:t>En muchos sentidos, los millennials estaban posicionados para tener mucho éxito, o eso se les dijo. Y la realidad es que muchos millennials han atravesado algún tipo de gran recesión, con despidos masivos, inflación, estancamiento de los salar</w:t>
      </w:r>
      <w:r>
        <w:rPr>
          <w:rFonts w:ascii="Times New Roman" w:hAnsi="Times New Roman" w:cs="Times New Roman"/>
          <w:sz w:val="24"/>
          <w:szCs w:val="24"/>
        </w:rPr>
        <w:t>ios y aumento del costo de vida”</w:t>
      </w:r>
      <w:r w:rsidR="00ED16BD" w:rsidRPr="00DA18D1">
        <w:rPr>
          <w:rFonts w:ascii="Times New Roman" w:hAnsi="Times New Roman" w:cs="Times New Roman"/>
          <w:sz w:val="24"/>
          <w:szCs w:val="24"/>
        </w:rPr>
        <w:t>, continúa Dorsey.</w:t>
      </w:r>
    </w:p>
    <w:p w:rsidR="00ED16BD" w:rsidRPr="00DA18D1" w:rsidRDefault="00ED16BD" w:rsidP="00ED16BD">
      <w:pPr>
        <w:spacing w:line="240" w:lineRule="auto"/>
        <w:jc w:val="both"/>
        <w:rPr>
          <w:rFonts w:ascii="Times New Roman" w:hAnsi="Times New Roman" w:cs="Times New Roman"/>
          <w:sz w:val="24"/>
          <w:szCs w:val="24"/>
        </w:rPr>
      </w:pPr>
      <w:r w:rsidRPr="00DA18D1">
        <w:rPr>
          <w:rFonts w:ascii="Times New Roman" w:hAnsi="Times New Roman" w:cs="Times New Roman"/>
          <w:sz w:val="24"/>
          <w:szCs w:val="24"/>
        </w:rPr>
        <w:t xml:space="preserve">El discurso del experto está respaldado </w:t>
      </w:r>
      <w:r>
        <w:rPr>
          <w:rFonts w:ascii="Times New Roman" w:hAnsi="Times New Roman" w:cs="Times New Roman"/>
          <w:sz w:val="24"/>
          <w:szCs w:val="24"/>
        </w:rPr>
        <w:t>por algunos datos estadísticos.</w:t>
      </w:r>
    </w:p>
    <w:p w:rsidR="00ED16BD" w:rsidRPr="00DA18D1" w:rsidRDefault="00B973B6" w:rsidP="00ED16BD">
      <w:pPr>
        <w:spacing w:line="240" w:lineRule="auto"/>
        <w:jc w:val="both"/>
        <w:rPr>
          <w:rFonts w:ascii="Times New Roman" w:hAnsi="Times New Roman" w:cs="Times New Roman"/>
          <w:sz w:val="24"/>
          <w:szCs w:val="24"/>
        </w:rPr>
      </w:pPr>
      <w:r>
        <w:rPr>
          <w:rFonts w:ascii="Times New Roman" w:hAnsi="Times New Roman" w:cs="Times New Roman"/>
          <w:sz w:val="24"/>
          <w:szCs w:val="24"/>
        </w:rPr>
        <w:t>En EEUU</w:t>
      </w:r>
      <w:r w:rsidR="00ED16BD" w:rsidRPr="00DA18D1">
        <w:rPr>
          <w:rFonts w:ascii="Times New Roman" w:hAnsi="Times New Roman" w:cs="Times New Roman"/>
          <w:sz w:val="24"/>
          <w:szCs w:val="24"/>
        </w:rPr>
        <w:t xml:space="preserve"> un informe de junio de 2020 de The Washington Post nombró a la generación millennial c</w:t>
      </w:r>
      <w:r>
        <w:rPr>
          <w:rFonts w:ascii="Times New Roman" w:hAnsi="Times New Roman" w:cs="Times New Roman"/>
          <w:sz w:val="24"/>
          <w:szCs w:val="24"/>
        </w:rPr>
        <w:t>omo “</w:t>
      </w:r>
      <w:r w:rsidR="00ED16BD" w:rsidRPr="00DA18D1">
        <w:rPr>
          <w:rFonts w:ascii="Times New Roman" w:hAnsi="Times New Roman" w:cs="Times New Roman"/>
          <w:sz w:val="24"/>
          <w:szCs w:val="24"/>
        </w:rPr>
        <w:t>la más desafort</w:t>
      </w:r>
      <w:r>
        <w:rPr>
          <w:rFonts w:ascii="Times New Roman" w:hAnsi="Times New Roman" w:cs="Times New Roman"/>
          <w:sz w:val="24"/>
          <w:szCs w:val="24"/>
        </w:rPr>
        <w:t>unada en la historia de EEUU”.</w:t>
      </w:r>
    </w:p>
    <w:p w:rsidR="00ED16BD" w:rsidRPr="00DA18D1" w:rsidRDefault="00B973B6" w:rsidP="00ED16BD">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ED16BD" w:rsidRPr="00DA18D1">
        <w:rPr>
          <w:rFonts w:ascii="Times New Roman" w:hAnsi="Times New Roman" w:cs="Times New Roman"/>
          <w:sz w:val="24"/>
          <w:szCs w:val="24"/>
        </w:rPr>
        <w:t>Teniendo en cuenta la crisis actual (la pandemia de covid-19), los millennials, en promedio, han experimentado un crecimiento económico más lento desde que ingresaron al mercado laboral que cualquier otra generación en la histo</w:t>
      </w:r>
      <w:r>
        <w:rPr>
          <w:rFonts w:ascii="Times New Roman" w:hAnsi="Times New Roman" w:cs="Times New Roman"/>
          <w:sz w:val="24"/>
          <w:szCs w:val="24"/>
        </w:rPr>
        <w:t>ria del país”</w:t>
      </w:r>
      <w:r w:rsidR="00ED16BD">
        <w:rPr>
          <w:rFonts w:ascii="Times New Roman" w:hAnsi="Times New Roman" w:cs="Times New Roman"/>
          <w:sz w:val="24"/>
          <w:szCs w:val="24"/>
        </w:rPr>
        <w:t>, dice el informe.</w:t>
      </w:r>
    </w:p>
    <w:p w:rsidR="00ED16BD" w:rsidRPr="00DA18D1" w:rsidRDefault="00B973B6" w:rsidP="00ED16BD">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ED16BD" w:rsidRPr="00DA18D1">
        <w:rPr>
          <w:rFonts w:ascii="Times New Roman" w:hAnsi="Times New Roman" w:cs="Times New Roman"/>
          <w:sz w:val="24"/>
          <w:szCs w:val="24"/>
        </w:rPr>
        <w:t>Los millennials llevarán estas cicatrices económicas por el resto de sus vidas, en forma de ingresos más bajos, menor prosperidad e hitos de vida retrasados, como l</w:t>
      </w:r>
      <w:r>
        <w:rPr>
          <w:rFonts w:ascii="Times New Roman" w:hAnsi="Times New Roman" w:cs="Times New Roman"/>
          <w:sz w:val="24"/>
          <w:szCs w:val="24"/>
        </w:rPr>
        <w:t>a adquisición de una vivienda”</w:t>
      </w:r>
      <w:r w:rsidR="00ED16BD">
        <w:rPr>
          <w:rFonts w:ascii="Times New Roman" w:hAnsi="Times New Roman" w:cs="Times New Roman"/>
          <w:sz w:val="24"/>
          <w:szCs w:val="24"/>
        </w:rPr>
        <w:t>.</w:t>
      </w:r>
    </w:p>
    <w:p w:rsidR="00ED16BD" w:rsidRPr="00DA18D1" w:rsidRDefault="00ED16BD" w:rsidP="00ED16BD">
      <w:pPr>
        <w:spacing w:line="240" w:lineRule="auto"/>
        <w:jc w:val="both"/>
        <w:rPr>
          <w:rFonts w:ascii="Times New Roman" w:hAnsi="Times New Roman" w:cs="Times New Roman"/>
          <w:sz w:val="24"/>
          <w:szCs w:val="24"/>
        </w:rPr>
      </w:pPr>
      <w:r w:rsidRPr="00DA18D1">
        <w:rPr>
          <w:rFonts w:ascii="Times New Roman" w:hAnsi="Times New Roman" w:cs="Times New Roman"/>
          <w:sz w:val="24"/>
          <w:szCs w:val="24"/>
        </w:rPr>
        <w:t>Ahora en la pandemia, aunque la generación más afectada por la falta de trabajo es la más joven, las tasas de desempleo también s</w:t>
      </w:r>
      <w:r>
        <w:rPr>
          <w:rFonts w:ascii="Times New Roman" w:hAnsi="Times New Roman" w:cs="Times New Roman"/>
          <w:sz w:val="24"/>
          <w:szCs w:val="24"/>
        </w:rPr>
        <w:t>on altas entre los millennials.</w:t>
      </w:r>
      <w:r w:rsidRPr="00DA18D1">
        <w:rPr>
          <w:rFonts w:ascii="Times New Roman" w:hAnsi="Times New Roman" w:cs="Times New Roman"/>
          <w:sz w:val="24"/>
          <w:szCs w:val="24"/>
        </w:rPr>
        <w:t>Y este grupo de personas también coincide con un grupo de edad que ya había sido muy golpeado p</w:t>
      </w:r>
      <w:r>
        <w:rPr>
          <w:rFonts w:ascii="Times New Roman" w:hAnsi="Times New Roman" w:cs="Times New Roman"/>
          <w:sz w:val="24"/>
          <w:szCs w:val="24"/>
        </w:rPr>
        <w:t>or la crisis económica de 2015.</w:t>
      </w:r>
    </w:p>
    <w:p w:rsidR="00ED16BD" w:rsidRPr="00DA18D1" w:rsidRDefault="00ED16BD" w:rsidP="00ED16BD">
      <w:pPr>
        <w:spacing w:line="240" w:lineRule="auto"/>
        <w:jc w:val="both"/>
        <w:rPr>
          <w:rFonts w:ascii="Times New Roman" w:hAnsi="Times New Roman" w:cs="Times New Roman"/>
          <w:sz w:val="24"/>
          <w:szCs w:val="24"/>
        </w:rPr>
      </w:pPr>
      <w:r w:rsidRPr="00DA18D1">
        <w:rPr>
          <w:rFonts w:ascii="Times New Roman" w:hAnsi="Times New Roman" w:cs="Times New Roman"/>
          <w:sz w:val="24"/>
          <w:szCs w:val="24"/>
        </w:rPr>
        <w:t>Los hitos de cada generación</w:t>
      </w:r>
    </w:p>
    <w:p w:rsidR="00ED16BD" w:rsidRPr="00DA18D1" w:rsidRDefault="00ED16BD" w:rsidP="00ED16BD">
      <w:pPr>
        <w:spacing w:line="240" w:lineRule="auto"/>
        <w:jc w:val="both"/>
        <w:rPr>
          <w:rFonts w:ascii="Times New Roman" w:hAnsi="Times New Roman" w:cs="Times New Roman"/>
          <w:sz w:val="24"/>
          <w:szCs w:val="24"/>
        </w:rPr>
      </w:pPr>
      <w:r w:rsidRPr="00DA18D1">
        <w:rPr>
          <w:rFonts w:ascii="Times New Roman" w:hAnsi="Times New Roman" w:cs="Times New Roman"/>
          <w:sz w:val="24"/>
          <w:szCs w:val="24"/>
        </w:rPr>
        <w:t>Por supuesto, cada generación enfrenta desafíos</w:t>
      </w:r>
      <w:r w:rsidR="00B973B6">
        <w:rPr>
          <w:rFonts w:ascii="Times New Roman" w:hAnsi="Times New Roman" w:cs="Times New Roman"/>
          <w:sz w:val="24"/>
          <w:szCs w:val="24"/>
        </w:rPr>
        <w:t xml:space="preserve"> propios y lo que Dorsey llama “momentos decisivos”</w:t>
      </w:r>
      <w:r w:rsidRPr="00DA18D1">
        <w:rPr>
          <w:rFonts w:ascii="Times New Roman" w:hAnsi="Times New Roman" w:cs="Times New Roman"/>
          <w:sz w:val="24"/>
          <w:szCs w:val="24"/>
        </w:rPr>
        <w:t>: eventos que marcan a una generación de manera que influyen en sus miedos, opciones educativas y de vida, val</w:t>
      </w:r>
      <w:r>
        <w:rPr>
          <w:rFonts w:ascii="Times New Roman" w:hAnsi="Times New Roman" w:cs="Times New Roman"/>
          <w:sz w:val="24"/>
          <w:szCs w:val="24"/>
        </w:rPr>
        <w:t>ores y percepciones del futuro.</w:t>
      </w:r>
    </w:p>
    <w:p w:rsidR="00ED16BD" w:rsidRPr="00DA18D1" w:rsidRDefault="00B973B6" w:rsidP="00ED16BD">
      <w:pPr>
        <w:spacing w:line="240" w:lineRule="auto"/>
        <w:jc w:val="both"/>
        <w:rPr>
          <w:rFonts w:ascii="Times New Roman" w:hAnsi="Times New Roman" w:cs="Times New Roman"/>
          <w:sz w:val="24"/>
          <w:szCs w:val="24"/>
        </w:rPr>
      </w:pPr>
      <w:r>
        <w:rPr>
          <w:rFonts w:ascii="Times New Roman" w:hAnsi="Times New Roman" w:cs="Times New Roman"/>
          <w:sz w:val="24"/>
          <w:szCs w:val="24"/>
        </w:rPr>
        <w:t>La generación “silenciosa”</w:t>
      </w:r>
      <w:r w:rsidR="00ED16BD" w:rsidRPr="00DA18D1">
        <w:rPr>
          <w:rFonts w:ascii="Times New Roman" w:hAnsi="Times New Roman" w:cs="Times New Roman"/>
          <w:sz w:val="24"/>
          <w:szCs w:val="24"/>
        </w:rPr>
        <w:t xml:space="preserve"> (nacida entre 1928 y 1945), por ejemplo, estuvo profundamente marcada</w:t>
      </w:r>
      <w:r w:rsidR="00ED16BD">
        <w:rPr>
          <w:rFonts w:ascii="Times New Roman" w:hAnsi="Times New Roman" w:cs="Times New Roman"/>
          <w:sz w:val="24"/>
          <w:szCs w:val="24"/>
        </w:rPr>
        <w:t xml:space="preserve"> por la Segunda Guerra Mundial.</w:t>
      </w:r>
    </w:p>
    <w:p w:rsidR="00ED16BD" w:rsidRPr="00DA18D1" w:rsidRDefault="00ED16BD" w:rsidP="00ED16BD">
      <w:pPr>
        <w:spacing w:line="240" w:lineRule="auto"/>
        <w:jc w:val="both"/>
        <w:rPr>
          <w:rFonts w:ascii="Times New Roman" w:hAnsi="Times New Roman" w:cs="Times New Roman"/>
          <w:sz w:val="24"/>
          <w:szCs w:val="24"/>
        </w:rPr>
      </w:pPr>
      <w:r w:rsidRPr="00DA18D1">
        <w:rPr>
          <w:rFonts w:ascii="Times New Roman" w:hAnsi="Times New Roman" w:cs="Times New Roman"/>
          <w:sz w:val="24"/>
          <w:szCs w:val="24"/>
        </w:rPr>
        <w:t>Luego, los baby boomers (1946-64) vivieron eventos globales como la Guerra de Vietnam o l</w:t>
      </w:r>
      <w:r>
        <w:rPr>
          <w:rFonts w:ascii="Times New Roman" w:hAnsi="Times New Roman" w:cs="Times New Roman"/>
          <w:sz w:val="24"/>
          <w:szCs w:val="24"/>
        </w:rPr>
        <w:t>a llegada del hombre a la Luna.</w:t>
      </w:r>
    </w:p>
    <w:p w:rsidR="00ED16BD" w:rsidRPr="00DA18D1" w:rsidRDefault="00ED16BD" w:rsidP="00ED16BD">
      <w:pPr>
        <w:spacing w:line="240" w:lineRule="auto"/>
        <w:jc w:val="both"/>
        <w:rPr>
          <w:rFonts w:ascii="Times New Roman" w:hAnsi="Times New Roman" w:cs="Times New Roman"/>
          <w:sz w:val="24"/>
          <w:szCs w:val="24"/>
        </w:rPr>
      </w:pPr>
      <w:r w:rsidRPr="00DA18D1">
        <w:rPr>
          <w:rFonts w:ascii="Times New Roman" w:hAnsi="Times New Roman" w:cs="Times New Roman"/>
          <w:sz w:val="24"/>
          <w:szCs w:val="24"/>
        </w:rPr>
        <w:t>La generación X (1965-1980), que vino después, vio el final de la Gu</w:t>
      </w:r>
      <w:r>
        <w:rPr>
          <w:rFonts w:ascii="Times New Roman" w:hAnsi="Times New Roman" w:cs="Times New Roman"/>
          <w:sz w:val="24"/>
          <w:szCs w:val="24"/>
        </w:rPr>
        <w:t>erra Fría y el avance del sida.</w:t>
      </w:r>
    </w:p>
    <w:p w:rsidR="00ED16BD" w:rsidRPr="00DA18D1" w:rsidRDefault="00ED16BD" w:rsidP="00ED16BD">
      <w:pPr>
        <w:spacing w:line="240" w:lineRule="auto"/>
        <w:jc w:val="both"/>
        <w:rPr>
          <w:rFonts w:ascii="Times New Roman" w:hAnsi="Times New Roman" w:cs="Times New Roman"/>
          <w:sz w:val="24"/>
          <w:szCs w:val="24"/>
        </w:rPr>
      </w:pPr>
      <w:r w:rsidRPr="00DA18D1">
        <w:rPr>
          <w:rFonts w:ascii="Times New Roman" w:hAnsi="Times New Roman" w:cs="Times New Roman"/>
          <w:sz w:val="24"/>
          <w:szCs w:val="24"/>
        </w:rPr>
        <w:t>La actual generación Z (nacida entre mediados y finales de la década de 1990), a su vez, seguramente estará fuertemente influenciada por su experiencia en la pandemia act</w:t>
      </w:r>
      <w:r>
        <w:rPr>
          <w:rFonts w:ascii="Times New Roman" w:hAnsi="Times New Roman" w:cs="Times New Roman"/>
          <w:sz w:val="24"/>
          <w:szCs w:val="24"/>
        </w:rPr>
        <w:t>ual.</w:t>
      </w:r>
    </w:p>
    <w:p w:rsidR="00ED16BD" w:rsidRPr="00DA18D1" w:rsidRDefault="00ED16BD" w:rsidP="00ED16BD">
      <w:pPr>
        <w:spacing w:line="240" w:lineRule="auto"/>
        <w:jc w:val="both"/>
        <w:rPr>
          <w:rFonts w:ascii="Times New Roman" w:hAnsi="Times New Roman" w:cs="Times New Roman"/>
          <w:sz w:val="24"/>
          <w:szCs w:val="24"/>
        </w:rPr>
      </w:pPr>
      <w:r w:rsidRPr="00DA18D1">
        <w:rPr>
          <w:rFonts w:ascii="Times New Roman" w:hAnsi="Times New Roman" w:cs="Times New Roman"/>
          <w:sz w:val="24"/>
          <w:szCs w:val="24"/>
        </w:rPr>
        <w:lastRenderedPageBreak/>
        <w:t>Además, generaciones enteras pueden verse afectadas por eventos de magnitud local, como terremotos, epidemias o</w:t>
      </w:r>
      <w:r>
        <w:rPr>
          <w:rFonts w:ascii="Times New Roman" w:hAnsi="Times New Roman" w:cs="Times New Roman"/>
          <w:sz w:val="24"/>
          <w:szCs w:val="24"/>
        </w:rPr>
        <w:t xml:space="preserve"> eventos políticos traumáticos.</w:t>
      </w:r>
    </w:p>
    <w:p w:rsidR="00ED16BD" w:rsidRPr="00DA18D1" w:rsidRDefault="00ED16BD" w:rsidP="00ED16BD">
      <w:pPr>
        <w:spacing w:line="240" w:lineRule="auto"/>
        <w:jc w:val="both"/>
        <w:rPr>
          <w:rFonts w:ascii="Times New Roman" w:hAnsi="Times New Roman" w:cs="Times New Roman"/>
          <w:sz w:val="24"/>
          <w:szCs w:val="24"/>
        </w:rPr>
      </w:pPr>
      <w:r w:rsidRPr="00DA18D1">
        <w:rPr>
          <w:rFonts w:ascii="Times New Roman" w:hAnsi="Times New Roman" w:cs="Times New Roman"/>
          <w:sz w:val="24"/>
          <w:szCs w:val="24"/>
        </w:rPr>
        <w:t>Entonces, ¿qué distin</w:t>
      </w:r>
      <w:r>
        <w:rPr>
          <w:rFonts w:ascii="Times New Roman" w:hAnsi="Times New Roman" w:cs="Times New Roman"/>
          <w:sz w:val="24"/>
          <w:szCs w:val="24"/>
        </w:rPr>
        <w:t>gue a la generación millennial?</w:t>
      </w:r>
    </w:p>
    <w:p w:rsidR="00ED16BD" w:rsidRPr="00DA18D1" w:rsidRDefault="00ED16BD" w:rsidP="00ED16BD">
      <w:pPr>
        <w:spacing w:line="240" w:lineRule="auto"/>
        <w:jc w:val="both"/>
        <w:rPr>
          <w:rFonts w:ascii="Times New Roman" w:hAnsi="Times New Roman" w:cs="Times New Roman"/>
          <w:sz w:val="24"/>
          <w:szCs w:val="24"/>
        </w:rPr>
      </w:pPr>
      <w:r w:rsidRPr="00DA18D1">
        <w:rPr>
          <w:rFonts w:ascii="Times New Roman" w:hAnsi="Times New Roman" w:cs="Times New Roman"/>
          <w:sz w:val="24"/>
          <w:szCs w:val="24"/>
        </w:rPr>
        <w:t>Los puntos clave, dice Jason Dorsey, son el aumento considerable en el costo de vida (particularmente en la educación y, en muchas ciudades del mundo, la vivienda) y el alcance cada vez más global de eventos que podrían no haber tenido tanto impacto si no viv</w:t>
      </w:r>
      <w:r w:rsidR="00B973B6">
        <w:rPr>
          <w:rFonts w:ascii="Times New Roman" w:hAnsi="Times New Roman" w:cs="Times New Roman"/>
          <w:sz w:val="24"/>
          <w:szCs w:val="24"/>
        </w:rPr>
        <w:t>i</w:t>
      </w:r>
      <w:r w:rsidRPr="00DA18D1">
        <w:rPr>
          <w:rFonts w:ascii="Times New Roman" w:hAnsi="Times New Roman" w:cs="Times New Roman"/>
          <w:sz w:val="24"/>
          <w:szCs w:val="24"/>
        </w:rPr>
        <w:t xml:space="preserve">éramos </w:t>
      </w:r>
      <w:r>
        <w:rPr>
          <w:rFonts w:ascii="Times New Roman" w:hAnsi="Times New Roman" w:cs="Times New Roman"/>
          <w:sz w:val="24"/>
          <w:szCs w:val="24"/>
        </w:rPr>
        <w:t>en un mundo tan interconectado.</w:t>
      </w:r>
    </w:p>
    <w:p w:rsidR="00ED16BD" w:rsidRPr="00DA18D1" w:rsidRDefault="00B973B6" w:rsidP="00ED16BD">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ED16BD" w:rsidRPr="00DA18D1">
        <w:rPr>
          <w:rFonts w:ascii="Times New Roman" w:hAnsi="Times New Roman" w:cs="Times New Roman"/>
          <w:sz w:val="24"/>
          <w:szCs w:val="24"/>
        </w:rPr>
        <w:t>Hasta la llegada de GenZ, los millennials eran la generación más similar (entre sí) en el mundo. ¿Significa que las personas son iguales? No. Pero sí significa que tienen muchas similitudes en su forma de pensar sobre la comunicación, entretenimiento, cultur</w:t>
      </w:r>
      <w:r>
        <w:rPr>
          <w:rFonts w:ascii="Times New Roman" w:hAnsi="Times New Roman" w:cs="Times New Roman"/>
          <w:sz w:val="24"/>
          <w:szCs w:val="24"/>
        </w:rPr>
        <w:t>a, participación en la política”</w:t>
      </w:r>
      <w:r w:rsidR="00ED16BD" w:rsidRPr="00DA18D1">
        <w:rPr>
          <w:rFonts w:ascii="Times New Roman" w:hAnsi="Times New Roman" w:cs="Times New Roman"/>
          <w:sz w:val="24"/>
          <w:szCs w:val="24"/>
        </w:rPr>
        <w:t>, dice el especialista.</w:t>
      </w:r>
    </w:p>
    <w:p w:rsidR="00B973B6" w:rsidRDefault="00B973B6" w:rsidP="00ED16BD">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ED16BD" w:rsidRPr="00DA18D1">
        <w:rPr>
          <w:rFonts w:ascii="Times New Roman" w:hAnsi="Times New Roman" w:cs="Times New Roman"/>
          <w:sz w:val="24"/>
          <w:szCs w:val="24"/>
        </w:rPr>
        <w:t>Las economías están mucho más conectadas, al igual que los sistemas bancarios y las cadenas de suministro. Y, si nos fijamos en los empleos, muchos de los grandes empleadores son multinacionales. Así que la generación tiene una sensación de interconexión</w:t>
      </w:r>
      <w:r>
        <w:rPr>
          <w:rFonts w:ascii="Times New Roman" w:hAnsi="Times New Roman" w:cs="Times New Roman"/>
          <w:sz w:val="24"/>
          <w:szCs w:val="24"/>
        </w:rPr>
        <w:t xml:space="preserve"> que antes no existía”</w:t>
      </w:r>
      <w:r w:rsidR="00ED16BD">
        <w:rPr>
          <w:rFonts w:ascii="Times New Roman" w:hAnsi="Times New Roman" w:cs="Times New Roman"/>
          <w:sz w:val="24"/>
          <w:szCs w:val="24"/>
        </w:rPr>
        <w:t>, agrega.</w:t>
      </w:r>
    </w:p>
    <w:p w:rsidR="00ED16BD" w:rsidRPr="00DA18D1" w:rsidRDefault="00B973B6" w:rsidP="00ED16BD">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ED16BD" w:rsidRPr="00DA18D1">
        <w:rPr>
          <w:rFonts w:ascii="Times New Roman" w:hAnsi="Times New Roman" w:cs="Times New Roman"/>
          <w:sz w:val="24"/>
          <w:szCs w:val="24"/>
        </w:rPr>
        <w:t>Los millennials se han vuelto más conscientes de los eventos globales porque el flujo de información y la interconexión han significado que algún evento que no era necesariamente glob</w:t>
      </w:r>
      <w:r>
        <w:rPr>
          <w:rFonts w:ascii="Times New Roman" w:hAnsi="Times New Roman" w:cs="Times New Roman"/>
          <w:sz w:val="24"/>
          <w:szCs w:val="24"/>
        </w:rPr>
        <w:t>al terminó volviéndose global”</w:t>
      </w:r>
      <w:r w:rsidR="00ED16BD">
        <w:rPr>
          <w:rFonts w:ascii="Times New Roman" w:hAnsi="Times New Roman" w:cs="Times New Roman"/>
          <w:sz w:val="24"/>
          <w:szCs w:val="24"/>
        </w:rPr>
        <w:t>.</w:t>
      </w:r>
    </w:p>
    <w:p w:rsidR="00ED16BD" w:rsidRPr="00DA18D1" w:rsidRDefault="00B973B6" w:rsidP="00ED16BD">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ED16BD" w:rsidRPr="00DA18D1">
        <w:rPr>
          <w:rFonts w:ascii="Times New Roman" w:hAnsi="Times New Roman" w:cs="Times New Roman"/>
          <w:sz w:val="24"/>
          <w:szCs w:val="24"/>
        </w:rPr>
        <w:t>No me refiero a la categoría de eventos como las guerras mundiales, sino a la idea de que una crisis bancaria en un país tiene un efecto tan grande en otros y se extiende por todo el mundo. Eso es muy</w:t>
      </w:r>
      <w:r>
        <w:rPr>
          <w:rFonts w:ascii="Times New Roman" w:hAnsi="Times New Roman" w:cs="Times New Roman"/>
          <w:sz w:val="24"/>
          <w:szCs w:val="24"/>
        </w:rPr>
        <w:t xml:space="preserve"> significativo”</w:t>
      </w:r>
      <w:r w:rsidR="00ED16BD">
        <w:rPr>
          <w:rFonts w:ascii="Times New Roman" w:hAnsi="Times New Roman" w:cs="Times New Roman"/>
          <w:sz w:val="24"/>
          <w:szCs w:val="24"/>
        </w:rPr>
        <w:t>, indica Dorsey.</w:t>
      </w:r>
    </w:p>
    <w:p w:rsidR="00ED16BD" w:rsidRPr="00DA18D1" w:rsidRDefault="00B973B6" w:rsidP="00ED16BD">
      <w:pPr>
        <w:spacing w:line="240" w:lineRule="auto"/>
        <w:jc w:val="both"/>
        <w:rPr>
          <w:rFonts w:ascii="Times New Roman" w:hAnsi="Times New Roman" w:cs="Times New Roman"/>
          <w:sz w:val="24"/>
          <w:szCs w:val="24"/>
        </w:rPr>
      </w:pPr>
      <w:r>
        <w:rPr>
          <w:rFonts w:ascii="Times New Roman" w:hAnsi="Times New Roman" w:cs="Times New Roman"/>
          <w:sz w:val="24"/>
          <w:szCs w:val="24"/>
        </w:rPr>
        <w:t>“Economía compartida”</w:t>
      </w:r>
      <w:r w:rsidR="00ED16BD" w:rsidRPr="00DA18D1">
        <w:rPr>
          <w:rFonts w:ascii="Times New Roman" w:hAnsi="Times New Roman" w:cs="Times New Roman"/>
          <w:sz w:val="24"/>
          <w:szCs w:val="24"/>
        </w:rPr>
        <w:t xml:space="preserve"> e inseguridad laboral</w:t>
      </w:r>
    </w:p>
    <w:p w:rsidR="00ED16BD" w:rsidRPr="00DA18D1" w:rsidRDefault="00ED16BD" w:rsidP="00ED16BD">
      <w:pPr>
        <w:spacing w:line="240" w:lineRule="auto"/>
        <w:jc w:val="both"/>
        <w:rPr>
          <w:rFonts w:ascii="Times New Roman" w:hAnsi="Times New Roman" w:cs="Times New Roman"/>
          <w:sz w:val="24"/>
          <w:szCs w:val="24"/>
        </w:rPr>
      </w:pPr>
      <w:r w:rsidRPr="00DA18D1">
        <w:rPr>
          <w:rFonts w:ascii="Times New Roman" w:hAnsi="Times New Roman" w:cs="Times New Roman"/>
          <w:sz w:val="24"/>
          <w:szCs w:val="24"/>
        </w:rPr>
        <w:t>Para colmo, los millennials enfrentan una inseguridad laboral más acentuada que la que siente la gener</w:t>
      </w:r>
      <w:r>
        <w:rPr>
          <w:rFonts w:ascii="Times New Roman" w:hAnsi="Times New Roman" w:cs="Times New Roman"/>
          <w:sz w:val="24"/>
          <w:szCs w:val="24"/>
        </w:rPr>
        <w:t>ación de sus padres en general.</w:t>
      </w:r>
    </w:p>
    <w:p w:rsidR="00ED16BD" w:rsidRPr="00DA18D1" w:rsidRDefault="00ED16BD" w:rsidP="00ED16BD">
      <w:pPr>
        <w:spacing w:line="240" w:lineRule="auto"/>
        <w:jc w:val="both"/>
        <w:rPr>
          <w:rFonts w:ascii="Times New Roman" w:hAnsi="Times New Roman" w:cs="Times New Roman"/>
          <w:sz w:val="24"/>
          <w:szCs w:val="24"/>
        </w:rPr>
      </w:pPr>
      <w:r w:rsidRPr="00DA18D1">
        <w:rPr>
          <w:rFonts w:ascii="Times New Roman" w:hAnsi="Times New Roman" w:cs="Times New Roman"/>
          <w:sz w:val="24"/>
          <w:szCs w:val="24"/>
        </w:rPr>
        <w:t>Los ajustes fiscales, la flexibilización de las normas laborales, la competitividad en el mercado laboral y el avance de la economía compartida -con sus beneficios y problemas- son algunas de las circunstancias que hacen que los millennials tengan una vida profesional en ocasiones más flexible y abierta a la</w:t>
      </w:r>
      <w:r w:rsidR="00B973B6">
        <w:rPr>
          <w:rFonts w:ascii="Times New Roman" w:hAnsi="Times New Roman" w:cs="Times New Roman"/>
          <w:sz w:val="24"/>
          <w:szCs w:val="24"/>
        </w:rPr>
        <w:t xml:space="preserve"> creatividad; otras veces </w:t>
      </w:r>
      <w:r w:rsidRPr="00DA18D1">
        <w:rPr>
          <w:rFonts w:ascii="Times New Roman" w:hAnsi="Times New Roman" w:cs="Times New Roman"/>
          <w:sz w:val="24"/>
          <w:szCs w:val="24"/>
        </w:rPr>
        <w:t>más incierta y precaria.</w:t>
      </w:r>
    </w:p>
    <w:p w:rsidR="00ED16BD" w:rsidRPr="00DA18D1" w:rsidRDefault="00B973B6" w:rsidP="00ED16BD">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ED16BD" w:rsidRPr="00DA18D1">
        <w:rPr>
          <w:rFonts w:ascii="Times New Roman" w:hAnsi="Times New Roman" w:cs="Times New Roman"/>
          <w:sz w:val="24"/>
          <w:szCs w:val="24"/>
        </w:rPr>
        <w:t>Los millennials se han convertido en adultos con un tipo de contrato empleado-empleador muy diferente al de la genera</w:t>
      </w:r>
      <w:r>
        <w:rPr>
          <w:rFonts w:ascii="Times New Roman" w:hAnsi="Times New Roman" w:cs="Times New Roman"/>
          <w:sz w:val="24"/>
          <w:szCs w:val="24"/>
        </w:rPr>
        <w:t>ción anterior”</w:t>
      </w:r>
      <w:r w:rsidR="00ED16BD">
        <w:rPr>
          <w:rFonts w:ascii="Times New Roman" w:hAnsi="Times New Roman" w:cs="Times New Roman"/>
          <w:sz w:val="24"/>
          <w:szCs w:val="24"/>
        </w:rPr>
        <w:t>, explica Dorsey.</w:t>
      </w:r>
    </w:p>
    <w:p w:rsidR="00ED16BD" w:rsidRPr="00DA18D1" w:rsidRDefault="00B973B6" w:rsidP="00ED16BD">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ED16BD" w:rsidRPr="00DA18D1">
        <w:rPr>
          <w:rFonts w:ascii="Times New Roman" w:hAnsi="Times New Roman" w:cs="Times New Roman"/>
          <w:sz w:val="24"/>
          <w:szCs w:val="24"/>
        </w:rPr>
        <w:t>Nuestras encuestas muestran que no esperaban trabajar en una sola empresa durante toda su vida, o tener el mismo empleador por el resto de sus vidas. (...) Así que hay una sensación de entusia</w:t>
      </w:r>
      <w:r>
        <w:rPr>
          <w:rFonts w:ascii="Times New Roman" w:hAnsi="Times New Roman" w:cs="Times New Roman"/>
          <w:sz w:val="24"/>
          <w:szCs w:val="24"/>
        </w:rPr>
        <w:t>smo y libertad, la idea de que “puedo crear mi propia carrera”</w:t>
      </w:r>
      <w:r w:rsidR="00ED16BD" w:rsidRPr="00DA18D1">
        <w:rPr>
          <w:rFonts w:ascii="Times New Roman" w:hAnsi="Times New Roman" w:cs="Times New Roman"/>
          <w:sz w:val="24"/>
          <w:szCs w:val="24"/>
        </w:rPr>
        <w:t>, pero al mismo tiempo existe la desventaja: los empleadores pueden no ofrecer los mismos beneficios que antes en s</w:t>
      </w:r>
      <w:r>
        <w:rPr>
          <w:rFonts w:ascii="Times New Roman" w:hAnsi="Times New Roman" w:cs="Times New Roman"/>
          <w:sz w:val="24"/>
          <w:szCs w:val="24"/>
        </w:rPr>
        <w:t>eguros, seguros de salud, etc.”.</w:t>
      </w:r>
    </w:p>
    <w:p w:rsidR="00ED16BD" w:rsidRPr="00DA18D1" w:rsidRDefault="00B973B6" w:rsidP="00ED16BD">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ED16BD" w:rsidRPr="00DA18D1">
        <w:rPr>
          <w:rFonts w:ascii="Times New Roman" w:hAnsi="Times New Roman" w:cs="Times New Roman"/>
          <w:sz w:val="24"/>
          <w:szCs w:val="24"/>
        </w:rPr>
        <w:t>La responsabilidad de esto termina pasando del empleador al millennial. En algunos casos esto funci</w:t>
      </w:r>
      <w:r w:rsidR="00ED16BD">
        <w:rPr>
          <w:rFonts w:ascii="Times New Roman" w:hAnsi="Times New Roman" w:cs="Times New Roman"/>
          <w:sz w:val="24"/>
          <w:szCs w:val="24"/>
        </w:rPr>
        <w:t>ona bien, en otros, n</w:t>
      </w:r>
      <w:r>
        <w:rPr>
          <w:rFonts w:ascii="Times New Roman" w:hAnsi="Times New Roman" w:cs="Times New Roman"/>
          <w:sz w:val="24"/>
          <w:szCs w:val="24"/>
        </w:rPr>
        <w:t>o”</w:t>
      </w:r>
      <w:r w:rsidR="00ED16BD">
        <w:rPr>
          <w:rFonts w:ascii="Times New Roman" w:hAnsi="Times New Roman" w:cs="Times New Roman"/>
          <w:sz w:val="24"/>
          <w:szCs w:val="24"/>
        </w:rPr>
        <w:t>, dice.</w:t>
      </w:r>
    </w:p>
    <w:p w:rsidR="00ED16BD" w:rsidRPr="00DA18D1" w:rsidRDefault="00B973B6" w:rsidP="00ED16BD">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ED16BD" w:rsidRPr="00DA18D1">
        <w:rPr>
          <w:rFonts w:ascii="Times New Roman" w:hAnsi="Times New Roman" w:cs="Times New Roman"/>
          <w:sz w:val="24"/>
          <w:szCs w:val="24"/>
        </w:rPr>
        <w:t>Lo mismo ocurre con la economí</w:t>
      </w:r>
      <w:r>
        <w:rPr>
          <w:rFonts w:ascii="Times New Roman" w:hAnsi="Times New Roman" w:cs="Times New Roman"/>
          <w:sz w:val="24"/>
          <w:szCs w:val="24"/>
        </w:rPr>
        <w:t>a colaborativa. La idea de que “</w:t>
      </w:r>
      <w:r w:rsidR="00ED16BD" w:rsidRPr="00DA18D1">
        <w:rPr>
          <w:rFonts w:ascii="Times New Roman" w:hAnsi="Times New Roman" w:cs="Times New Roman"/>
          <w:sz w:val="24"/>
          <w:szCs w:val="24"/>
        </w:rPr>
        <w:t>puedo usar mi automóvil cua</w:t>
      </w:r>
      <w:r>
        <w:rPr>
          <w:rFonts w:ascii="Times New Roman" w:hAnsi="Times New Roman" w:cs="Times New Roman"/>
          <w:sz w:val="24"/>
          <w:szCs w:val="24"/>
        </w:rPr>
        <w:t>ndo quiera transportar personas”</w:t>
      </w:r>
      <w:r w:rsidR="00ED16BD" w:rsidRPr="00DA18D1">
        <w:rPr>
          <w:rFonts w:ascii="Times New Roman" w:hAnsi="Times New Roman" w:cs="Times New Roman"/>
          <w:sz w:val="24"/>
          <w:szCs w:val="24"/>
        </w:rPr>
        <w:t xml:space="preserve"> me da una gran flexibilidad, pero ¿este trabajo no me impedirá tener un trabajo más formal? ¿terminará esto elimin</w:t>
      </w:r>
      <w:r w:rsidR="00ED16BD">
        <w:rPr>
          <w:rFonts w:ascii="Times New Roman" w:hAnsi="Times New Roman" w:cs="Times New Roman"/>
          <w:sz w:val="24"/>
          <w:szCs w:val="24"/>
        </w:rPr>
        <w:t>ando los</w:t>
      </w:r>
      <w:r>
        <w:rPr>
          <w:rFonts w:ascii="Times New Roman" w:hAnsi="Times New Roman" w:cs="Times New Roman"/>
          <w:sz w:val="24"/>
          <w:szCs w:val="24"/>
        </w:rPr>
        <w:t xml:space="preserve"> empleos más formales?”</w:t>
      </w:r>
    </w:p>
    <w:p w:rsidR="00ED16BD" w:rsidRPr="00DA18D1" w:rsidRDefault="00B973B6" w:rsidP="00ED16BD">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w:t>
      </w:r>
      <w:r w:rsidR="00ED16BD" w:rsidRPr="00DA18D1">
        <w:rPr>
          <w:rFonts w:ascii="Times New Roman" w:hAnsi="Times New Roman" w:cs="Times New Roman"/>
          <w:sz w:val="24"/>
          <w:szCs w:val="24"/>
        </w:rPr>
        <w:t>No tengo respuestas, pero son innovaciones que tienen lados positivos y negativos, y los negativos impactan desproporcionadamente a una generación más que a ot</w:t>
      </w:r>
      <w:r>
        <w:rPr>
          <w:rFonts w:ascii="Times New Roman" w:hAnsi="Times New Roman" w:cs="Times New Roman"/>
          <w:sz w:val="24"/>
          <w:szCs w:val="24"/>
        </w:rPr>
        <w:t>ra”</w:t>
      </w:r>
      <w:r w:rsidR="00ED16BD">
        <w:rPr>
          <w:rFonts w:ascii="Times New Roman" w:hAnsi="Times New Roman" w:cs="Times New Roman"/>
          <w:sz w:val="24"/>
          <w:szCs w:val="24"/>
        </w:rPr>
        <w:t>, expresa Dorsey.</w:t>
      </w:r>
    </w:p>
    <w:p w:rsidR="00ED16BD" w:rsidRPr="00DA18D1" w:rsidRDefault="00ED16BD" w:rsidP="00ED16BD">
      <w:pPr>
        <w:spacing w:line="240" w:lineRule="auto"/>
        <w:jc w:val="both"/>
        <w:rPr>
          <w:rFonts w:ascii="Times New Roman" w:hAnsi="Times New Roman" w:cs="Times New Roman"/>
          <w:sz w:val="24"/>
          <w:szCs w:val="24"/>
        </w:rPr>
      </w:pPr>
      <w:r w:rsidRPr="00DA18D1">
        <w:rPr>
          <w:rFonts w:ascii="Times New Roman" w:hAnsi="Times New Roman" w:cs="Times New Roman"/>
          <w:sz w:val="24"/>
          <w:szCs w:val="24"/>
        </w:rPr>
        <w:t>Esto también se refleja en fenómenos como el de las</w:t>
      </w:r>
      <w:r w:rsidR="00B973B6">
        <w:rPr>
          <w:rFonts w:ascii="Times New Roman" w:hAnsi="Times New Roman" w:cs="Times New Roman"/>
          <w:sz w:val="24"/>
          <w:szCs w:val="24"/>
        </w:rPr>
        <w:t xml:space="preserve"> “personas físicas”</w:t>
      </w:r>
      <w:r w:rsidRPr="00DA18D1">
        <w:rPr>
          <w:rFonts w:ascii="Times New Roman" w:hAnsi="Times New Roman" w:cs="Times New Roman"/>
          <w:sz w:val="24"/>
          <w:szCs w:val="24"/>
        </w:rPr>
        <w:t>, y la in</w:t>
      </w:r>
      <w:r>
        <w:rPr>
          <w:rFonts w:ascii="Times New Roman" w:hAnsi="Times New Roman" w:cs="Times New Roman"/>
          <w:sz w:val="24"/>
          <w:szCs w:val="24"/>
        </w:rPr>
        <w:t>formalidad de los trabajadores.</w:t>
      </w:r>
    </w:p>
    <w:p w:rsidR="00ED16BD" w:rsidRPr="00DA18D1" w:rsidRDefault="00ED16BD" w:rsidP="00ED16BD">
      <w:pPr>
        <w:spacing w:line="240" w:lineRule="auto"/>
        <w:jc w:val="both"/>
        <w:rPr>
          <w:rFonts w:ascii="Times New Roman" w:hAnsi="Times New Roman" w:cs="Times New Roman"/>
          <w:sz w:val="24"/>
          <w:szCs w:val="24"/>
        </w:rPr>
      </w:pPr>
      <w:r w:rsidRPr="00DA18D1">
        <w:rPr>
          <w:rFonts w:ascii="Times New Roman" w:hAnsi="Times New Roman" w:cs="Times New Roman"/>
          <w:sz w:val="24"/>
          <w:szCs w:val="24"/>
        </w:rPr>
        <w:t>Son los reveses en este conjunto de circunstancias los que hacen que los millennials se sientan frustrados, dice Jason Dor</w:t>
      </w:r>
      <w:r>
        <w:rPr>
          <w:rFonts w:ascii="Times New Roman" w:hAnsi="Times New Roman" w:cs="Times New Roman"/>
          <w:sz w:val="24"/>
          <w:szCs w:val="24"/>
        </w:rPr>
        <w:t>sey.</w:t>
      </w:r>
    </w:p>
    <w:p w:rsidR="00ED16BD" w:rsidRPr="00DA18D1" w:rsidRDefault="00B973B6" w:rsidP="00ED16BD">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ED16BD" w:rsidRPr="00DA18D1">
        <w:rPr>
          <w:rFonts w:ascii="Times New Roman" w:hAnsi="Times New Roman" w:cs="Times New Roman"/>
          <w:sz w:val="24"/>
          <w:szCs w:val="24"/>
        </w:rPr>
        <w:t>Se enfrentaron con estos desafíos que los obligaban a posponer muchas cosas (logros): retrasar su carrera, su matrimonio, tener hijos, comprarse una casa, ahorrar para la jubilación… Comenzaron a sentir que muchas metas u objetivos que se habían marcado</w:t>
      </w:r>
      <w:r>
        <w:rPr>
          <w:rFonts w:ascii="Times New Roman" w:hAnsi="Times New Roman" w:cs="Times New Roman"/>
          <w:sz w:val="24"/>
          <w:szCs w:val="24"/>
        </w:rPr>
        <w:t xml:space="preserve"> ellos mismos fueron reprimidos”</w:t>
      </w:r>
      <w:r w:rsidR="00ED16BD" w:rsidRPr="00DA18D1">
        <w:rPr>
          <w:rFonts w:ascii="Times New Roman" w:hAnsi="Times New Roman" w:cs="Times New Roman"/>
          <w:sz w:val="24"/>
          <w:szCs w:val="24"/>
        </w:rPr>
        <w:t>.</w:t>
      </w:r>
    </w:p>
    <w:p w:rsidR="00ED16BD" w:rsidRDefault="00B973B6" w:rsidP="00ED16BD">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ED16BD" w:rsidRPr="00DA18D1">
        <w:rPr>
          <w:rFonts w:ascii="Times New Roman" w:hAnsi="Times New Roman" w:cs="Times New Roman"/>
          <w:sz w:val="24"/>
          <w:szCs w:val="24"/>
        </w:rPr>
        <w:t xml:space="preserve">E incluso los más afortunados que seguían trabajando y avanzando tenían la sensación de que había muchas fuerzas </w:t>
      </w:r>
      <w:r>
        <w:rPr>
          <w:rFonts w:ascii="Times New Roman" w:hAnsi="Times New Roman" w:cs="Times New Roman"/>
          <w:sz w:val="24"/>
          <w:szCs w:val="24"/>
        </w:rPr>
        <w:t>en su contra”</w:t>
      </w:r>
      <w:r w:rsidR="00ED16BD">
        <w:rPr>
          <w:rFonts w:ascii="Times New Roman" w:hAnsi="Times New Roman" w:cs="Times New Roman"/>
          <w:sz w:val="24"/>
          <w:szCs w:val="24"/>
        </w:rPr>
        <w:t>, prosigue Dorsey.</w:t>
      </w:r>
      <w:r>
        <w:rPr>
          <w:rFonts w:ascii="Times New Roman" w:hAnsi="Times New Roman" w:cs="Times New Roman"/>
          <w:sz w:val="24"/>
          <w:szCs w:val="24"/>
        </w:rPr>
        <w:t>“</w:t>
      </w:r>
      <w:r w:rsidR="00ED16BD" w:rsidRPr="00DA18D1">
        <w:rPr>
          <w:rFonts w:ascii="Times New Roman" w:hAnsi="Times New Roman" w:cs="Times New Roman"/>
          <w:sz w:val="24"/>
          <w:szCs w:val="24"/>
        </w:rPr>
        <w:t>Se puede argumentar que esta generación, debido a elementos fuera de su control, siente que las cosas están más lejos de su alcance que en generac</w:t>
      </w:r>
      <w:r>
        <w:rPr>
          <w:rFonts w:ascii="Times New Roman" w:hAnsi="Times New Roman" w:cs="Times New Roman"/>
          <w:sz w:val="24"/>
          <w:szCs w:val="24"/>
        </w:rPr>
        <w:t>iones anteriores”</w:t>
      </w:r>
      <w:r w:rsidR="007151C3">
        <w:rPr>
          <w:rFonts w:ascii="Times New Roman" w:hAnsi="Times New Roman" w:cs="Times New Roman"/>
          <w:sz w:val="24"/>
          <w:szCs w:val="24"/>
        </w:rPr>
        <w:t>, concluye.</w:t>
      </w:r>
    </w:p>
    <w:p w:rsidR="00F24821" w:rsidRDefault="00F24821" w:rsidP="00F24821">
      <w:pPr>
        <w:spacing w:line="240" w:lineRule="auto"/>
        <w:jc w:val="both"/>
        <w:rPr>
          <w:rFonts w:ascii="Times New Roman" w:hAnsi="Times New Roman" w:cs="Times New Roman"/>
          <w:b/>
          <w:sz w:val="24"/>
          <w:szCs w:val="24"/>
        </w:rPr>
      </w:pPr>
      <w:r w:rsidRPr="00F047C4">
        <w:rPr>
          <w:rFonts w:ascii="Times New Roman" w:hAnsi="Times New Roman" w:cs="Times New Roman"/>
          <w:b/>
          <w:sz w:val="24"/>
          <w:szCs w:val="24"/>
        </w:rPr>
        <w:t>Operación fracaso: el drama de los millennials</w:t>
      </w:r>
      <w:r w:rsidR="000C762E">
        <w:rPr>
          <w:rFonts w:ascii="Times New Roman" w:hAnsi="Times New Roman" w:cs="Times New Roman"/>
          <w:b/>
          <w:sz w:val="24"/>
          <w:szCs w:val="24"/>
        </w:rPr>
        <w:t xml:space="preserve"> (no entender la diferencia entre</w:t>
      </w:r>
      <w:r w:rsidR="00224DE5">
        <w:rPr>
          <w:rFonts w:ascii="Times New Roman" w:hAnsi="Times New Roman" w:cs="Times New Roman"/>
          <w:b/>
          <w:sz w:val="24"/>
          <w:szCs w:val="24"/>
        </w:rPr>
        <w:t xml:space="preserve"> ser</w:t>
      </w:r>
      <w:r w:rsidR="000C762E">
        <w:rPr>
          <w:rFonts w:ascii="Times New Roman" w:hAnsi="Times New Roman" w:cs="Times New Roman"/>
          <w:b/>
          <w:sz w:val="24"/>
          <w:szCs w:val="24"/>
        </w:rPr>
        <w:t>espectador</w:t>
      </w:r>
      <w:r w:rsidR="00224DE5">
        <w:rPr>
          <w:rFonts w:ascii="Times New Roman" w:hAnsi="Times New Roman" w:cs="Times New Roman"/>
          <w:b/>
          <w:sz w:val="24"/>
          <w:szCs w:val="24"/>
        </w:rPr>
        <w:t>, o</w:t>
      </w:r>
      <w:r w:rsidR="000C762E">
        <w:rPr>
          <w:rFonts w:ascii="Times New Roman" w:hAnsi="Times New Roman" w:cs="Times New Roman"/>
          <w:b/>
          <w:sz w:val="24"/>
          <w:szCs w:val="24"/>
        </w:rPr>
        <w:t xml:space="preserve"> protagonista</w:t>
      </w:r>
      <w:r w:rsidR="00224DE5">
        <w:rPr>
          <w:rFonts w:ascii="Times New Roman" w:hAnsi="Times New Roman" w:cs="Times New Roman"/>
          <w:b/>
          <w:sz w:val="24"/>
          <w:szCs w:val="24"/>
        </w:rPr>
        <w:t>, de su futuro</w:t>
      </w:r>
      <w:r w:rsidR="000C762E">
        <w:rPr>
          <w:rFonts w:ascii="Times New Roman" w:hAnsi="Times New Roman" w:cs="Times New Roman"/>
          <w:b/>
          <w:sz w:val="24"/>
          <w:szCs w:val="24"/>
        </w:rPr>
        <w:t>)</w:t>
      </w:r>
    </w:p>
    <w:p w:rsidR="009B77FA" w:rsidRPr="00D56083" w:rsidRDefault="00D25651" w:rsidP="00D56083">
      <w:pPr>
        <w:spacing w:line="240" w:lineRule="auto"/>
        <w:jc w:val="both"/>
        <w:rPr>
          <w:rFonts w:ascii="Times New Roman" w:hAnsi="Times New Roman" w:cs="Times New Roman"/>
          <w:sz w:val="24"/>
          <w:szCs w:val="24"/>
        </w:rPr>
      </w:pPr>
      <w:r w:rsidRPr="00D56083">
        <w:rPr>
          <w:rFonts w:ascii="Times New Roman" w:hAnsi="Times New Roman" w:cs="Times New Roman"/>
          <w:sz w:val="24"/>
          <w:szCs w:val="24"/>
        </w:rPr>
        <w:t>Demasiada</w:t>
      </w:r>
      <w:r w:rsidR="00A54B52">
        <w:rPr>
          <w:rFonts w:ascii="Times New Roman" w:hAnsi="Times New Roman" w:cs="Times New Roman"/>
          <w:sz w:val="24"/>
          <w:szCs w:val="24"/>
        </w:rPr>
        <w:t xml:space="preserve"> adicción a las nuevas tecnologías,</w:t>
      </w:r>
      <w:r w:rsidR="00224DE5" w:rsidRPr="00D56083">
        <w:rPr>
          <w:rFonts w:ascii="Times New Roman" w:hAnsi="Times New Roman" w:cs="Times New Roman"/>
          <w:sz w:val="24"/>
          <w:szCs w:val="24"/>
        </w:rPr>
        <w:t>smartli</w:t>
      </w:r>
      <w:r w:rsidRPr="00D56083">
        <w:rPr>
          <w:rFonts w:ascii="Times New Roman" w:hAnsi="Times New Roman" w:cs="Times New Roman"/>
          <w:sz w:val="24"/>
          <w:szCs w:val="24"/>
        </w:rPr>
        <w:t>fe</w:t>
      </w:r>
      <w:r w:rsidR="00224DE5" w:rsidRPr="00D56083">
        <w:rPr>
          <w:rFonts w:ascii="Times New Roman" w:hAnsi="Times New Roman" w:cs="Times New Roman"/>
          <w:sz w:val="24"/>
          <w:szCs w:val="24"/>
        </w:rPr>
        <w:t xml:space="preserve">, realidad virtual, </w:t>
      </w:r>
      <w:r w:rsidR="006E3C79" w:rsidRPr="00D56083">
        <w:rPr>
          <w:rFonts w:ascii="Times New Roman" w:hAnsi="Times New Roman" w:cs="Times New Roman"/>
          <w:sz w:val="24"/>
          <w:szCs w:val="24"/>
        </w:rPr>
        <w:t>metaverso,</w:t>
      </w:r>
      <w:r w:rsidR="00224DE5" w:rsidRPr="00D56083">
        <w:rPr>
          <w:rFonts w:ascii="Times New Roman" w:hAnsi="Times New Roman" w:cs="Times New Roman"/>
          <w:sz w:val="24"/>
          <w:szCs w:val="24"/>
        </w:rPr>
        <w:t xml:space="preserve"> apps, gadgets, influencers,</w:t>
      </w:r>
      <w:r w:rsidR="00D56083" w:rsidRPr="00D56083">
        <w:rPr>
          <w:rFonts w:ascii="Times New Roman" w:hAnsi="Times New Roman" w:cs="Times New Roman"/>
          <w:sz w:val="24"/>
          <w:szCs w:val="24"/>
        </w:rPr>
        <w:t xml:space="preserve"> Twitter, Facebook, Instagram, TikTok</w:t>
      </w:r>
      <w:r w:rsidR="00224DE5">
        <w:rPr>
          <w:rFonts w:ascii="Times New Roman" w:hAnsi="Times New Roman" w:cs="Times New Roman"/>
          <w:sz w:val="24"/>
          <w:szCs w:val="24"/>
        </w:rPr>
        <w:t>…</w:t>
      </w:r>
      <w:r w:rsidR="00463CC3">
        <w:rPr>
          <w:rFonts w:ascii="Times New Roman" w:hAnsi="Times New Roman" w:cs="Times New Roman"/>
          <w:sz w:val="24"/>
          <w:szCs w:val="24"/>
        </w:rPr>
        <w:t xml:space="preserve"> D</w:t>
      </w:r>
      <w:r w:rsidR="005E6FDF">
        <w:rPr>
          <w:rFonts w:ascii="Times New Roman" w:hAnsi="Times New Roman" w:cs="Times New Roman"/>
          <w:sz w:val="24"/>
          <w:szCs w:val="24"/>
        </w:rPr>
        <w:t>emasi</w:t>
      </w:r>
      <w:r>
        <w:rPr>
          <w:rFonts w:ascii="Times New Roman" w:hAnsi="Times New Roman" w:cs="Times New Roman"/>
          <w:sz w:val="24"/>
          <w:szCs w:val="24"/>
        </w:rPr>
        <w:t>ado</w:t>
      </w:r>
      <w:r w:rsidR="00224DE5">
        <w:rPr>
          <w:rFonts w:ascii="Times New Roman" w:hAnsi="Times New Roman" w:cs="Times New Roman"/>
          <w:sz w:val="24"/>
          <w:szCs w:val="24"/>
        </w:rPr>
        <w:t xml:space="preserve">relativismo, </w:t>
      </w:r>
      <w:r w:rsidR="005E6FDF">
        <w:rPr>
          <w:rFonts w:ascii="Times New Roman" w:hAnsi="Times New Roman" w:cs="Times New Roman"/>
          <w:sz w:val="24"/>
          <w:szCs w:val="24"/>
        </w:rPr>
        <w:t xml:space="preserve">Me Too, </w:t>
      </w:r>
      <w:r w:rsidR="005E6FDF" w:rsidRPr="005E6FDF">
        <w:rPr>
          <w:rFonts w:ascii="Times New Roman" w:hAnsi="Times New Roman" w:cs="Times New Roman"/>
          <w:sz w:val="24"/>
          <w:szCs w:val="24"/>
        </w:rPr>
        <w:t>Black Lives Matter</w:t>
      </w:r>
      <w:r w:rsidR="005E6FDF">
        <w:rPr>
          <w:rFonts w:ascii="Times New Roman" w:hAnsi="Times New Roman" w:cs="Times New Roman"/>
          <w:sz w:val="24"/>
          <w:szCs w:val="24"/>
        </w:rPr>
        <w:t>, feminismo, ecologismo,</w:t>
      </w:r>
      <w:r>
        <w:rPr>
          <w:rFonts w:ascii="Times New Roman" w:hAnsi="Times New Roman" w:cs="Times New Roman"/>
          <w:sz w:val="24"/>
          <w:szCs w:val="24"/>
        </w:rPr>
        <w:t xml:space="preserve"> animalismo, igualitarismo,</w:t>
      </w:r>
      <w:r w:rsidR="005E6FDF">
        <w:rPr>
          <w:rFonts w:ascii="Times New Roman" w:hAnsi="Times New Roman" w:cs="Times New Roman"/>
          <w:sz w:val="24"/>
          <w:szCs w:val="24"/>
        </w:rPr>
        <w:t xml:space="preserve"> pensamiento woke,</w:t>
      </w:r>
      <w:r>
        <w:rPr>
          <w:rFonts w:ascii="Times New Roman" w:hAnsi="Times New Roman" w:cs="Times New Roman"/>
          <w:sz w:val="24"/>
          <w:szCs w:val="24"/>
        </w:rPr>
        <w:t xml:space="preserve"> factoría de ficciones, desfile de </w:t>
      </w:r>
      <w:r w:rsidR="00F17F90">
        <w:rPr>
          <w:rFonts w:ascii="Times New Roman" w:hAnsi="Times New Roman" w:cs="Times New Roman"/>
          <w:sz w:val="24"/>
          <w:szCs w:val="24"/>
        </w:rPr>
        <w:t xml:space="preserve">marionetas, </w:t>
      </w:r>
      <w:r>
        <w:rPr>
          <w:rFonts w:ascii="Times New Roman" w:hAnsi="Times New Roman" w:cs="Times New Roman"/>
          <w:sz w:val="24"/>
          <w:szCs w:val="24"/>
        </w:rPr>
        <w:t>cabalgata de zombis, comparsa de gandules, comitiva infinita de inútiles del progreso…</w:t>
      </w:r>
      <w:r w:rsidR="00463CC3">
        <w:rPr>
          <w:rFonts w:ascii="Times New Roman" w:hAnsi="Times New Roman" w:cs="Times New Roman"/>
          <w:sz w:val="24"/>
          <w:szCs w:val="24"/>
        </w:rPr>
        <w:t xml:space="preserve"> D</w:t>
      </w:r>
      <w:r>
        <w:rPr>
          <w:rFonts w:ascii="Times New Roman" w:hAnsi="Times New Roman" w:cs="Times New Roman"/>
          <w:sz w:val="24"/>
          <w:szCs w:val="24"/>
        </w:rPr>
        <w:t>emasiada cobardía, sumisión, anomia, conformismo, pasividad, frivolidad, hedonismo,</w:t>
      </w:r>
      <w:r w:rsidR="00823FC8">
        <w:rPr>
          <w:rFonts w:ascii="Times New Roman" w:hAnsi="Times New Roman" w:cs="Times New Roman"/>
          <w:sz w:val="24"/>
          <w:szCs w:val="24"/>
        </w:rPr>
        <w:t xml:space="preserve"> comodidad,</w:t>
      </w:r>
      <w:r>
        <w:rPr>
          <w:rFonts w:ascii="Times New Roman" w:hAnsi="Times New Roman" w:cs="Times New Roman"/>
          <w:sz w:val="24"/>
          <w:szCs w:val="24"/>
        </w:rPr>
        <w:t xml:space="preserve"> mediocridad</w:t>
      </w:r>
      <w:r w:rsidR="00823FC8">
        <w:rPr>
          <w:rFonts w:ascii="Times New Roman" w:hAnsi="Times New Roman" w:cs="Times New Roman"/>
          <w:sz w:val="24"/>
          <w:szCs w:val="24"/>
        </w:rPr>
        <w:t>, incompetencia</w:t>
      </w:r>
      <w:r>
        <w:rPr>
          <w:rFonts w:ascii="Times New Roman" w:hAnsi="Times New Roman" w:cs="Times New Roman"/>
          <w:sz w:val="24"/>
          <w:szCs w:val="24"/>
        </w:rPr>
        <w:t xml:space="preserve">… </w:t>
      </w:r>
      <w:r w:rsidR="00D56083">
        <w:rPr>
          <w:rFonts w:ascii="Times New Roman" w:hAnsi="Times New Roman" w:cs="Times New Roman"/>
          <w:sz w:val="24"/>
          <w:szCs w:val="24"/>
        </w:rPr>
        <w:t>han transformado a los jóvenes en</w:t>
      </w:r>
      <w:r w:rsidR="00E2308B">
        <w:rPr>
          <w:rFonts w:ascii="Times New Roman" w:hAnsi="Times New Roman" w:cs="Times New Roman"/>
          <w:sz w:val="24"/>
          <w:szCs w:val="24"/>
        </w:rPr>
        <w:t xml:space="preserve"> meros espectadores de la vida (unos consumistas banales).</w:t>
      </w:r>
    </w:p>
    <w:p w:rsidR="00EE4557" w:rsidRDefault="00823FC8" w:rsidP="00F24821">
      <w:pPr>
        <w:spacing w:line="240" w:lineRule="auto"/>
        <w:jc w:val="both"/>
        <w:rPr>
          <w:rFonts w:ascii="Times New Roman" w:hAnsi="Times New Roman" w:cs="Times New Roman"/>
          <w:sz w:val="24"/>
          <w:szCs w:val="24"/>
        </w:rPr>
      </w:pPr>
      <w:r>
        <w:rPr>
          <w:rFonts w:ascii="Times New Roman" w:hAnsi="Times New Roman" w:cs="Times New Roman"/>
          <w:sz w:val="24"/>
          <w:szCs w:val="24"/>
        </w:rPr>
        <w:t>Cualquiera que emprende un nuevo</w:t>
      </w:r>
      <w:r w:rsidRPr="00823FC8">
        <w:rPr>
          <w:rFonts w:ascii="Times New Roman" w:hAnsi="Times New Roman" w:cs="Times New Roman"/>
          <w:sz w:val="24"/>
          <w:szCs w:val="24"/>
        </w:rPr>
        <w:t xml:space="preserve"> camino busca tres cosas</w:t>
      </w:r>
      <w:r>
        <w:rPr>
          <w:rFonts w:ascii="Times New Roman" w:hAnsi="Times New Roman" w:cs="Times New Roman"/>
          <w:sz w:val="24"/>
          <w:szCs w:val="24"/>
        </w:rPr>
        <w:t xml:space="preserve">: </w:t>
      </w:r>
      <w:r w:rsidR="00D25651">
        <w:rPr>
          <w:rFonts w:ascii="Times New Roman" w:hAnsi="Times New Roman" w:cs="Times New Roman"/>
          <w:sz w:val="24"/>
          <w:szCs w:val="24"/>
        </w:rPr>
        <w:t>la verdad</w:t>
      </w:r>
      <w:r w:rsidR="009B77FA">
        <w:rPr>
          <w:rFonts w:ascii="Times New Roman" w:hAnsi="Times New Roman" w:cs="Times New Roman"/>
          <w:sz w:val="24"/>
          <w:szCs w:val="24"/>
        </w:rPr>
        <w:t xml:space="preserve"> (que el “establishment” desprecia)</w:t>
      </w:r>
      <w:r w:rsidR="00D25651">
        <w:rPr>
          <w:rFonts w:ascii="Times New Roman" w:hAnsi="Times New Roman" w:cs="Times New Roman"/>
          <w:sz w:val="24"/>
          <w:szCs w:val="24"/>
        </w:rPr>
        <w:t>, la ciencia</w:t>
      </w:r>
      <w:r w:rsidR="009B77FA">
        <w:rPr>
          <w:rFonts w:ascii="Times New Roman" w:hAnsi="Times New Roman" w:cs="Times New Roman"/>
          <w:sz w:val="24"/>
          <w:szCs w:val="24"/>
        </w:rPr>
        <w:t xml:space="preserve"> (que los “progres” ignoran)</w:t>
      </w:r>
      <w:r w:rsidR="00D25651">
        <w:rPr>
          <w:rFonts w:ascii="Times New Roman" w:hAnsi="Times New Roman" w:cs="Times New Roman"/>
          <w:sz w:val="24"/>
          <w:szCs w:val="24"/>
        </w:rPr>
        <w:t xml:space="preserve"> y la certeza</w:t>
      </w:r>
      <w:r w:rsidR="009B77FA">
        <w:rPr>
          <w:rFonts w:ascii="Times New Roman" w:hAnsi="Times New Roman" w:cs="Times New Roman"/>
          <w:sz w:val="24"/>
          <w:szCs w:val="24"/>
        </w:rPr>
        <w:t xml:space="preserve"> (que los “posmo</w:t>
      </w:r>
      <w:r w:rsidR="00E2308B">
        <w:rPr>
          <w:rFonts w:ascii="Times New Roman" w:hAnsi="Times New Roman" w:cs="Times New Roman"/>
          <w:sz w:val="24"/>
          <w:szCs w:val="24"/>
        </w:rPr>
        <w:t>s</w:t>
      </w:r>
      <w:r w:rsidR="009B77FA">
        <w:rPr>
          <w:rFonts w:ascii="Times New Roman" w:hAnsi="Times New Roman" w:cs="Times New Roman"/>
          <w:sz w:val="24"/>
          <w:szCs w:val="24"/>
        </w:rPr>
        <w:t xml:space="preserve">” niegan), </w:t>
      </w:r>
      <w:r>
        <w:rPr>
          <w:rFonts w:ascii="Times New Roman" w:hAnsi="Times New Roman" w:cs="Times New Roman"/>
          <w:sz w:val="24"/>
          <w:szCs w:val="24"/>
        </w:rPr>
        <w:t xml:space="preserve">para lo que </w:t>
      </w:r>
      <w:r w:rsidR="009B77FA">
        <w:rPr>
          <w:rFonts w:ascii="Times New Roman" w:hAnsi="Times New Roman" w:cs="Times New Roman"/>
          <w:sz w:val="24"/>
          <w:szCs w:val="24"/>
        </w:rPr>
        <w:t>ha</w:t>
      </w:r>
      <w:r>
        <w:rPr>
          <w:rFonts w:ascii="Times New Roman" w:hAnsi="Times New Roman" w:cs="Times New Roman"/>
          <w:sz w:val="24"/>
          <w:szCs w:val="24"/>
        </w:rPr>
        <w:t>cen falta conocimiento, valentía, sacri</w:t>
      </w:r>
      <w:r w:rsidR="00EE4557">
        <w:rPr>
          <w:rFonts w:ascii="Times New Roman" w:hAnsi="Times New Roman" w:cs="Times New Roman"/>
          <w:sz w:val="24"/>
          <w:szCs w:val="24"/>
        </w:rPr>
        <w:t xml:space="preserve">ficio, paciencia, </w:t>
      </w:r>
      <w:r w:rsidR="005C228A">
        <w:rPr>
          <w:rFonts w:ascii="Times New Roman" w:hAnsi="Times New Roman" w:cs="Times New Roman"/>
          <w:sz w:val="24"/>
          <w:szCs w:val="24"/>
        </w:rPr>
        <w:t xml:space="preserve">y </w:t>
      </w:r>
      <w:r w:rsidR="00EE4557">
        <w:rPr>
          <w:rFonts w:ascii="Times New Roman" w:hAnsi="Times New Roman" w:cs="Times New Roman"/>
          <w:sz w:val="24"/>
          <w:szCs w:val="24"/>
        </w:rPr>
        <w:t xml:space="preserve">perseverancia… </w:t>
      </w:r>
      <w:r w:rsidR="00AB3D48">
        <w:rPr>
          <w:rFonts w:ascii="Times New Roman" w:hAnsi="Times New Roman" w:cs="Times New Roman"/>
          <w:sz w:val="24"/>
          <w:szCs w:val="24"/>
        </w:rPr>
        <w:t>con el ob</w:t>
      </w:r>
      <w:r w:rsidR="005C228A">
        <w:rPr>
          <w:rFonts w:ascii="Times New Roman" w:hAnsi="Times New Roman" w:cs="Times New Roman"/>
          <w:sz w:val="24"/>
          <w:szCs w:val="24"/>
        </w:rPr>
        <w:t>jeto</w:t>
      </w:r>
      <w:r w:rsidR="00AB3D48">
        <w:rPr>
          <w:rFonts w:ascii="Times New Roman" w:hAnsi="Times New Roman" w:cs="Times New Roman"/>
          <w:sz w:val="24"/>
          <w:szCs w:val="24"/>
        </w:rPr>
        <w:t xml:space="preserve"> de</w:t>
      </w:r>
      <w:r w:rsidR="00A54B52">
        <w:rPr>
          <w:rFonts w:ascii="Times New Roman" w:hAnsi="Times New Roman" w:cs="Times New Roman"/>
          <w:sz w:val="24"/>
          <w:szCs w:val="24"/>
        </w:rPr>
        <w:t xml:space="preserve"> llegar a</w:t>
      </w:r>
      <w:r w:rsidR="00AB3D48">
        <w:rPr>
          <w:rFonts w:ascii="Times New Roman" w:hAnsi="Times New Roman" w:cs="Times New Roman"/>
          <w:sz w:val="24"/>
          <w:szCs w:val="24"/>
        </w:rPr>
        <w:t xml:space="preserve"> ser un auténtico </w:t>
      </w:r>
      <w:r w:rsidR="005C228A">
        <w:rPr>
          <w:rFonts w:ascii="Times New Roman" w:hAnsi="Times New Roman" w:cs="Times New Roman"/>
          <w:sz w:val="24"/>
          <w:szCs w:val="24"/>
        </w:rPr>
        <w:t>intérprete</w:t>
      </w:r>
      <w:r w:rsidR="00AB3D48">
        <w:rPr>
          <w:rFonts w:ascii="Times New Roman" w:hAnsi="Times New Roman" w:cs="Times New Roman"/>
          <w:sz w:val="24"/>
          <w:szCs w:val="24"/>
        </w:rPr>
        <w:t xml:space="preserve"> de la vida.</w:t>
      </w:r>
    </w:p>
    <w:p w:rsidR="00C50652" w:rsidRDefault="00EE4557" w:rsidP="00F24821">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Para resolver </w:t>
      </w:r>
      <w:r w:rsidRPr="00EE4557">
        <w:rPr>
          <w:rFonts w:ascii="Times New Roman" w:hAnsi="Times New Roman" w:cs="Times New Roman"/>
          <w:sz w:val="24"/>
          <w:szCs w:val="24"/>
        </w:rPr>
        <w:t>la angustia en los hogares, la desesperación en las empresas, el temor en las</w:t>
      </w:r>
      <w:r w:rsidR="005C228A">
        <w:rPr>
          <w:rFonts w:ascii="Times New Roman" w:hAnsi="Times New Roman" w:cs="Times New Roman"/>
          <w:sz w:val="24"/>
          <w:szCs w:val="24"/>
        </w:rPr>
        <w:t xml:space="preserve"> calles, </w:t>
      </w:r>
      <w:r>
        <w:rPr>
          <w:rFonts w:ascii="Times New Roman" w:hAnsi="Times New Roman" w:cs="Times New Roman"/>
          <w:sz w:val="24"/>
          <w:szCs w:val="24"/>
        </w:rPr>
        <w:t>las nuevas crisis que se anuncian</w:t>
      </w:r>
      <w:r w:rsidR="005C228A">
        <w:rPr>
          <w:rFonts w:ascii="Times New Roman" w:hAnsi="Times New Roman" w:cs="Times New Roman"/>
          <w:sz w:val="24"/>
          <w:szCs w:val="24"/>
        </w:rPr>
        <w:t>,</w:t>
      </w:r>
      <w:r w:rsidR="00132D15">
        <w:rPr>
          <w:rFonts w:ascii="Times New Roman" w:hAnsi="Times New Roman" w:cs="Times New Roman"/>
          <w:sz w:val="24"/>
          <w:szCs w:val="24"/>
        </w:rPr>
        <w:t xml:space="preserve"> y</w:t>
      </w:r>
      <w:r w:rsidR="00AB3D48">
        <w:rPr>
          <w:rFonts w:ascii="Times New Roman" w:hAnsi="Times New Roman" w:cs="Times New Roman"/>
          <w:sz w:val="24"/>
          <w:szCs w:val="24"/>
        </w:rPr>
        <w:t>ser</w:t>
      </w:r>
      <w:r w:rsidR="005C228A">
        <w:rPr>
          <w:rFonts w:ascii="Times New Roman" w:hAnsi="Times New Roman" w:cs="Times New Roman"/>
          <w:sz w:val="24"/>
          <w:szCs w:val="24"/>
        </w:rPr>
        <w:t>, en definitiva,</w:t>
      </w:r>
      <w:r w:rsidR="00AB3D48">
        <w:rPr>
          <w:rFonts w:ascii="Times New Roman" w:hAnsi="Times New Roman" w:cs="Times New Roman"/>
          <w:sz w:val="24"/>
          <w:szCs w:val="24"/>
        </w:rPr>
        <w:t xml:space="preserve"> protagonista</w:t>
      </w:r>
      <w:r w:rsidR="005C228A">
        <w:rPr>
          <w:rFonts w:ascii="Times New Roman" w:hAnsi="Times New Roman" w:cs="Times New Roman"/>
          <w:sz w:val="24"/>
          <w:szCs w:val="24"/>
        </w:rPr>
        <w:t>s</w:t>
      </w:r>
      <w:r w:rsidR="00AB3D48">
        <w:rPr>
          <w:rFonts w:ascii="Times New Roman" w:hAnsi="Times New Roman" w:cs="Times New Roman"/>
          <w:sz w:val="24"/>
          <w:szCs w:val="24"/>
        </w:rPr>
        <w:t xml:space="preserve"> de su futuro</w:t>
      </w:r>
      <w:r w:rsidR="005C228A">
        <w:rPr>
          <w:rFonts w:ascii="Times New Roman" w:hAnsi="Times New Roman" w:cs="Times New Roman"/>
          <w:sz w:val="24"/>
          <w:szCs w:val="24"/>
        </w:rPr>
        <w:t xml:space="preserve"> (con toda libertad</w:t>
      </w:r>
      <w:r w:rsidR="0089198E">
        <w:rPr>
          <w:rFonts w:ascii="Times New Roman" w:hAnsi="Times New Roman" w:cs="Times New Roman"/>
          <w:sz w:val="24"/>
          <w:szCs w:val="24"/>
        </w:rPr>
        <w:t>, autonomía y riesgo)</w:t>
      </w:r>
      <w:r w:rsidR="005C228A">
        <w:rPr>
          <w:rFonts w:ascii="Times New Roman" w:hAnsi="Times New Roman" w:cs="Times New Roman"/>
          <w:sz w:val="24"/>
          <w:szCs w:val="24"/>
        </w:rPr>
        <w:t xml:space="preserve"> los jóvenes deben </w:t>
      </w:r>
      <w:r w:rsidR="00C70773">
        <w:rPr>
          <w:rFonts w:ascii="Times New Roman" w:hAnsi="Times New Roman" w:cs="Times New Roman"/>
          <w:sz w:val="24"/>
          <w:szCs w:val="24"/>
        </w:rPr>
        <w:t>sacudirse la parálisis</w:t>
      </w:r>
      <w:r w:rsidR="008B1677">
        <w:rPr>
          <w:rFonts w:ascii="Times New Roman" w:hAnsi="Times New Roman" w:cs="Times New Roman"/>
          <w:sz w:val="24"/>
          <w:szCs w:val="24"/>
        </w:rPr>
        <w:t>, dejar de ser espectadores, superar los mensajes de 140 caracteres (tuits)</w:t>
      </w:r>
      <w:r w:rsidR="00EC6E4F">
        <w:rPr>
          <w:rFonts w:ascii="Times New Roman" w:hAnsi="Times New Roman" w:cs="Times New Roman"/>
          <w:sz w:val="24"/>
          <w:szCs w:val="24"/>
        </w:rPr>
        <w:t>, y más aún,</w:t>
      </w:r>
      <w:r w:rsidR="008B1677">
        <w:rPr>
          <w:rFonts w:ascii="Times New Roman" w:hAnsi="Times New Roman" w:cs="Times New Roman"/>
          <w:sz w:val="24"/>
          <w:szCs w:val="24"/>
        </w:rPr>
        <w:t>el pensa</w:t>
      </w:r>
      <w:r w:rsidR="0089198E">
        <w:rPr>
          <w:rFonts w:ascii="Times New Roman" w:hAnsi="Times New Roman" w:cs="Times New Roman"/>
          <w:sz w:val="24"/>
          <w:szCs w:val="24"/>
        </w:rPr>
        <w:t>miento de 140 caracteres (</w:t>
      </w:r>
      <w:r w:rsidR="00FD1CC5">
        <w:rPr>
          <w:rFonts w:ascii="Times New Roman" w:hAnsi="Times New Roman" w:cs="Times New Roman"/>
          <w:sz w:val="24"/>
          <w:szCs w:val="24"/>
        </w:rPr>
        <w:t>más peligroso,</w:t>
      </w:r>
      <w:r w:rsidR="0089198E">
        <w:rPr>
          <w:rFonts w:ascii="Times New Roman" w:hAnsi="Times New Roman" w:cs="Times New Roman"/>
          <w:sz w:val="24"/>
          <w:szCs w:val="24"/>
        </w:rPr>
        <w:t xml:space="preserve"> y frecuente</w:t>
      </w:r>
      <w:r w:rsidR="008B1677">
        <w:rPr>
          <w:rFonts w:ascii="Times New Roman" w:hAnsi="Times New Roman" w:cs="Times New Roman"/>
          <w:sz w:val="24"/>
          <w:szCs w:val="24"/>
        </w:rPr>
        <w:t>).</w:t>
      </w:r>
      <w:r w:rsidR="00FD1CC5">
        <w:rPr>
          <w:rFonts w:ascii="Times New Roman" w:hAnsi="Times New Roman" w:cs="Times New Roman"/>
          <w:sz w:val="24"/>
          <w:szCs w:val="24"/>
        </w:rPr>
        <w:t>En fin</w:t>
      </w:r>
      <w:r w:rsidR="0089198E">
        <w:rPr>
          <w:rFonts w:ascii="Times New Roman" w:hAnsi="Times New Roman" w:cs="Times New Roman"/>
          <w:sz w:val="24"/>
          <w:szCs w:val="24"/>
        </w:rPr>
        <w:t>, dejar de ser una generación de cristal.</w:t>
      </w:r>
    </w:p>
    <w:p w:rsidR="00132D15" w:rsidRPr="00DC36AA" w:rsidRDefault="001824C0" w:rsidP="001824C0">
      <w:pPr>
        <w:spacing w:line="240" w:lineRule="auto"/>
        <w:jc w:val="both"/>
        <w:rPr>
          <w:rFonts w:ascii="Times New Roman" w:hAnsi="Times New Roman" w:cs="Times New Roman"/>
          <w:b/>
          <w:sz w:val="24"/>
          <w:szCs w:val="24"/>
        </w:rPr>
      </w:pPr>
      <w:r w:rsidRPr="00201E39">
        <w:rPr>
          <w:rFonts w:ascii="Times New Roman" w:hAnsi="Times New Roman" w:cs="Times New Roman"/>
          <w:b/>
          <w:sz w:val="24"/>
          <w:szCs w:val="24"/>
        </w:rPr>
        <w:t>En el nombre del nieto</w:t>
      </w:r>
      <w:r w:rsidRPr="00DC36AA">
        <w:rPr>
          <w:rFonts w:ascii="Times New Roman" w:hAnsi="Times New Roman" w:cs="Times New Roman"/>
          <w:b/>
          <w:sz w:val="24"/>
          <w:szCs w:val="24"/>
        </w:rPr>
        <w:t>:</w:t>
      </w:r>
      <w:r w:rsidR="00132D15" w:rsidRPr="00DC36AA">
        <w:rPr>
          <w:rFonts w:ascii="Times New Roman" w:hAnsi="Times New Roman" w:cs="Times New Roman"/>
          <w:b/>
          <w:sz w:val="24"/>
          <w:szCs w:val="24"/>
        </w:rPr>
        <w:t xml:space="preserve"> solo aspiro a que mi</w:t>
      </w:r>
      <w:r w:rsidR="00DC36AA" w:rsidRPr="00DC36AA">
        <w:rPr>
          <w:rFonts w:ascii="Times New Roman" w:hAnsi="Times New Roman" w:cs="Times New Roman"/>
          <w:b/>
          <w:sz w:val="24"/>
          <w:szCs w:val="24"/>
        </w:rPr>
        <w:t>s hijas</w:t>
      </w:r>
      <w:r w:rsidR="00DC36AA">
        <w:rPr>
          <w:rFonts w:ascii="Times New Roman" w:hAnsi="Times New Roman" w:cs="Times New Roman"/>
          <w:b/>
          <w:sz w:val="24"/>
          <w:szCs w:val="24"/>
        </w:rPr>
        <w:t>,</w:t>
      </w:r>
      <w:r w:rsidR="00DC36AA" w:rsidRPr="00DC36AA">
        <w:rPr>
          <w:rFonts w:ascii="Times New Roman" w:hAnsi="Times New Roman" w:cs="Times New Roman"/>
          <w:b/>
          <w:sz w:val="24"/>
          <w:szCs w:val="24"/>
        </w:rPr>
        <w:t xml:space="preserve"> y nietos</w:t>
      </w:r>
      <w:r w:rsidR="00DC36AA">
        <w:rPr>
          <w:rFonts w:ascii="Times New Roman" w:hAnsi="Times New Roman" w:cs="Times New Roman"/>
          <w:b/>
          <w:sz w:val="24"/>
          <w:szCs w:val="24"/>
        </w:rPr>
        <w:t>,</w:t>
      </w:r>
      <w:r w:rsidR="00DC36AA" w:rsidRPr="00DC36AA">
        <w:rPr>
          <w:rFonts w:ascii="Times New Roman" w:hAnsi="Times New Roman" w:cs="Times New Roman"/>
          <w:b/>
          <w:sz w:val="24"/>
          <w:szCs w:val="24"/>
        </w:rPr>
        <w:t xml:space="preserve"> no tengan que descubrir que sus padres vivieron mejor</w:t>
      </w:r>
    </w:p>
    <w:p w:rsidR="001824C0" w:rsidRDefault="001824C0" w:rsidP="001824C0">
      <w:pPr>
        <w:spacing w:line="240" w:lineRule="auto"/>
        <w:jc w:val="both"/>
        <w:rPr>
          <w:rFonts w:ascii="Times New Roman" w:hAnsi="Times New Roman" w:cs="Times New Roman"/>
          <w:sz w:val="24"/>
          <w:szCs w:val="24"/>
        </w:rPr>
      </w:pPr>
      <w:r>
        <w:rPr>
          <w:rFonts w:ascii="Times New Roman" w:hAnsi="Times New Roman" w:cs="Times New Roman"/>
          <w:sz w:val="24"/>
          <w:szCs w:val="24"/>
        </w:rPr>
        <w:t>Aunque, después de 34 Ensayos y 225 Papers publicados, desde octubre de 1998, hasta agosto de 2022, sobre temas económicos, entre</w:t>
      </w:r>
      <w:r w:rsidR="00132D15">
        <w:rPr>
          <w:rFonts w:ascii="Times New Roman" w:hAnsi="Times New Roman" w:cs="Times New Roman"/>
          <w:sz w:val="24"/>
          <w:szCs w:val="24"/>
        </w:rPr>
        <w:t xml:space="preserve"> las</w:t>
      </w:r>
      <w:r>
        <w:rPr>
          <w:rFonts w:ascii="Times New Roman" w:hAnsi="Times New Roman" w:cs="Times New Roman"/>
          <w:sz w:val="24"/>
          <w:szCs w:val="24"/>
        </w:rPr>
        <w:t xml:space="preserve"> tantas</w:t>
      </w:r>
      <w:r w:rsidRPr="00BE473A">
        <w:rPr>
          <w:rFonts w:ascii="Times New Roman" w:hAnsi="Times New Roman" w:cs="Times New Roman"/>
          <w:sz w:val="24"/>
          <w:szCs w:val="24"/>
        </w:rPr>
        <w:t xml:space="preserve"> viejas y queridas causas perdidas o la amargura de la victoria,</w:t>
      </w:r>
      <w:r>
        <w:rPr>
          <w:rFonts w:ascii="Times New Roman" w:hAnsi="Times New Roman" w:cs="Times New Roman"/>
          <w:sz w:val="24"/>
          <w:szCs w:val="24"/>
        </w:rPr>
        <w:t xml:space="preserve"> puedo destacar una constante preocupación por la juventud (educación, empleo, ingresos, oportunidades, salu</w:t>
      </w:r>
      <w:r w:rsidR="00132D15">
        <w:rPr>
          <w:rFonts w:ascii="Times New Roman" w:hAnsi="Times New Roman" w:cs="Times New Roman"/>
          <w:sz w:val="24"/>
          <w:szCs w:val="24"/>
        </w:rPr>
        <w:t>d, familia, vivienda, cultura, moral, ética, usos y costumbres, adicciones, estabilidad mental y emocional</w:t>
      </w:r>
      <w:r>
        <w:rPr>
          <w:rFonts w:ascii="Times New Roman" w:hAnsi="Times New Roman" w:cs="Times New Roman"/>
          <w:sz w:val="24"/>
          <w:szCs w:val="24"/>
        </w:rPr>
        <w:t>)… Aunque</w:t>
      </w:r>
      <w:r w:rsidR="00132D15">
        <w:rPr>
          <w:rFonts w:ascii="Times New Roman" w:hAnsi="Times New Roman" w:cs="Times New Roman"/>
          <w:sz w:val="24"/>
          <w:szCs w:val="24"/>
        </w:rPr>
        <w:t>,</w:t>
      </w:r>
      <w:r>
        <w:rPr>
          <w:rFonts w:ascii="Times New Roman" w:hAnsi="Times New Roman" w:cs="Times New Roman"/>
          <w:sz w:val="24"/>
          <w:szCs w:val="24"/>
        </w:rPr>
        <w:t xml:space="preserve"> c</w:t>
      </w:r>
      <w:r w:rsidRPr="00BE473A">
        <w:rPr>
          <w:rFonts w:ascii="Times New Roman" w:hAnsi="Times New Roman" w:cs="Times New Roman"/>
          <w:sz w:val="24"/>
          <w:szCs w:val="24"/>
        </w:rPr>
        <w:t>omo padre (de 2 mujeres), abuelo (de 4 nietos), con más de 77 años</w:t>
      </w:r>
      <w:r>
        <w:rPr>
          <w:rFonts w:ascii="Times New Roman" w:hAnsi="Times New Roman" w:cs="Times New Roman"/>
          <w:sz w:val="24"/>
          <w:szCs w:val="24"/>
        </w:rPr>
        <w:t xml:space="preserve"> entre pecho y espalda, y </w:t>
      </w:r>
      <w:r w:rsidRPr="00BE473A">
        <w:rPr>
          <w:rFonts w:ascii="Times New Roman" w:hAnsi="Times New Roman" w:cs="Times New Roman"/>
          <w:sz w:val="24"/>
          <w:szCs w:val="24"/>
        </w:rPr>
        <w:t>50 años de matrimonio,</w:t>
      </w:r>
      <w:r>
        <w:rPr>
          <w:rFonts w:ascii="Times New Roman" w:hAnsi="Times New Roman" w:cs="Times New Roman"/>
          <w:sz w:val="24"/>
          <w:szCs w:val="24"/>
        </w:rPr>
        <w:t xml:space="preserve"> puedo demostrar que he mantenido firme el compromiso de alentar (y posibilitar) el mejoramiento generacional… </w:t>
      </w:r>
    </w:p>
    <w:p w:rsidR="001824C0" w:rsidRDefault="001824C0" w:rsidP="001824C0">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consiente de mis limitaciones (como millonario en derrotas), y para evitar ser acusado de viejuno, retrógado, misógino, conservador, unilateral, sectario, o analfabeto digital (teniendo en cuenta que no soy adicto -ni lo voy a ser- al iPhone, Facebook,</w:t>
      </w:r>
      <w:r w:rsidR="00132D15">
        <w:rPr>
          <w:rFonts w:ascii="Times New Roman" w:hAnsi="Times New Roman" w:cs="Times New Roman"/>
          <w:sz w:val="24"/>
          <w:szCs w:val="24"/>
        </w:rPr>
        <w:t xml:space="preserve"> Twitter,</w:t>
      </w:r>
      <w:r w:rsidR="00DC36AA">
        <w:rPr>
          <w:rFonts w:ascii="Times New Roman" w:hAnsi="Times New Roman" w:cs="Times New Roman"/>
          <w:sz w:val="24"/>
          <w:szCs w:val="24"/>
        </w:rPr>
        <w:t xml:space="preserve"> Instagram, YouTube, Ti</w:t>
      </w:r>
      <w:r>
        <w:rPr>
          <w:rFonts w:ascii="Times New Roman" w:hAnsi="Times New Roman" w:cs="Times New Roman"/>
          <w:sz w:val="24"/>
          <w:szCs w:val="24"/>
        </w:rPr>
        <w:t>kTok, Amazon, Uber, Airbnb, plataformas, apps, gadgets, influencers</w:t>
      </w:r>
      <w:r w:rsidR="00132D15">
        <w:rPr>
          <w:rFonts w:ascii="Times New Roman" w:hAnsi="Times New Roman" w:cs="Times New Roman"/>
          <w:sz w:val="24"/>
          <w:szCs w:val="24"/>
        </w:rPr>
        <w:t>, u otras armas de distracción masiva</w:t>
      </w:r>
      <w:r>
        <w:rPr>
          <w:rFonts w:ascii="Times New Roman" w:hAnsi="Times New Roman" w:cs="Times New Roman"/>
          <w:sz w:val="24"/>
          <w:szCs w:val="24"/>
        </w:rPr>
        <w:t xml:space="preserve">), más aún, confesando el pecado intelectual -sin arrepentimiento, ni propósito de enmienda- de no haber leído ninguno de los libros de </w:t>
      </w:r>
      <w:r w:rsidRPr="00B43659">
        <w:rPr>
          <w:rFonts w:ascii="Times New Roman" w:hAnsi="Times New Roman" w:cs="Times New Roman"/>
          <w:sz w:val="24"/>
          <w:szCs w:val="24"/>
        </w:rPr>
        <w:t>Paulo Coelho</w:t>
      </w:r>
      <w:r>
        <w:rPr>
          <w:rFonts w:ascii="Times New Roman" w:hAnsi="Times New Roman" w:cs="Times New Roman"/>
          <w:sz w:val="24"/>
          <w:szCs w:val="24"/>
        </w:rPr>
        <w:t>,las historias de “Harry Potter”, de no haber visto ningún capítulo de la serie “El señor de los anillos”, y con la firme voluntad de tampoco hacerlo con “Los anillos del poder”, voy a dejar que sean “los que saben” quienes den o quiten razón a lo dicho.</w:t>
      </w:r>
    </w:p>
    <w:p w:rsidR="00BE473A" w:rsidRDefault="00DC36AA" w:rsidP="00C5065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Con toda admiración, </w:t>
      </w:r>
      <w:r w:rsidR="000E3E57">
        <w:rPr>
          <w:rFonts w:ascii="Times New Roman" w:hAnsi="Times New Roman" w:cs="Times New Roman"/>
          <w:sz w:val="24"/>
          <w:szCs w:val="24"/>
        </w:rPr>
        <w:t>cito a dos</w:t>
      </w:r>
      <w:r w:rsidR="00463CC3">
        <w:rPr>
          <w:rFonts w:ascii="Times New Roman" w:hAnsi="Times New Roman" w:cs="Times New Roman"/>
          <w:sz w:val="24"/>
          <w:szCs w:val="24"/>
        </w:rPr>
        <w:t xml:space="preserve"> Maestros</w:t>
      </w:r>
      <w:r w:rsidR="00D333D6">
        <w:rPr>
          <w:rFonts w:ascii="Times New Roman" w:hAnsi="Times New Roman" w:cs="Times New Roman"/>
          <w:sz w:val="24"/>
          <w:szCs w:val="24"/>
        </w:rPr>
        <w:t>:</w:t>
      </w:r>
      <w:r w:rsidR="000E3E57" w:rsidRPr="00BE473A">
        <w:rPr>
          <w:rFonts w:ascii="Times New Roman" w:hAnsi="Times New Roman" w:cs="Times New Roman"/>
          <w:sz w:val="24"/>
          <w:szCs w:val="24"/>
        </w:rPr>
        <w:t>Ernesto Sábato (escri</w:t>
      </w:r>
      <w:r w:rsidR="000E3E57">
        <w:rPr>
          <w:rFonts w:ascii="Times New Roman" w:hAnsi="Times New Roman" w:cs="Times New Roman"/>
          <w:sz w:val="24"/>
          <w:szCs w:val="24"/>
        </w:rPr>
        <w:t xml:space="preserve">tor argentino), y </w:t>
      </w:r>
      <w:r w:rsidR="008A1C60" w:rsidRPr="00BE473A">
        <w:rPr>
          <w:rFonts w:ascii="Times New Roman" w:hAnsi="Times New Roman" w:cs="Times New Roman"/>
          <w:sz w:val="24"/>
          <w:szCs w:val="24"/>
        </w:rPr>
        <w:t>Julio Anguita (político e</w:t>
      </w:r>
      <w:r>
        <w:rPr>
          <w:rFonts w:ascii="Times New Roman" w:hAnsi="Times New Roman" w:cs="Times New Roman"/>
          <w:sz w:val="24"/>
          <w:szCs w:val="24"/>
        </w:rPr>
        <w:t>spañol), en su</w:t>
      </w:r>
      <w:r w:rsidR="000E3E57">
        <w:rPr>
          <w:rFonts w:ascii="Times New Roman" w:hAnsi="Times New Roman" w:cs="Times New Roman"/>
          <w:sz w:val="24"/>
          <w:szCs w:val="24"/>
        </w:rPr>
        <w:t xml:space="preserve"> “mensaje a la juventud”, a modo de </w:t>
      </w:r>
      <w:r w:rsidR="000E3E57" w:rsidRPr="00DC36AA">
        <w:rPr>
          <w:rFonts w:ascii="Times New Roman" w:hAnsi="Times New Roman" w:cs="Times New Roman"/>
          <w:b/>
          <w:sz w:val="24"/>
          <w:szCs w:val="24"/>
        </w:rPr>
        <w:t>conclusión</w:t>
      </w:r>
      <w:r w:rsidR="000E3E57">
        <w:rPr>
          <w:rFonts w:ascii="Times New Roman" w:hAnsi="Times New Roman" w:cs="Times New Roman"/>
          <w:sz w:val="24"/>
          <w:szCs w:val="24"/>
        </w:rPr>
        <w:t>.</w:t>
      </w:r>
    </w:p>
    <w:p w:rsidR="00C50652" w:rsidRDefault="00DC36AA" w:rsidP="00C50652">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8A1C60" w:rsidRPr="00BE473A">
        <w:rPr>
          <w:rFonts w:ascii="Times New Roman" w:hAnsi="Times New Roman" w:cs="Times New Roman"/>
          <w:sz w:val="24"/>
          <w:szCs w:val="24"/>
        </w:rPr>
        <w:t>El que quiera entender que entienda</w:t>
      </w:r>
      <w:r>
        <w:rPr>
          <w:rFonts w:ascii="Times New Roman" w:hAnsi="Times New Roman" w:cs="Times New Roman"/>
          <w:sz w:val="24"/>
          <w:szCs w:val="24"/>
        </w:rPr>
        <w:t>)</w:t>
      </w:r>
      <w:r w:rsidR="008A1C60" w:rsidRPr="00BE473A">
        <w:rPr>
          <w:rFonts w:ascii="Times New Roman" w:hAnsi="Times New Roman" w:cs="Times New Roman"/>
          <w:sz w:val="24"/>
          <w:szCs w:val="24"/>
        </w:rPr>
        <w:t>.</w:t>
      </w:r>
    </w:p>
    <w:p w:rsidR="000E3E57" w:rsidRPr="00AC25C0" w:rsidRDefault="000E3E57" w:rsidP="000E3E57">
      <w:pPr>
        <w:spacing w:line="240" w:lineRule="auto"/>
        <w:jc w:val="both"/>
        <w:rPr>
          <w:rFonts w:ascii="Times New Roman" w:hAnsi="Times New Roman" w:cs="Times New Roman"/>
          <w:b/>
          <w:color w:val="FF0000"/>
          <w:sz w:val="24"/>
          <w:szCs w:val="24"/>
        </w:rPr>
      </w:pPr>
      <w:r w:rsidRPr="00AC25C0">
        <w:rPr>
          <w:rFonts w:ascii="Times New Roman" w:hAnsi="Times New Roman" w:cs="Times New Roman"/>
          <w:b/>
          <w:color w:val="FF0000"/>
          <w:sz w:val="24"/>
          <w:szCs w:val="24"/>
        </w:rPr>
        <w:t xml:space="preserve">Buscando un “pacto de derrotados”, en palabras de Ernesto Sábato </w:t>
      </w:r>
    </w:p>
    <w:p w:rsidR="000E3E57" w:rsidRPr="00AC25C0" w:rsidRDefault="000E3E57" w:rsidP="000E3E57">
      <w:pPr>
        <w:spacing w:line="240" w:lineRule="auto"/>
        <w:jc w:val="both"/>
        <w:rPr>
          <w:rFonts w:ascii="Times New Roman" w:hAnsi="Times New Roman" w:cs="Times New Roman"/>
          <w:b/>
          <w:sz w:val="24"/>
          <w:szCs w:val="24"/>
        </w:rPr>
      </w:pPr>
      <w:r w:rsidRPr="00AC25C0">
        <w:rPr>
          <w:rFonts w:ascii="Times New Roman" w:hAnsi="Times New Roman" w:cs="Times New Roman"/>
          <w:b/>
          <w:sz w:val="24"/>
          <w:szCs w:val="24"/>
        </w:rPr>
        <w:t>Sin duda quienes más aprecian la obra de Ernesto Sábato son los jóvenes, y tal vez por ello el escritor argentino sabía que tenía una cuenta pendiente con ellos. “No quiero morirme sin decirles estas palabras...”, escribe en el epílogo de “Antes del fin” (1998), su más reciente y último libro según el propio escritor.</w:t>
      </w:r>
    </w:p>
    <w:p w:rsidR="000E3E57" w:rsidRPr="00AC25C0" w:rsidRDefault="000E3E57" w:rsidP="000E3E57">
      <w:pPr>
        <w:spacing w:line="240" w:lineRule="auto"/>
        <w:jc w:val="both"/>
        <w:rPr>
          <w:rFonts w:ascii="Times New Roman" w:hAnsi="Times New Roman" w:cs="Times New Roman"/>
          <w:b/>
          <w:sz w:val="24"/>
          <w:szCs w:val="24"/>
        </w:rPr>
      </w:pPr>
      <w:r w:rsidRPr="00AC25C0">
        <w:rPr>
          <w:rFonts w:ascii="Times New Roman" w:hAnsi="Times New Roman" w:cs="Times New Roman"/>
          <w:b/>
          <w:sz w:val="24"/>
          <w:szCs w:val="24"/>
        </w:rPr>
        <w:t>“… al parecer, la dignidad de la vida humana no estaba prevista en el plan de globalización. El mundo global actual pone al ser humano el último en su lista de prioridades”...</w:t>
      </w:r>
    </w:p>
    <w:p w:rsidR="000E3E57" w:rsidRPr="00AC25C0" w:rsidRDefault="000E3E57" w:rsidP="000E3E57">
      <w:pPr>
        <w:spacing w:line="240" w:lineRule="auto"/>
        <w:jc w:val="both"/>
        <w:rPr>
          <w:rFonts w:ascii="Times New Roman" w:hAnsi="Times New Roman" w:cs="Times New Roman"/>
          <w:b/>
          <w:sz w:val="24"/>
          <w:szCs w:val="24"/>
        </w:rPr>
      </w:pPr>
      <w:r w:rsidRPr="00AC25C0">
        <w:rPr>
          <w:rFonts w:ascii="Times New Roman" w:hAnsi="Times New Roman" w:cs="Times New Roman"/>
          <w:b/>
          <w:sz w:val="24"/>
          <w:szCs w:val="24"/>
        </w:rPr>
        <w:t>El escritor argentino da cabida a reflexiones pesimistas relacionadas con el derrumbe de la sociedad moderna, donde impera el dinero, los jóvenes ya no quieren tener hijos (“no cabe escepticismo mayor”, dice) y la naturaleza se degrada de modo alarmante.</w:t>
      </w:r>
    </w:p>
    <w:p w:rsidR="000E3E57" w:rsidRPr="00AC25C0" w:rsidRDefault="000E3E57" w:rsidP="000E3E57">
      <w:pPr>
        <w:spacing w:line="240" w:lineRule="auto"/>
        <w:jc w:val="both"/>
        <w:rPr>
          <w:rFonts w:ascii="Times New Roman" w:hAnsi="Times New Roman" w:cs="Times New Roman"/>
          <w:b/>
          <w:sz w:val="24"/>
          <w:szCs w:val="24"/>
        </w:rPr>
      </w:pPr>
      <w:r w:rsidRPr="00AC25C0">
        <w:rPr>
          <w:rFonts w:ascii="Times New Roman" w:hAnsi="Times New Roman" w:cs="Times New Roman"/>
          <w:b/>
          <w:sz w:val="24"/>
          <w:szCs w:val="24"/>
        </w:rPr>
        <w:t>“Ahora, el hombre está al borde de convertirse en un clon por encargo: ojos celestes, simpático, emprendedor, insensible al dolor o trágicamente, preparado para esclavo. Engranajes de una máquina, factores de un sistema, ¡qué lejos, Hölderlin, de cuando los hombres se sentían hijos de los Dioses!</w:t>
      </w:r>
    </w:p>
    <w:p w:rsidR="000E3E57" w:rsidRPr="00AC25C0" w:rsidRDefault="000E3E57" w:rsidP="000E3E57">
      <w:pPr>
        <w:spacing w:line="240" w:lineRule="auto"/>
        <w:jc w:val="both"/>
        <w:rPr>
          <w:rFonts w:ascii="Times New Roman" w:hAnsi="Times New Roman" w:cs="Times New Roman"/>
          <w:b/>
          <w:sz w:val="24"/>
          <w:szCs w:val="24"/>
        </w:rPr>
      </w:pPr>
      <w:r w:rsidRPr="00AC25C0">
        <w:rPr>
          <w:rFonts w:ascii="Times New Roman" w:hAnsi="Times New Roman" w:cs="Times New Roman"/>
          <w:b/>
          <w:sz w:val="24"/>
          <w:szCs w:val="24"/>
        </w:rPr>
        <w:t>Los jóvenes lo sufren: ya no quieren tener hijos. No cabe escepticismo mayor.</w:t>
      </w:r>
    </w:p>
    <w:p w:rsidR="000E3E57" w:rsidRPr="00AC25C0" w:rsidRDefault="000E3E57" w:rsidP="000E3E57">
      <w:pPr>
        <w:spacing w:line="240" w:lineRule="auto"/>
        <w:jc w:val="both"/>
        <w:rPr>
          <w:rFonts w:ascii="Times New Roman" w:hAnsi="Times New Roman" w:cs="Times New Roman"/>
          <w:b/>
          <w:sz w:val="24"/>
          <w:szCs w:val="24"/>
        </w:rPr>
      </w:pPr>
      <w:r w:rsidRPr="00AC25C0">
        <w:rPr>
          <w:rFonts w:ascii="Times New Roman" w:hAnsi="Times New Roman" w:cs="Times New Roman"/>
          <w:b/>
          <w:sz w:val="24"/>
          <w:szCs w:val="24"/>
        </w:rPr>
        <w:t>Así como los animales en cautiverio, nuestras jóvenes generaciones no se arriesgan a ser padres. Tal es el estado del mundo que les estamos entregando.</w:t>
      </w:r>
    </w:p>
    <w:p w:rsidR="000E3E57" w:rsidRPr="00AC25C0" w:rsidRDefault="000E3E57" w:rsidP="000E3E57">
      <w:pPr>
        <w:spacing w:line="240" w:lineRule="auto"/>
        <w:jc w:val="both"/>
        <w:rPr>
          <w:rFonts w:ascii="Times New Roman" w:hAnsi="Times New Roman" w:cs="Times New Roman"/>
          <w:b/>
          <w:sz w:val="24"/>
          <w:szCs w:val="24"/>
        </w:rPr>
      </w:pPr>
      <w:r w:rsidRPr="00AC25C0">
        <w:rPr>
          <w:rFonts w:ascii="Times New Roman" w:hAnsi="Times New Roman" w:cs="Times New Roman"/>
          <w:b/>
          <w:sz w:val="24"/>
          <w:szCs w:val="24"/>
        </w:rPr>
        <w:t>La anorexia, la bulimia, la drogadicción y la violencia son otros de los signos de este tiempo de angustia ante el desprecio por la vida de quienes nos mandan.</w:t>
      </w:r>
    </w:p>
    <w:p w:rsidR="000E3E57" w:rsidRPr="00AC25C0" w:rsidRDefault="000E3E57" w:rsidP="000E3E57">
      <w:pPr>
        <w:spacing w:line="240" w:lineRule="auto"/>
        <w:jc w:val="both"/>
        <w:rPr>
          <w:rFonts w:ascii="Times New Roman" w:hAnsi="Times New Roman" w:cs="Times New Roman"/>
          <w:b/>
          <w:sz w:val="24"/>
          <w:szCs w:val="24"/>
        </w:rPr>
      </w:pPr>
      <w:r w:rsidRPr="00AC25C0">
        <w:rPr>
          <w:rFonts w:ascii="Times New Roman" w:hAnsi="Times New Roman" w:cs="Times New Roman"/>
          <w:b/>
          <w:sz w:val="24"/>
          <w:szCs w:val="24"/>
        </w:rPr>
        <w:t>¿Cómo podríamos explicarles a nuestros abuelos que hemos llevado la vida a tal situación que muchos de los jóvenes se dejan morir porque no comen o vomitan los alimentos? Por falta de ganas de vivir o por cumplir con el mandato que nos inculca la televisión: la flacura histérica.</w:t>
      </w:r>
    </w:p>
    <w:p w:rsidR="000E3E57" w:rsidRPr="00AC25C0" w:rsidRDefault="000E3E57" w:rsidP="000E3E57">
      <w:pPr>
        <w:spacing w:line="240" w:lineRule="auto"/>
        <w:jc w:val="both"/>
        <w:rPr>
          <w:rFonts w:ascii="Times New Roman" w:hAnsi="Times New Roman" w:cs="Times New Roman"/>
          <w:b/>
          <w:sz w:val="24"/>
          <w:szCs w:val="24"/>
        </w:rPr>
      </w:pPr>
      <w:r w:rsidRPr="00AC25C0">
        <w:rPr>
          <w:rFonts w:ascii="Times New Roman" w:hAnsi="Times New Roman" w:cs="Times New Roman"/>
          <w:b/>
          <w:sz w:val="24"/>
          <w:szCs w:val="24"/>
        </w:rPr>
        <w:t>Cientos de miles de jóvenes son drogadictos. Andan como bandas por las plazas del mundo”...</w:t>
      </w:r>
    </w:p>
    <w:p w:rsidR="000E3E57" w:rsidRPr="00AC25C0" w:rsidRDefault="000E3E57" w:rsidP="000E3E57">
      <w:pPr>
        <w:spacing w:line="240" w:lineRule="auto"/>
        <w:jc w:val="both"/>
        <w:rPr>
          <w:rFonts w:ascii="Times New Roman" w:hAnsi="Times New Roman" w:cs="Times New Roman"/>
          <w:b/>
          <w:sz w:val="24"/>
          <w:szCs w:val="24"/>
        </w:rPr>
      </w:pPr>
      <w:r w:rsidRPr="00AC25C0">
        <w:rPr>
          <w:rFonts w:ascii="Times New Roman" w:hAnsi="Times New Roman" w:cs="Times New Roman"/>
          <w:b/>
          <w:sz w:val="24"/>
          <w:szCs w:val="24"/>
        </w:rPr>
        <w:t>Sábato quiere hacer con los jóvenes un “pacto de derrotados” al realizar un recuento de su vida y un compendio sobre los problemas de un mundo descompuesto y deshumanizado.</w:t>
      </w:r>
    </w:p>
    <w:p w:rsidR="000E3E57" w:rsidRDefault="000E3E57" w:rsidP="000E3E57">
      <w:pPr>
        <w:spacing w:line="240" w:lineRule="auto"/>
        <w:jc w:val="both"/>
        <w:rPr>
          <w:rFonts w:ascii="Times New Roman" w:hAnsi="Times New Roman" w:cs="Times New Roman"/>
          <w:b/>
          <w:sz w:val="24"/>
          <w:szCs w:val="24"/>
        </w:rPr>
      </w:pPr>
      <w:r w:rsidRPr="00AC25C0">
        <w:rPr>
          <w:rFonts w:ascii="Times New Roman" w:hAnsi="Times New Roman" w:cs="Times New Roman"/>
          <w:b/>
          <w:sz w:val="24"/>
          <w:szCs w:val="24"/>
        </w:rPr>
        <w:lastRenderedPageBreak/>
        <w:t>“...sólo quienes sean capaces de sostener la utopía, serán aptos para el combate decisivo, el de recuperar cuanto de humanidad hayamos perdido”…</w:t>
      </w:r>
    </w:p>
    <w:p w:rsidR="00DC36AA" w:rsidRPr="00DC36AA" w:rsidRDefault="00DC36AA" w:rsidP="000E3E57">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DC36AA">
        <w:rPr>
          <w:rFonts w:ascii="Times New Roman" w:hAnsi="Times New Roman" w:cs="Times New Roman"/>
          <w:sz w:val="24"/>
          <w:szCs w:val="24"/>
        </w:rPr>
        <w:t>El que quiera oír que oiga</w:t>
      </w:r>
      <w:r>
        <w:rPr>
          <w:rFonts w:ascii="Times New Roman" w:hAnsi="Times New Roman" w:cs="Times New Roman"/>
          <w:sz w:val="24"/>
          <w:szCs w:val="24"/>
        </w:rPr>
        <w:t>).</w:t>
      </w:r>
    </w:p>
    <w:p w:rsidR="00C50652" w:rsidRPr="00AC25C0" w:rsidRDefault="00C50652" w:rsidP="00C50652">
      <w:pPr>
        <w:spacing w:line="240" w:lineRule="auto"/>
        <w:jc w:val="both"/>
        <w:rPr>
          <w:rFonts w:ascii="Times New Roman" w:hAnsi="Times New Roman" w:cs="Times New Roman"/>
          <w:b/>
          <w:color w:val="FF0000"/>
          <w:sz w:val="24"/>
          <w:szCs w:val="24"/>
        </w:rPr>
      </w:pPr>
      <w:r w:rsidRPr="00AC25C0">
        <w:rPr>
          <w:rFonts w:ascii="Times New Roman" w:hAnsi="Times New Roman" w:cs="Times New Roman"/>
          <w:b/>
          <w:color w:val="FF0000"/>
          <w:sz w:val="24"/>
          <w:szCs w:val="24"/>
        </w:rPr>
        <w:t>El vídeo de Julio Anguita (da respuesta a los “avestruces de cristal”, que siguen “esperando a Godot”)</w:t>
      </w:r>
    </w:p>
    <w:p w:rsidR="00C50652" w:rsidRPr="00DC36AA" w:rsidRDefault="00C50652" w:rsidP="00C50652">
      <w:pPr>
        <w:spacing w:line="240" w:lineRule="auto"/>
        <w:jc w:val="both"/>
        <w:rPr>
          <w:rFonts w:ascii="Times New Roman" w:hAnsi="Times New Roman" w:cs="Times New Roman"/>
          <w:sz w:val="24"/>
          <w:szCs w:val="24"/>
        </w:rPr>
      </w:pPr>
      <w:r w:rsidRPr="00DC36AA">
        <w:rPr>
          <w:rFonts w:ascii="Times New Roman" w:hAnsi="Times New Roman" w:cs="Times New Roman"/>
          <w:sz w:val="24"/>
          <w:szCs w:val="24"/>
        </w:rPr>
        <w:t xml:space="preserve">(Fuente: ElHuffPost - </w:t>
      </w:r>
      <w:r w:rsidRPr="00DC36AA">
        <w:rPr>
          <w:rFonts w:ascii="Times New Roman" w:hAnsi="Times New Roman" w:cs="Times New Roman"/>
          <w:b/>
          <w:sz w:val="24"/>
          <w:szCs w:val="24"/>
        </w:rPr>
        <w:t>1/8/22</w:t>
      </w:r>
      <w:r w:rsidRPr="00DC36AA">
        <w:rPr>
          <w:rFonts w:ascii="Times New Roman" w:hAnsi="Times New Roman" w:cs="Times New Roman"/>
          <w:sz w:val="24"/>
          <w:szCs w:val="24"/>
        </w:rPr>
        <w:t>)</w:t>
      </w:r>
    </w:p>
    <w:p w:rsidR="00C50652" w:rsidRPr="00AC25C0" w:rsidRDefault="00C50652" w:rsidP="00C50652">
      <w:pPr>
        <w:spacing w:line="240" w:lineRule="auto"/>
        <w:jc w:val="both"/>
        <w:rPr>
          <w:rFonts w:ascii="Times New Roman" w:hAnsi="Times New Roman" w:cs="Times New Roman"/>
          <w:b/>
          <w:sz w:val="24"/>
          <w:szCs w:val="24"/>
        </w:rPr>
      </w:pPr>
      <w:r w:rsidRPr="00AC25C0">
        <w:rPr>
          <w:rFonts w:ascii="Times New Roman" w:hAnsi="Times New Roman" w:cs="Times New Roman"/>
          <w:b/>
          <w:sz w:val="24"/>
          <w:szCs w:val="24"/>
        </w:rPr>
        <w:t>Un vídeo de poco más de dos minutos en el que Julio Anguita, exlíder de I</w:t>
      </w:r>
      <w:r w:rsidR="00BE473A" w:rsidRPr="00AC25C0">
        <w:rPr>
          <w:rFonts w:ascii="Times New Roman" w:hAnsi="Times New Roman" w:cs="Times New Roman"/>
          <w:b/>
          <w:sz w:val="24"/>
          <w:szCs w:val="24"/>
        </w:rPr>
        <w:t xml:space="preserve">zquierda </w:t>
      </w:r>
      <w:r w:rsidRPr="00AC25C0">
        <w:rPr>
          <w:rFonts w:ascii="Times New Roman" w:hAnsi="Times New Roman" w:cs="Times New Roman"/>
          <w:b/>
          <w:sz w:val="24"/>
          <w:szCs w:val="24"/>
        </w:rPr>
        <w:t>U</w:t>
      </w:r>
      <w:r w:rsidR="00BE473A" w:rsidRPr="00AC25C0">
        <w:rPr>
          <w:rFonts w:ascii="Times New Roman" w:hAnsi="Times New Roman" w:cs="Times New Roman"/>
          <w:b/>
          <w:sz w:val="24"/>
          <w:szCs w:val="24"/>
        </w:rPr>
        <w:t>nida</w:t>
      </w:r>
      <w:r w:rsidRPr="00AC25C0">
        <w:rPr>
          <w:rFonts w:ascii="Times New Roman" w:hAnsi="Times New Roman" w:cs="Times New Roman"/>
          <w:b/>
          <w:sz w:val="24"/>
          <w:szCs w:val="24"/>
        </w:rPr>
        <w:t xml:space="preserve"> fallecido en 2020, se dirige directamente a los jóvenes se está difundiendo de forma masiva en Twitter después de que lo haya rescatado en esa red social el usuario Fonsi Loaiza.</w:t>
      </w:r>
    </w:p>
    <w:p w:rsidR="00C50652" w:rsidRPr="00AC25C0" w:rsidRDefault="00C50652" w:rsidP="00C50652">
      <w:pPr>
        <w:spacing w:line="240" w:lineRule="auto"/>
        <w:jc w:val="both"/>
        <w:rPr>
          <w:rFonts w:ascii="Times New Roman" w:hAnsi="Times New Roman" w:cs="Times New Roman"/>
          <w:b/>
          <w:sz w:val="24"/>
          <w:szCs w:val="24"/>
        </w:rPr>
      </w:pPr>
      <w:r w:rsidRPr="00AC25C0">
        <w:rPr>
          <w:rFonts w:ascii="Times New Roman" w:hAnsi="Times New Roman" w:cs="Times New Roman"/>
          <w:b/>
          <w:sz w:val="24"/>
          <w:szCs w:val="24"/>
        </w:rPr>
        <w:t>En las imágenes, Anguita mira directamente a cámara y señala: “Chavales que me estáis viendo: no tenéis futuro alguno. Salvo que cambiéis, no que os cambien los demás ¿eh? Que luchéis para que os lo cambien”.</w:t>
      </w:r>
    </w:p>
    <w:p w:rsidR="00C50652" w:rsidRPr="00AC25C0" w:rsidRDefault="00C50652" w:rsidP="00C50652">
      <w:pPr>
        <w:spacing w:line="240" w:lineRule="auto"/>
        <w:jc w:val="both"/>
        <w:rPr>
          <w:rFonts w:ascii="Times New Roman" w:hAnsi="Times New Roman" w:cs="Times New Roman"/>
          <w:b/>
          <w:sz w:val="24"/>
          <w:szCs w:val="24"/>
        </w:rPr>
      </w:pPr>
      <w:r w:rsidRPr="00AC25C0">
        <w:rPr>
          <w:rFonts w:ascii="Times New Roman" w:hAnsi="Times New Roman" w:cs="Times New Roman"/>
          <w:b/>
          <w:sz w:val="24"/>
          <w:szCs w:val="24"/>
        </w:rPr>
        <w:t>“Eso está dicho desde el año 96. Si queréis entrad en internet y pulsáis: informe Petras. Es un informe que se hizo en 1996 por un sociólogo. El Gobierno español se lo encargó. Cuanto terminó y se lo presentó al Gobierno español el gobierno español le pagó y lo guardó en un cajón”, asegura.</w:t>
      </w:r>
    </w:p>
    <w:p w:rsidR="00C50652" w:rsidRPr="00AC25C0" w:rsidRDefault="00C50652" w:rsidP="00C50652">
      <w:pPr>
        <w:spacing w:line="240" w:lineRule="auto"/>
        <w:jc w:val="both"/>
        <w:rPr>
          <w:rFonts w:ascii="Times New Roman" w:hAnsi="Times New Roman" w:cs="Times New Roman"/>
          <w:b/>
          <w:sz w:val="24"/>
          <w:szCs w:val="24"/>
        </w:rPr>
      </w:pPr>
      <w:r w:rsidRPr="00AC25C0">
        <w:rPr>
          <w:rFonts w:ascii="Times New Roman" w:hAnsi="Times New Roman" w:cs="Times New Roman"/>
          <w:b/>
          <w:sz w:val="24"/>
          <w:szCs w:val="24"/>
        </w:rPr>
        <w:t xml:space="preserve">“El profesor Petras, que era amigo mío, me dio un ejemplar y ahora está en internet. Se dijo en el año 96: estamos ante las primeras generaciones de jóvenes que van a vivir peor que sus padres. Pero dijo otra cosa terrible: pero es una generación criada entre algodones, no </w:t>
      </w:r>
      <w:r w:rsidR="00BE473A" w:rsidRPr="00AC25C0">
        <w:rPr>
          <w:rFonts w:ascii="Times New Roman" w:hAnsi="Times New Roman" w:cs="Times New Roman"/>
          <w:b/>
          <w:sz w:val="24"/>
          <w:szCs w:val="24"/>
        </w:rPr>
        <w:t>está</w:t>
      </w:r>
      <w:r w:rsidRPr="00AC25C0">
        <w:rPr>
          <w:rFonts w:ascii="Times New Roman" w:hAnsi="Times New Roman" w:cs="Times New Roman"/>
          <w:b/>
          <w:sz w:val="24"/>
          <w:szCs w:val="24"/>
        </w:rPr>
        <w:t xml:space="preserve"> acostumbrada a la lucha. Y este es el problema. Este país no tiene ningún futuro, salvo lo que dure el sol, lo que duren las playas. El turismo. Y punto”, avisa.</w:t>
      </w:r>
    </w:p>
    <w:p w:rsidR="00C50652" w:rsidRPr="00AC25C0" w:rsidRDefault="00C50652" w:rsidP="00C50652">
      <w:pPr>
        <w:spacing w:line="240" w:lineRule="auto"/>
        <w:jc w:val="both"/>
        <w:rPr>
          <w:rFonts w:ascii="Times New Roman" w:hAnsi="Times New Roman" w:cs="Times New Roman"/>
          <w:b/>
          <w:sz w:val="24"/>
          <w:szCs w:val="24"/>
        </w:rPr>
      </w:pPr>
      <w:r w:rsidRPr="00AC25C0">
        <w:rPr>
          <w:rFonts w:ascii="Times New Roman" w:hAnsi="Times New Roman" w:cs="Times New Roman"/>
          <w:b/>
          <w:sz w:val="24"/>
          <w:szCs w:val="24"/>
        </w:rPr>
        <w:t>Anguita sigue después dirigiéndose de forma muy dura a los jóvenes: “Los que estéis en vuestra casa y paséis de política, empezad a leer otras cosas. Soltad vuestro rollo. Creéis que sois rebeldes. No sois rebeldes. El rebelde es el que se cuestiona lo que hay. Porque le contestéis mal a vuestro padre o a vuestra madre eso es falta de educación, pero eso no es rebeldía”, subraya.</w:t>
      </w:r>
    </w:p>
    <w:p w:rsidR="00C50652" w:rsidRPr="00AC25C0" w:rsidRDefault="00C50652" w:rsidP="00C50652">
      <w:pPr>
        <w:spacing w:line="240" w:lineRule="auto"/>
        <w:jc w:val="both"/>
        <w:rPr>
          <w:rFonts w:ascii="Times New Roman" w:hAnsi="Times New Roman" w:cs="Times New Roman"/>
          <w:b/>
          <w:sz w:val="24"/>
          <w:szCs w:val="24"/>
        </w:rPr>
      </w:pPr>
      <w:r w:rsidRPr="00AC25C0">
        <w:rPr>
          <w:rFonts w:ascii="Times New Roman" w:hAnsi="Times New Roman" w:cs="Times New Roman"/>
          <w:b/>
          <w:sz w:val="24"/>
          <w:szCs w:val="24"/>
        </w:rPr>
        <w:t>“Así que rebeldes de pacotilla, leche. Lo puedo decir de otra manera, ya está bien. Porque los pantalones estos son los que molan. Déjate de historias. Podemos cambiar esto, pero así no lo vamos a cambiar nunca. Y hay que saber escuchar a otros, poner por delante la unidad aunque sea renunciando a cosas, días muy amargos, días muy tristes pero es así”, prosigue.</w:t>
      </w:r>
    </w:p>
    <w:p w:rsidR="00DC36AA" w:rsidRDefault="00C50652" w:rsidP="00C50652">
      <w:pPr>
        <w:spacing w:line="240" w:lineRule="auto"/>
        <w:jc w:val="both"/>
        <w:rPr>
          <w:rFonts w:ascii="Times New Roman" w:hAnsi="Times New Roman" w:cs="Times New Roman"/>
          <w:b/>
          <w:sz w:val="24"/>
          <w:szCs w:val="24"/>
        </w:rPr>
      </w:pPr>
      <w:r w:rsidRPr="00AC25C0">
        <w:rPr>
          <w:rFonts w:ascii="Times New Roman" w:hAnsi="Times New Roman" w:cs="Times New Roman"/>
          <w:b/>
          <w:sz w:val="24"/>
          <w:szCs w:val="24"/>
        </w:rPr>
        <w:t>Y remata de una forma rotunda: “A mí la pose rebelde me sienta muy mal. Estos que dicen... yo soy anarquista. Digo si te vieran los anarquistas de verdad te hubieran pegado ya tres hostias, perdón por la expresión, pero tres hostias porque te las mereces. Anarquista era Durruti, pregúntale si pasaba de todo”.</w:t>
      </w:r>
    </w:p>
    <w:p w:rsidR="00BE473A" w:rsidRPr="00DC36AA" w:rsidRDefault="008A5BC7" w:rsidP="00C50652">
      <w:pPr>
        <w:spacing w:line="240" w:lineRule="auto"/>
        <w:jc w:val="both"/>
        <w:rPr>
          <w:rFonts w:ascii="Times New Roman" w:hAnsi="Times New Roman" w:cs="Times New Roman"/>
          <w:b/>
          <w:sz w:val="24"/>
          <w:szCs w:val="24"/>
        </w:rPr>
      </w:pPr>
      <w:r w:rsidRPr="00B77091">
        <w:rPr>
          <w:rFonts w:ascii="Times New Roman" w:hAnsi="Times New Roman" w:cs="Times New Roman"/>
          <w:b/>
          <w:sz w:val="24"/>
          <w:szCs w:val="24"/>
        </w:rPr>
        <w:t>Nota</w:t>
      </w:r>
      <w:r w:rsidRPr="00B77091">
        <w:rPr>
          <w:rFonts w:ascii="Times New Roman" w:hAnsi="Times New Roman" w:cs="Times New Roman"/>
          <w:sz w:val="24"/>
          <w:szCs w:val="24"/>
        </w:rPr>
        <w:t>: se adjunta</w:t>
      </w:r>
      <w:r w:rsidRPr="00DC36AA">
        <w:rPr>
          <w:rFonts w:ascii="Times New Roman" w:hAnsi="Times New Roman" w:cs="Times New Roman"/>
          <w:b/>
          <w:sz w:val="24"/>
          <w:szCs w:val="24"/>
        </w:rPr>
        <w:t>Anexo estadístico</w:t>
      </w:r>
      <w:r w:rsidR="00B77091" w:rsidRPr="00B77091">
        <w:rPr>
          <w:rFonts w:ascii="Times New Roman" w:hAnsi="Times New Roman" w:cs="Times New Roman"/>
          <w:sz w:val="24"/>
          <w:szCs w:val="24"/>
        </w:rPr>
        <w:t>, con</w:t>
      </w:r>
      <w:r w:rsidR="00FD1CC5">
        <w:rPr>
          <w:rFonts w:ascii="Times New Roman" w:hAnsi="Times New Roman" w:cs="Times New Roman"/>
          <w:sz w:val="24"/>
          <w:szCs w:val="24"/>
        </w:rPr>
        <w:t xml:space="preserve"> una</w:t>
      </w:r>
      <w:r w:rsidR="00B77091" w:rsidRPr="00B77091">
        <w:rPr>
          <w:rFonts w:ascii="Times New Roman" w:hAnsi="Times New Roman" w:cs="Times New Roman"/>
          <w:sz w:val="24"/>
          <w:szCs w:val="24"/>
        </w:rPr>
        <w:t xml:space="preserve"> selección y resumen de informes de organismos internacionales</w:t>
      </w:r>
      <w:r w:rsidR="00B77091">
        <w:rPr>
          <w:rFonts w:ascii="Times New Roman" w:hAnsi="Times New Roman" w:cs="Times New Roman"/>
          <w:sz w:val="24"/>
          <w:szCs w:val="24"/>
        </w:rPr>
        <w:t>, sobre temas de empleo juvenil, educación</w:t>
      </w:r>
      <w:r w:rsidR="00FD1CC5">
        <w:rPr>
          <w:rFonts w:ascii="Times New Roman" w:hAnsi="Times New Roman" w:cs="Times New Roman"/>
          <w:sz w:val="24"/>
          <w:szCs w:val="24"/>
        </w:rPr>
        <w:t xml:space="preserve">, acceso a la vivienda, e ingresos. </w:t>
      </w:r>
    </w:p>
    <w:p w:rsidR="00C00CA5" w:rsidRDefault="00C00CA5" w:rsidP="00BE473A">
      <w:pPr>
        <w:spacing w:line="240" w:lineRule="auto"/>
        <w:jc w:val="both"/>
        <w:rPr>
          <w:rFonts w:ascii="Times New Roman" w:hAnsi="Times New Roman" w:cs="Times New Roman"/>
          <w:b/>
          <w:bCs/>
          <w:sz w:val="24"/>
          <w:szCs w:val="24"/>
          <w:shd w:val="clear" w:color="auto" w:fill="FFFFFF"/>
        </w:rPr>
      </w:pPr>
    </w:p>
    <w:p w:rsidR="00C00CA5" w:rsidRDefault="00C00CA5" w:rsidP="00BE473A">
      <w:pPr>
        <w:spacing w:line="240" w:lineRule="auto"/>
        <w:jc w:val="both"/>
        <w:rPr>
          <w:rFonts w:ascii="Times New Roman" w:hAnsi="Times New Roman" w:cs="Times New Roman"/>
          <w:b/>
          <w:bCs/>
          <w:sz w:val="24"/>
          <w:szCs w:val="24"/>
          <w:shd w:val="clear" w:color="auto" w:fill="FFFFFF"/>
        </w:rPr>
      </w:pPr>
    </w:p>
    <w:p w:rsidR="00BE473A" w:rsidRPr="007C4777" w:rsidRDefault="00BE473A" w:rsidP="00BE473A">
      <w:pPr>
        <w:spacing w:line="240" w:lineRule="auto"/>
        <w:jc w:val="both"/>
        <w:rPr>
          <w:rFonts w:ascii="Times New Roman" w:hAnsi="Times New Roman" w:cs="Times New Roman"/>
          <w:sz w:val="24"/>
          <w:szCs w:val="24"/>
        </w:rPr>
      </w:pPr>
      <w:bookmarkStart w:id="0" w:name="_GoBack"/>
      <w:bookmarkEnd w:id="0"/>
      <w:r w:rsidRPr="00B514A0">
        <w:rPr>
          <w:rFonts w:ascii="Times New Roman" w:hAnsi="Times New Roman" w:cs="Times New Roman"/>
          <w:b/>
          <w:bCs/>
          <w:sz w:val="24"/>
          <w:szCs w:val="24"/>
          <w:shd w:val="clear" w:color="auto" w:fill="FFFFFF"/>
        </w:rPr>
        <w:lastRenderedPageBreak/>
        <w:t>- Anexo: Informes de organismos internacionales (</w:t>
      </w:r>
      <w:r>
        <w:rPr>
          <w:rFonts w:ascii="Times New Roman" w:hAnsi="Times New Roman" w:cs="Times New Roman"/>
          <w:b/>
          <w:bCs/>
          <w:sz w:val="24"/>
          <w:szCs w:val="24"/>
          <w:shd w:val="clear" w:color="auto" w:fill="FFFFFF"/>
        </w:rPr>
        <w:t>selección y resumen)</w:t>
      </w:r>
    </w:p>
    <w:p w:rsidR="00BE473A" w:rsidRPr="00BE473A" w:rsidRDefault="00BE473A" w:rsidP="00BE473A">
      <w:pPr>
        <w:spacing w:line="240" w:lineRule="auto"/>
        <w:jc w:val="both"/>
        <w:rPr>
          <w:rFonts w:ascii="Times New Roman" w:hAnsi="Times New Roman" w:cs="Times New Roman"/>
          <w:sz w:val="24"/>
          <w:szCs w:val="24"/>
          <w:lang w:val="en-US"/>
        </w:rPr>
      </w:pPr>
      <w:r w:rsidRPr="00BE473A">
        <w:rPr>
          <w:rFonts w:ascii="Times New Roman" w:hAnsi="Times New Roman" w:cs="Times New Roman"/>
          <w:b/>
          <w:bCs/>
          <w:sz w:val="24"/>
          <w:szCs w:val="24"/>
          <w:shd w:val="clear" w:color="auto" w:fill="FFFFFF"/>
          <w:lang w:val="en-US"/>
        </w:rPr>
        <w:t>Housing Taxation in OECD Countries (Julio 2022)</w:t>
      </w:r>
    </w:p>
    <w:p w:rsidR="00BE473A" w:rsidRPr="00715798" w:rsidRDefault="00BE473A" w:rsidP="00BE473A">
      <w:pPr>
        <w:shd w:val="clear" w:color="auto" w:fill="FFFFFF"/>
        <w:spacing w:before="384" w:after="240" w:line="240" w:lineRule="auto"/>
        <w:ind w:left="-450" w:firstLine="450"/>
        <w:jc w:val="both"/>
        <w:outlineLvl w:val="0"/>
        <w:rPr>
          <w:rFonts w:ascii="Times New Roman" w:eastAsia="Times New Roman" w:hAnsi="Times New Roman" w:cs="Times New Roman"/>
          <w:b/>
          <w:bCs/>
          <w:kern w:val="36"/>
          <w:sz w:val="24"/>
          <w:szCs w:val="24"/>
          <w:lang w:val="en-US" w:eastAsia="es-ES"/>
        </w:rPr>
      </w:pPr>
      <w:r w:rsidRPr="00715798">
        <w:rPr>
          <w:rFonts w:ascii="Times New Roman" w:eastAsia="Times New Roman" w:hAnsi="Times New Roman" w:cs="Times New Roman"/>
          <w:b/>
          <w:bCs/>
          <w:kern w:val="36"/>
          <w:sz w:val="24"/>
          <w:szCs w:val="24"/>
          <w:lang w:val="en-US" w:eastAsia="es-ES"/>
        </w:rPr>
        <w:t>Executive Summary</w:t>
      </w:r>
    </w:p>
    <w:p w:rsidR="00BE473A" w:rsidRPr="00715798" w:rsidRDefault="00BE473A" w:rsidP="00BE473A">
      <w:pPr>
        <w:shd w:val="clear" w:color="auto" w:fill="FFFFFF"/>
        <w:spacing w:before="168" w:after="168" w:line="240" w:lineRule="auto"/>
        <w:jc w:val="both"/>
        <w:rPr>
          <w:rFonts w:ascii="Times New Roman" w:eastAsia="Times New Roman" w:hAnsi="Times New Roman" w:cs="Times New Roman"/>
          <w:color w:val="333333"/>
          <w:sz w:val="24"/>
          <w:szCs w:val="24"/>
          <w:lang w:val="en-US" w:eastAsia="es-ES"/>
        </w:rPr>
      </w:pPr>
      <w:r w:rsidRPr="00715798">
        <w:rPr>
          <w:rFonts w:ascii="Times New Roman" w:eastAsia="Times New Roman" w:hAnsi="Times New Roman" w:cs="Times New Roman"/>
          <w:b/>
          <w:bCs/>
          <w:color w:val="333333"/>
          <w:sz w:val="24"/>
          <w:szCs w:val="24"/>
          <w:lang w:val="en-US" w:eastAsia="es-ES"/>
        </w:rPr>
        <w:t>Housing plays a central role in our lives. </w:t>
      </w:r>
      <w:r w:rsidRPr="00715798">
        <w:rPr>
          <w:rFonts w:ascii="Times New Roman" w:eastAsia="Times New Roman" w:hAnsi="Times New Roman" w:cs="Times New Roman"/>
          <w:color w:val="333333"/>
          <w:sz w:val="24"/>
          <w:szCs w:val="24"/>
          <w:lang w:val="en-US" w:eastAsia="es-ES"/>
        </w:rPr>
        <w:t>Access to shelter is a basic human need and a key determinant of individual welfare. Access to well-located, quality housing shapes people’s social lives as well as their access to health care, education, job opportunities and recreational activities. Housing also affects well-being on a daily basis as the home is the centre of family life and increasingly of professional life, with the widespread adoption of teleworking during the COVID-19 pandemic. In OECD countries, housing is on average the single-largest expenditure item across all income groups and has accounted for an ever-larger share of total household expenditure in recent years.</w:t>
      </w:r>
    </w:p>
    <w:p w:rsidR="00BE473A" w:rsidRPr="00715798" w:rsidRDefault="00BE473A" w:rsidP="00BE473A">
      <w:pPr>
        <w:shd w:val="clear" w:color="auto" w:fill="FFFFFF"/>
        <w:spacing w:before="168" w:after="168" w:line="240" w:lineRule="auto"/>
        <w:jc w:val="both"/>
        <w:rPr>
          <w:rFonts w:ascii="Times New Roman" w:eastAsia="Times New Roman" w:hAnsi="Times New Roman" w:cs="Times New Roman"/>
          <w:color w:val="333333"/>
          <w:sz w:val="24"/>
          <w:szCs w:val="24"/>
          <w:lang w:val="en-US" w:eastAsia="es-ES"/>
        </w:rPr>
      </w:pPr>
      <w:r w:rsidRPr="00715798">
        <w:rPr>
          <w:rFonts w:ascii="Times New Roman" w:eastAsia="Times New Roman" w:hAnsi="Times New Roman" w:cs="Times New Roman"/>
          <w:b/>
          <w:bCs/>
          <w:color w:val="333333"/>
          <w:sz w:val="24"/>
          <w:szCs w:val="24"/>
          <w:lang w:val="en-US" w:eastAsia="es-ES"/>
        </w:rPr>
        <w:t>Housing also constitutes households’ largest lifetime investment and the majority of their wealth, though its significance varies across countries.</w:t>
      </w:r>
      <w:r w:rsidRPr="00715798">
        <w:rPr>
          <w:rFonts w:ascii="Times New Roman" w:eastAsia="Times New Roman" w:hAnsi="Times New Roman" w:cs="Times New Roman"/>
          <w:color w:val="333333"/>
          <w:sz w:val="24"/>
          <w:szCs w:val="24"/>
          <w:lang w:val="en-US" w:eastAsia="es-ES"/>
        </w:rPr>
        <w:t> Housing is a key vehicle for wealth accumulation and is a particularly important asset for middle-class households. In OECD countries, owner-occupied housing accounts on average for 50% of total household wealth across all households and for more than 60% of middle-class wealth. However, the importance of housing varies widely across countries. For instance, homeownership rates range from 44% (Germany) to 93% (Lithuania), while housing wealth (including both owner-occupied and secondary housing) accounts for at least 80% of total household wealth in Chile, Latvia, Lithuania, and Greece, but less than 40% in the United States and New Zealand.</w:t>
      </w:r>
    </w:p>
    <w:p w:rsidR="00BE473A" w:rsidRPr="00715798" w:rsidRDefault="00BE473A" w:rsidP="00BE473A">
      <w:pPr>
        <w:shd w:val="clear" w:color="auto" w:fill="FFFFFF"/>
        <w:spacing w:before="168" w:after="168" w:line="240" w:lineRule="auto"/>
        <w:jc w:val="both"/>
        <w:rPr>
          <w:rFonts w:ascii="Times New Roman" w:eastAsia="Times New Roman" w:hAnsi="Times New Roman" w:cs="Times New Roman"/>
          <w:color w:val="333333"/>
          <w:sz w:val="24"/>
          <w:szCs w:val="24"/>
          <w:lang w:val="en-US" w:eastAsia="es-ES"/>
        </w:rPr>
      </w:pPr>
      <w:r w:rsidRPr="00715798">
        <w:rPr>
          <w:rFonts w:ascii="Times New Roman" w:eastAsia="Times New Roman" w:hAnsi="Times New Roman" w:cs="Times New Roman"/>
          <w:b/>
          <w:bCs/>
          <w:color w:val="333333"/>
          <w:sz w:val="24"/>
          <w:szCs w:val="24"/>
          <w:lang w:val="en-US" w:eastAsia="es-ES"/>
        </w:rPr>
        <w:t>While more equally distributed than financial assets, housing wealth remains concentrated among high-income, high-wealth and older households. </w:t>
      </w:r>
      <w:r w:rsidRPr="00715798">
        <w:rPr>
          <w:rFonts w:ascii="Times New Roman" w:eastAsia="Times New Roman" w:hAnsi="Times New Roman" w:cs="Times New Roman"/>
          <w:color w:val="333333"/>
          <w:sz w:val="24"/>
          <w:szCs w:val="24"/>
          <w:lang w:val="en-US" w:eastAsia="es-ES"/>
        </w:rPr>
        <w:t>High-wealth households, and to a lesser extent high-income households, own a disproportionately large share of owner-occupied housing wealth and own the majority of secondary housing wealth. High-income households also hold a disproportionate share of housing debt, although lower-income households with mortgages generally face higher relative debt burdens. Homeownership and housing wealth are also strongly associated with age, with older households holding more housing wealth and representing a far greater proportion of homeowners.</w:t>
      </w:r>
    </w:p>
    <w:p w:rsidR="00BE473A" w:rsidRPr="00715798" w:rsidRDefault="00BE473A" w:rsidP="00BE473A">
      <w:pPr>
        <w:shd w:val="clear" w:color="auto" w:fill="FFFFFF"/>
        <w:spacing w:before="168" w:after="168" w:line="240" w:lineRule="auto"/>
        <w:jc w:val="both"/>
        <w:rPr>
          <w:rFonts w:ascii="Times New Roman" w:eastAsia="Times New Roman" w:hAnsi="Times New Roman" w:cs="Times New Roman"/>
          <w:color w:val="333333"/>
          <w:sz w:val="24"/>
          <w:szCs w:val="24"/>
          <w:lang w:val="en-US" w:eastAsia="es-ES"/>
        </w:rPr>
      </w:pPr>
      <w:r w:rsidRPr="00715798">
        <w:rPr>
          <w:rFonts w:ascii="Times New Roman" w:eastAsia="Times New Roman" w:hAnsi="Times New Roman" w:cs="Times New Roman"/>
          <w:b/>
          <w:bCs/>
          <w:color w:val="333333"/>
          <w:sz w:val="24"/>
          <w:szCs w:val="24"/>
          <w:lang w:val="en-US" w:eastAsia="es-ES"/>
        </w:rPr>
        <w:t>Recent decades have seen unprecedented growth in house prices, making housing market access increasingly difficult for younger generations.</w:t>
      </w:r>
      <w:r w:rsidRPr="00715798">
        <w:rPr>
          <w:rFonts w:ascii="Times New Roman" w:eastAsia="Times New Roman" w:hAnsi="Times New Roman" w:cs="Times New Roman"/>
          <w:color w:val="333333"/>
          <w:sz w:val="24"/>
          <w:szCs w:val="24"/>
          <w:lang w:val="en-US" w:eastAsia="es-ES"/>
        </w:rPr>
        <w:t> Despite some fluctuations, house prices have seen a strong and continuous growth over the past century, with a rapid acceleration in house price increases in the last 30 years and even sharper growth during the COVID-19 pandemic. House price growth has been uneven across regions, however, with much more significant rises in large metropolitan areas. House price inflation, particularly in urban areas, has been driven by a combination of factors constraining housing supply (e.g. limited space in highly urbanised areas, land use and zoning regulations, rising construction costs) and stimulating demand (e.g. demographic changes, low interest rates, globalisation). Declining housing affordability poses a particular challenge to younger households, with evidence that homeownership rates have been declining for younger cohorts over time, particularly among those with lower income and wealth.</w:t>
      </w:r>
    </w:p>
    <w:p w:rsidR="00BE473A" w:rsidRPr="00715798" w:rsidRDefault="00BE473A" w:rsidP="00BE473A">
      <w:pPr>
        <w:shd w:val="clear" w:color="auto" w:fill="FFFFFF"/>
        <w:spacing w:before="168" w:after="168" w:line="240" w:lineRule="auto"/>
        <w:jc w:val="both"/>
        <w:rPr>
          <w:rFonts w:ascii="Times New Roman" w:eastAsia="Times New Roman" w:hAnsi="Times New Roman" w:cs="Times New Roman"/>
          <w:color w:val="333333"/>
          <w:sz w:val="24"/>
          <w:szCs w:val="24"/>
          <w:lang w:val="en-US" w:eastAsia="es-ES"/>
        </w:rPr>
      </w:pPr>
      <w:r w:rsidRPr="00715798">
        <w:rPr>
          <w:rFonts w:ascii="Times New Roman" w:eastAsia="Times New Roman" w:hAnsi="Times New Roman" w:cs="Times New Roman"/>
          <w:b/>
          <w:bCs/>
          <w:color w:val="333333"/>
          <w:sz w:val="24"/>
          <w:szCs w:val="24"/>
          <w:lang w:val="en-US" w:eastAsia="es-ES"/>
        </w:rPr>
        <w:t>Housing also has wide-ranging environmental impacts.</w:t>
      </w:r>
      <w:r w:rsidRPr="00715798">
        <w:rPr>
          <w:rFonts w:ascii="Times New Roman" w:eastAsia="Times New Roman" w:hAnsi="Times New Roman" w:cs="Times New Roman"/>
          <w:color w:val="333333"/>
          <w:sz w:val="24"/>
          <w:szCs w:val="24"/>
          <w:lang w:val="en-US" w:eastAsia="es-ES"/>
        </w:rPr>
        <w:t> The residential sector has a significant carbon footprint, accounting for around 22% of global final energy consumption and 17% of energy-related CO</w:t>
      </w:r>
      <w:r w:rsidRPr="00715798">
        <w:rPr>
          <w:rFonts w:ascii="Times New Roman" w:eastAsia="Times New Roman" w:hAnsi="Times New Roman" w:cs="Times New Roman"/>
          <w:color w:val="333333"/>
          <w:sz w:val="24"/>
          <w:szCs w:val="24"/>
          <w:vertAlign w:val="subscript"/>
          <w:lang w:val="en-US" w:eastAsia="es-ES"/>
        </w:rPr>
        <w:t>2</w:t>
      </w:r>
      <w:r w:rsidRPr="00715798">
        <w:rPr>
          <w:rFonts w:ascii="Times New Roman" w:eastAsia="Times New Roman" w:hAnsi="Times New Roman" w:cs="Times New Roman"/>
          <w:color w:val="333333"/>
          <w:sz w:val="24"/>
          <w:szCs w:val="24"/>
          <w:lang w:val="en-US" w:eastAsia="es-ES"/>
        </w:rPr>
        <w:t xml:space="preserve"> emissions, with the bulk of the housing sector’s energy </w:t>
      </w:r>
      <w:r w:rsidRPr="00715798">
        <w:rPr>
          <w:rFonts w:ascii="Times New Roman" w:eastAsia="Times New Roman" w:hAnsi="Times New Roman" w:cs="Times New Roman"/>
          <w:color w:val="333333"/>
          <w:sz w:val="24"/>
          <w:szCs w:val="24"/>
          <w:lang w:val="en-US" w:eastAsia="es-ES"/>
        </w:rPr>
        <w:lastRenderedPageBreak/>
        <w:t>consumption originating from heating. Housing is</w:t>
      </w:r>
      <w:r w:rsidRPr="00715798">
        <w:rPr>
          <w:rFonts w:ascii="Times New Roman" w:eastAsia="Times New Roman" w:hAnsi="Times New Roman" w:cs="Times New Roman"/>
          <w:b/>
          <w:bCs/>
          <w:color w:val="333333"/>
          <w:sz w:val="24"/>
          <w:szCs w:val="24"/>
          <w:lang w:val="en-US" w:eastAsia="es-ES"/>
        </w:rPr>
        <w:t> </w:t>
      </w:r>
      <w:r w:rsidRPr="00715798">
        <w:rPr>
          <w:rFonts w:ascii="Times New Roman" w:eastAsia="Times New Roman" w:hAnsi="Times New Roman" w:cs="Times New Roman"/>
          <w:color w:val="333333"/>
          <w:sz w:val="24"/>
          <w:szCs w:val="24"/>
          <w:lang w:val="en-US" w:eastAsia="es-ES"/>
        </w:rPr>
        <w:t>also a significant source of fine particulate matter.</w:t>
      </w:r>
      <w:r w:rsidRPr="00715798">
        <w:rPr>
          <w:rFonts w:ascii="Times New Roman" w:eastAsia="Times New Roman" w:hAnsi="Times New Roman" w:cs="Times New Roman"/>
          <w:b/>
          <w:bCs/>
          <w:color w:val="333333"/>
          <w:sz w:val="24"/>
          <w:szCs w:val="24"/>
          <w:lang w:val="en-US" w:eastAsia="es-ES"/>
        </w:rPr>
        <w:t> </w:t>
      </w:r>
      <w:r w:rsidRPr="00715798">
        <w:rPr>
          <w:rFonts w:ascii="Times New Roman" w:eastAsia="Times New Roman" w:hAnsi="Times New Roman" w:cs="Times New Roman"/>
          <w:color w:val="333333"/>
          <w:sz w:val="24"/>
          <w:szCs w:val="24"/>
          <w:lang w:val="en-US" w:eastAsia="es-ES"/>
        </w:rPr>
        <w:t>Housing has wider environmental impacts on land use and biodiversity, for instance through the loss of rural lands and the fragmentation of natural habitats, as well as on transport and water consumption.</w:t>
      </w:r>
    </w:p>
    <w:p w:rsidR="00BE473A" w:rsidRPr="00715798" w:rsidRDefault="00BE473A" w:rsidP="00BE473A">
      <w:pPr>
        <w:shd w:val="clear" w:color="auto" w:fill="FFFFFF"/>
        <w:spacing w:before="168" w:after="168" w:line="240" w:lineRule="auto"/>
        <w:jc w:val="both"/>
        <w:rPr>
          <w:rFonts w:ascii="Times New Roman" w:eastAsia="Times New Roman" w:hAnsi="Times New Roman" w:cs="Times New Roman"/>
          <w:color w:val="333333"/>
          <w:sz w:val="24"/>
          <w:szCs w:val="24"/>
          <w:lang w:val="en-US" w:eastAsia="es-ES"/>
        </w:rPr>
      </w:pPr>
      <w:r w:rsidRPr="00715798">
        <w:rPr>
          <w:rFonts w:ascii="Times New Roman" w:eastAsia="Times New Roman" w:hAnsi="Times New Roman" w:cs="Times New Roman"/>
          <w:b/>
          <w:bCs/>
          <w:color w:val="333333"/>
          <w:sz w:val="24"/>
          <w:szCs w:val="24"/>
          <w:lang w:val="en-US" w:eastAsia="es-ES"/>
        </w:rPr>
        <w:t>Housing taxes are of growing importance given the pressure on governments to raise revenues, improve the functioning of housing markets, and combat inequality. </w:t>
      </w:r>
      <w:r w:rsidRPr="00715798">
        <w:rPr>
          <w:rFonts w:ascii="Times New Roman" w:eastAsia="Times New Roman" w:hAnsi="Times New Roman" w:cs="Times New Roman"/>
          <w:color w:val="333333"/>
          <w:sz w:val="24"/>
          <w:szCs w:val="24"/>
          <w:lang w:val="en-US" w:eastAsia="es-ES"/>
        </w:rPr>
        <w:t>As they emerge from the COVID-19 pandemic, many countries are looking to restore public finances by raising tax revenues while supporting the economic recovery. Many governments are also under increasing pressure to address rising inequality and declining housing affordability, which is more acutely affecting low-income and young households. In addition, in the context of growing international mobility of both capital and people, governments may aim to raise more revenues from less mobile tax bases, in particular real estate. This increased attention on housing taxes reinforces the need to design them effectively and fairly.</w:t>
      </w:r>
    </w:p>
    <w:p w:rsidR="00BE473A" w:rsidRPr="00715798" w:rsidRDefault="00BE473A" w:rsidP="00BE473A">
      <w:pPr>
        <w:shd w:val="clear" w:color="auto" w:fill="FFFFFF"/>
        <w:spacing w:before="168" w:after="168" w:line="240" w:lineRule="auto"/>
        <w:jc w:val="both"/>
        <w:rPr>
          <w:rFonts w:ascii="Times New Roman" w:eastAsia="Times New Roman" w:hAnsi="Times New Roman" w:cs="Times New Roman"/>
          <w:color w:val="333333"/>
          <w:sz w:val="24"/>
          <w:szCs w:val="24"/>
          <w:lang w:val="en-US" w:eastAsia="es-ES"/>
        </w:rPr>
      </w:pPr>
      <w:r w:rsidRPr="00715798">
        <w:rPr>
          <w:rFonts w:ascii="Times New Roman" w:eastAsia="Times New Roman" w:hAnsi="Times New Roman" w:cs="Times New Roman"/>
          <w:b/>
          <w:bCs/>
          <w:color w:val="333333"/>
          <w:sz w:val="24"/>
          <w:szCs w:val="24"/>
          <w:lang w:val="en-US" w:eastAsia="es-ES"/>
        </w:rPr>
        <w:t>Housing taxation already plays an important role in the OECD, with countries levying a wide range of taxes on immovable property.</w:t>
      </w:r>
      <w:r w:rsidRPr="00715798">
        <w:rPr>
          <w:rFonts w:ascii="Times New Roman" w:eastAsia="Times New Roman" w:hAnsi="Times New Roman" w:cs="Times New Roman"/>
          <w:color w:val="333333"/>
          <w:sz w:val="24"/>
          <w:szCs w:val="24"/>
          <w:lang w:val="en-US" w:eastAsia="es-ES"/>
        </w:rPr>
        <w:t> All OECD countries (though not all sub-central governments) levy recurrent taxes on immovable property. Owners of rental properties are taxed on their rental income and, in a minority of countries, owner-occupiers are taxed on imputed rent. Transaction taxes are also commonly levied upon housing purchases and capital gains taxes are levied on the disposal of housing, although many countries exempt capital gains on the sales of main residences. Inheritance and gift taxes may also be levied when immovable property is transferred to heirs.</w:t>
      </w:r>
    </w:p>
    <w:p w:rsidR="00BE473A" w:rsidRPr="00715798" w:rsidRDefault="00BE473A" w:rsidP="00BE473A">
      <w:pPr>
        <w:shd w:val="clear" w:color="auto" w:fill="FFFFFF"/>
        <w:spacing w:before="168" w:after="168" w:line="240" w:lineRule="auto"/>
        <w:jc w:val="both"/>
        <w:rPr>
          <w:rFonts w:ascii="Times New Roman" w:eastAsia="Times New Roman" w:hAnsi="Times New Roman" w:cs="Times New Roman"/>
          <w:color w:val="333333"/>
          <w:sz w:val="24"/>
          <w:szCs w:val="24"/>
          <w:lang w:val="en-US" w:eastAsia="es-ES"/>
        </w:rPr>
      </w:pPr>
      <w:r w:rsidRPr="00715798">
        <w:rPr>
          <w:rFonts w:ascii="Times New Roman" w:eastAsia="Times New Roman" w:hAnsi="Times New Roman" w:cs="Times New Roman"/>
          <w:b/>
          <w:bCs/>
          <w:color w:val="333333"/>
          <w:sz w:val="24"/>
          <w:szCs w:val="24"/>
          <w:lang w:val="en-US" w:eastAsia="es-ES"/>
        </w:rPr>
        <w:t>Nevertheless, the report finds that the way housing taxes are designed often reduces their efficiency, equity and revenue potential. </w:t>
      </w:r>
      <w:r w:rsidRPr="00715798">
        <w:rPr>
          <w:rFonts w:ascii="Times New Roman" w:eastAsia="Times New Roman" w:hAnsi="Times New Roman" w:cs="Times New Roman"/>
          <w:color w:val="333333"/>
          <w:sz w:val="24"/>
          <w:szCs w:val="24"/>
          <w:lang w:val="en-US" w:eastAsia="es-ES"/>
        </w:rPr>
        <w:t>Many countries still levy recurrent property taxes on outdated property values, which significantly reduces their revenue potential (as revenues have not risen in line with property values), their equity (as households whose properties have increased in value may not be paying more tax), as well as their economic efficiency (as property taxes levied on outdated values provide incentives for people to remain in housing that is subject to a lower outdated valuation, even if it no longer suits their needs). Reliance on transaction taxes is high, despite the potential for these taxes to reduce residential, and to some extent, labour mobility. The majority of countries fully exempt capital gains on main residences, and while there may be justification for such an approach, an uncapped exemption provides vastly greater benefits to the wealthiest households and further distorts the allocation of savings in favour of owner-occupied housing. Other forms of tax relief for owner-occupied housing, in particular mortgage interest relief, have been found to be regressive and ineffective at raising homeownership rates. In some countries, features of rental income taxation and inheritance tax rules applying to housing also reduce progressivity and revenue potential. The assessment also shows that, while housing taxes are viewed as harder to avoid and evade than other taxes, tax systems often leave room for such behaviours, reducing the efficiency, fairness and revenues of housing taxes.</w:t>
      </w:r>
    </w:p>
    <w:p w:rsidR="00BE473A" w:rsidRPr="00715798" w:rsidRDefault="00BE473A" w:rsidP="00BE473A">
      <w:pPr>
        <w:shd w:val="clear" w:color="auto" w:fill="FFFFFF"/>
        <w:spacing w:before="168" w:after="168" w:line="240" w:lineRule="auto"/>
        <w:jc w:val="both"/>
        <w:rPr>
          <w:rFonts w:ascii="Times New Roman" w:eastAsia="Times New Roman" w:hAnsi="Times New Roman" w:cs="Times New Roman"/>
          <w:color w:val="333333"/>
          <w:sz w:val="24"/>
          <w:szCs w:val="24"/>
          <w:lang w:val="en-US" w:eastAsia="es-ES"/>
        </w:rPr>
      </w:pPr>
      <w:r w:rsidRPr="00715798">
        <w:rPr>
          <w:rFonts w:ascii="Times New Roman" w:eastAsia="Times New Roman" w:hAnsi="Times New Roman" w:cs="Times New Roman"/>
          <w:b/>
          <w:bCs/>
          <w:color w:val="333333"/>
          <w:sz w:val="24"/>
          <w:szCs w:val="24"/>
          <w:lang w:val="en-US" w:eastAsia="es-ES"/>
        </w:rPr>
        <w:t>This report also finds that some housing tax policies may help address current housing market challenges, although tax policies may not always be the most effective tools.</w:t>
      </w:r>
      <w:r w:rsidRPr="00715798">
        <w:rPr>
          <w:rFonts w:ascii="Times New Roman" w:eastAsia="Times New Roman" w:hAnsi="Times New Roman" w:cs="Times New Roman"/>
          <w:color w:val="333333"/>
          <w:sz w:val="24"/>
          <w:szCs w:val="24"/>
          <w:lang w:val="en-US" w:eastAsia="es-ES"/>
        </w:rPr>
        <w:t xml:space="preserve"> Tax policies may be used to address specific housing market challenges, such as significantly reducing the carbon footprint of housing, encouraging a more efficient use of land and housing, and boosting the supply of affordable housing. However, tax policies may sometimes be a blunt tool and may even be counterproductive under certain circumstances. In particular, where tax relief is intended to encourage homeownership, it can sometimes contribute to raising house prices and redistributing wealth to current homeowners if housing supply is fixed. Even where tax policies can play a positive role (e.g. vacant home taxes, tax </w:t>
      </w:r>
      <w:r w:rsidRPr="00715798">
        <w:rPr>
          <w:rFonts w:ascii="Times New Roman" w:eastAsia="Times New Roman" w:hAnsi="Times New Roman" w:cs="Times New Roman"/>
          <w:color w:val="333333"/>
          <w:sz w:val="24"/>
          <w:szCs w:val="24"/>
          <w:lang w:val="en-US" w:eastAsia="es-ES"/>
        </w:rPr>
        <w:lastRenderedPageBreak/>
        <w:t>incentives for energy-efficient housing renovations), they may not necessarily be as effective as alternative policy instruments (e.g. regulations) and will generally need to be complemented by other policy measures.</w:t>
      </w:r>
    </w:p>
    <w:p w:rsidR="00BE473A" w:rsidRPr="00715798" w:rsidRDefault="00BE473A" w:rsidP="00BE473A">
      <w:pPr>
        <w:shd w:val="clear" w:color="auto" w:fill="FFFFFF"/>
        <w:spacing w:before="168" w:after="168" w:line="240" w:lineRule="auto"/>
        <w:jc w:val="both"/>
        <w:rPr>
          <w:rFonts w:ascii="Times New Roman" w:eastAsia="Times New Roman" w:hAnsi="Times New Roman" w:cs="Times New Roman"/>
          <w:color w:val="333333"/>
          <w:sz w:val="24"/>
          <w:szCs w:val="24"/>
          <w:lang w:val="en-US" w:eastAsia="es-ES"/>
        </w:rPr>
      </w:pPr>
      <w:r w:rsidRPr="00715798">
        <w:rPr>
          <w:rFonts w:ascii="Times New Roman" w:eastAsia="Times New Roman" w:hAnsi="Times New Roman" w:cs="Times New Roman"/>
          <w:b/>
          <w:bCs/>
          <w:color w:val="333333"/>
          <w:sz w:val="24"/>
          <w:szCs w:val="24"/>
          <w:lang w:val="en-US" w:eastAsia="es-ES"/>
        </w:rPr>
        <w:t>The report identifies a number of reform options that countries could consider to simultaneously enhance the efficiency, equity and revenue potential of housing taxes.</w:t>
      </w:r>
      <w:r w:rsidRPr="00715798">
        <w:rPr>
          <w:rFonts w:ascii="Times New Roman" w:eastAsia="Times New Roman" w:hAnsi="Times New Roman" w:cs="Times New Roman"/>
          <w:color w:val="333333"/>
          <w:sz w:val="24"/>
          <w:szCs w:val="24"/>
          <w:lang w:val="en-US" w:eastAsia="es-ES"/>
        </w:rPr>
        <w:t> The report discusses a wide range of reform options that could help enhance the design, functioning and impact of housing taxes, which includes the following:</w:t>
      </w:r>
    </w:p>
    <w:p w:rsidR="00BE473A" w:rsidRPr="00715798" w:rsidRDefault="00BE473A" w:rsidP="00BE473A">
      <w:pPr>
        <w:numPr>
          <w:ilvl w:val="0"/>
          <w:numId w:val="3"/>
        </w:numPr>
        <w:shd w:val="clear" w:color="auto" w:fill="FFFFFF"/>
        <w:spacing w:after="48" w:line="240" w:lineRule="auto"/>
        <w:ind w:left="12" w:firstLine="0"/>
        <w:jc w:val="both"/>
        <w:rPr>
          <w:rFonts w:ascii="Times New Roman" w:eastAsia="Times New Roman" w:hAnsi="Times New Roman" w:cs="Times New Roman"/>
          <w:color w:val="333333"/>
          <w:sz w:val="24"/>
          <w:szCs w:val="24"/>
          <w:lang w:val="en-US" w:eastAsia="es-ES"/>
        </w:rPr>
      </w:pPr>
      <w:r w:rsidRPr="00715798">
        <w:rPr>
          <w:rFonts w:ascii="Times New Roman" w:eastAsia="Times New Roman" w:hAnsi="Times New Roman" w:cs="Times New Roman"/>
          <w:color w:val="333333"/>
          <w:sz w:val="24"/>
          <w:szCs w:val="24"/>
          <w:lang w:val="en-US" w:eastAsia="es-ES"/>
        </w:rPr>
        <w:t>Strengthening the role of recurrent taxes on immovable property, in particular by ensuring that they are levied on regularly updated property values, while lowering housing transaction taxes would increase efficiency in the housing market and improve vertical and horizontal equity.</w:t>
      </w:r>
    </w:p>
    <w:p w:rsidR="00BE473A" w:rsidRPr="00715798" w:rsidRDefault="00BE473A" w:rsidP="00BE473A">
      <w:pPr>
        <w:numPr>
          <w:ilvl w:val="0"/>
          <w:numId w:val="3"/>
        </w:numPr>
        <w:shd w:val="clear" w:color="auto" w:fill="FFFFFF"/>
        <w:spacing w:after="48" w:line="240" w:lineRule="auto"/>
        <w:ind w:left="12" w:firstLine="0"/>
        <w:jc w:val="both"/>
        <w:rPr>
          <w:rFonts w:ascii="Times New Roman" w:eastAsia="Times New Roman" w:hAnsi="Times New Roman" w:cs="Times New Roman"/>
          <w:color w:val="333333"/>
          <w:sz w:val="24"/>
          <w:szCs w:val="24"/>
          <w:lang w:val="en-US" w:eastAsia="es-ES"/>
        </w:rPr>
      </w:pPr>
      <w:r w:rsidRPr="00715798">
        <w:rPr>
          <w:rFonts w:ascii="Times New Roman" w:eastAsia="Times New Roman" w:hAnsi="Times New Roman" w:cs="Times New Roman"/>
          <w:color w:val="333333"/>
          <w:sz w:val="24"/>
          <w:szCs w:val="24"/>
          <w:lang w:val="en-US" w:eastAsia="es-ES"/>
        </w:rPr>
        <w:t>Considering capping the capital gains tax exemption on the sale of main residences to ensure that the highest-value gains are taxed would strengthen progressivity and reduce some of the upward pressure on house prices, while continuing to exempt capital gains on the main residence for the majority of households.</w:t>
      </w:r>
    </w:p>
    <w:p w:rsidR="00BE473A" w:rsidRPr="00715798" w:rsidRDefault="00BE473A" w:rsidP="00BE473A">
      <w:pPr>
        <w:numPr>
          <w:ilvl w:val="0"/>
          <w:numId w:val="3"/>
        </w:numPr>
        <w:shd w:val="clear" w:color="auto" w:fill="FFFFFF"/>
        <w:spacing w:after="48" w:line="240" w:lineRule="auto"/>
        <w:ind w:left="12" w:firstLine="0"/>
        <w:jc w:val="both"/>
        <w:rPr>
          <w:rFonts w:ascii="Times New Roman" w:eastAsia="Times New Roman" w:hAnsi="Times New Roman" w:cs="Times New Roman"/>
          <w:color w:val="333333"/>
          <w:sz w:val="24"/>
          <w:szCs w:val="24"/>
          <w:lang w:val="en-US" w:eastAsia="es-ES"/>
        </w:rPr>
      </w:pPr>
      <w:r w:rsidRPr="00715798">
        <w:rPr>
          <w:rFonts w:ascii="Times New Roman" w:eastAsia="Times New Roman" w:hAnsi="Times New Roman" w:cs="Times New Roman"/>
          <w:color w:val="333333"/>
          <w:sz w:val="24"/>
          <w:szCs w:val="24"/>
          <w:lang w:val="en-US" w:eastAsia="es-ES"/>
        </w:rPr>
        <w:t>Gradually removing or capping mortgage interest relief for owner-occupied housing would also have positive impacts on progressivity, tax revenues and house price affordability.</w:t>
      </w:r>
    </w:p>
    <w:p w:rsidR="00BE473A" w:rsidRPr="00715798" w:rsidRDefault="00BE473A" w:rsidP="00BE473A">
      <w:pPr>
        <w:numPr>
          <w:ilvl w:val="0"/>
          <w:numId w:val="3"/>
        </w:numPr>
        <w:shd w:val="clear" w:color="auto" w:fill="FFFFFF"/>
        <w:spacing w:after="48" w:line="240" w:lineRule="auto"/>
        <w:ind w:left="12" w:firstLine="0"/>
        <w:jc w:val="both"/>
        <w:rPr>
          <w:rFonts w:ascii="Times New Roman" w:eastAsia="Times New Roman" w:hAnsi="Times New Roman" w:cs="Times New Roman"/>
          <w:color w:val="333333"/>
          <w:sz w:val="24"/>
          <w:szCs w:val="24"/>
          <w:lang w:val="en-US" w:eastAsia="es-ES"/>
        </w:rPr>
      </w:pPr>
      <w:r w:rsidRPr="00715798">
        <w:rPr>
          <w:rFonts w:ascii="Times New Roman" w:eastAsia="Times New Roman" w:hAnsi="Times New Roman" w:cs="Times New Roman"/>
          <w:color w:val="333333"/>
          <w:sz w:val="24"/>
          <w:szCs w:val="24"/>
          <w:lang w:val="en-US" w:eastAsia="es-ES"/>
        </w:rPr>
        <w:t>Tax incentives for energy efficient housing renovations could be better targeted to ensure that they reach low-income households. This could contribute to greater emissions reductions and enhance the equity of tax incentive schemes.</w:t>
      </w:r>
    </w:p>
    <w:p w:rsidR="00BE473A" w:rsidRPr="00715798" w:rsidRDefault="00BE473A" w:rsidP="00BE473A">
      <w:pPr>
        <w:numPr>
          <w:ilvl w:val="0"/>
          <w:numId w:val="3"/>
        </w:numPr>
        <w:shd w:val="clear" w:color="auto" w:fill="FFFFFF"/>
        <w:spacing w:after="48" w:line="240" w:lineRule="auto"/>
        <w:ind w:left="12" w:firstLine="0"/>
        <w:jc w:val="both"/>
        <w:rPr>
          <w:rFonts w:ascii="Times New Roman" w:eastAsia="Times New Roman" w:hAnsi="Times New Roman" w:cs="Times New Roman"/>
          <w:color w:val="333333"/>
          <w:sz w:val="24"/>
          <w:szCs w:val="24"/>
          <w:lang w:val="en-US" w:eastAsia="es-ES"/>
        </w:rPr>
      </w:pPr>
      <w:r w:rsidRPr="00715798">
        <w:rPr>
          <w:rFonts w:ascii="Times New Roman" w:eastAsia="Times New Roman" w:hAnsi="Times New Roman" w:cs="Times New Roman"/>
          <w:color w:val="333333"/>
          <w:sz w:val="24"/>
          <w:szCs w:val="24"/>
          <w:lang w:val="en-US" w:eastAsia="es-ES"/>
        </w:rPr>
        <w:t>Caution should be exercised when considering tax incentives to encourage homeownership; in most cases, encouraging the supply of housing and promoting the more efficient use of existing housing stock through both tax and non-tax measures is likely to have a greater impact on housing affordability.</w:t>
      </w:r>
    </w:p>
    <w:p w:rsidR="00BE473A" w:rsidRPr="00715798" w:rsidRDefault="00BE473A" w:rsidP="00BE473A">
      <w:pPr>
        <w:numPr>
          <w:ilvl w:val="0"/>
          <w:numId w:val="3"/>
        </w:numPr>
        <w:shd w:val="clear" w:color="auto" w:fill="FFFFFF"/>
        <w:spacing w:after="48" w:line="240" w:lineRule="auto"/>
        <w:ind w:left="12" w:firstLine="0"/>
        <w:jc w:val="both"/>
        <w:rPr>
          <w:rFonts w:ascii="Times New Roman" w:eastAsia="Times New Roman" w:hAnsi="Times New Roman" w:cs="Times New Roman"/>
          <w:color w:val="333333"/>
          <w:sz w:val="24"/>
          <w:szCs w:val="24"/>
          <w:lang w:val="en-US" w:eastAsia="es-ES"/>
        </w:rPr>
      </w:pPr>
      <w:r w:rsidRPr="00715798">
        <w:rPr>
          <w:rFonts w:ascii="Times New Roman" w:eastAsia="Times New Roman" w:hAnsi="Times New Roman" w:cs="Times New Roman"/>
          <w:color w:val="333333"/>
          <w:sz w:val="24"/>
          <w:szCs w:val="24"/>
          <w:lang w:val="en-US" w:eastAsia="es-ES"/>
        </w:rPr>
        <w:t>Strengthened reporting requirements, including third-party reporting to the tax authority and international exchanges of information for tax purposes, are also key to ensuring that housing taxes are enforced properly.</w:t>
      </w:r>
    </w:p>
    <w:p w:rsidR="00BE473A" w:rsidRPr="00715798" w:rsidRDefault="00BE473A" w:rsidP="00BE473A">
      <w:pPr>
        <w:shd w:val="clear" w:color="auto" w:fill="FFFFFF"/>
        <w:spacing w:before="168" w:after="168" w:line="240" w:lineRule="auto"/>
        <w:jc w:val="both"/>
        <w:rPr>
          <w:rFonts w:ascii="Times New Roman" w:eastAsia="Times New Roman" w:hAnsi="Times New Roman" w:cs="Times New Roman"/>
          <w:color w:val="333333"/>
          <w:sz w:val="24"/>
          <w:szCs w:val="24"/>
          <w:lang w:val="en-US" w:eastAsia="es-ES"/>
        </w:rPr>
      </w:pPr>
      <w:r w:rsidRPr="00715798">
        <w:rPr>
          <w:rFonts w:ascii="Times New Roman" w:eastAsia="Times New Roman" w:hAnsi="Times New Roman" w:cs="Times New Roman"/>
          <w:b/>
          <w:bCs/>
          <w:color w:val="333333"/>
          <w:sz w:val="24"/>
          <w:szCs w:val="24"/>
          <w:lang w:val="en-US" w:eastAsia="es-ES"/>
        </w:rPr>
        <w:t>Any assessment of housing tax policies should take a holistic view of their interactions with other tax and non-tax policies and with housing market conditions. </w:t>
      </w:r>
      <w:r w:rsidRPr="00715798">
        <w:rPr>
          <w:rFonts w:ascii="Times New Roman" w:eastAsia="Times New Roman" w:hAnsi="Times New Roman" w:cs="Times New Roman"/>
          <w:color w:val="333333"/>
          <w:sz w:val="24"/>
          <w:szCs w:val="24"/>
          <w:lang w:val="en-US" w:eastAsia="es-ES"/>
        </w:rPr>
        <w:t>Interactions between different housing tax policies should be carefully assessed. For instance, residential mobility will be affected directly by both transaction taxes and capital gains taxes, and indirectly by the design of recurrent taxes on immovable property. Reforms aimed at enhancing mobility should therefore consider all three taxes. Carefully assessing interactions between taxes may also help identify cases where, before introducing new tax instruments, countries could consider reforming the design of existing housing taxes. For instance, there may be less need for special taxes to reduce speculation where short-term capital gains are adequately taxed. Similarly, a recurrent tax on immovable property based on regularly updated market values may reduce the need for tax instruments (e.g. infrastructure levies) aimed at capturing property value increases resulting from local public investments. Interactions between tax and non-tax policies are also key. There may be cases where non-tax policies may provide a more effective and equitable alternative to tax measures, especially when the goal is to promote housing affordability. There may also be cases where the success of tax measures depends on other policy settings or housing market conditions.</w:t>
      </w:r>
    </w:p>
    <w:p w:rsidR="00BE473A" w:rsidRPr="00715798" w:rsidRDefault="00BE473A" w:rsidP="00BE473A">
      <w:pPr>
        <w:shd w:val="clear" w:color="auto" w:fill="FFFFFF"/>
        <w:spacing w:before="168" w:after="168" w:line="240" w:lineRule="auto"/>
        <w:jc w:val="both"/>
        <w:rPr>
          <w:rFonts w:ascii="Times New Roman" w:eastAsia="Times New Roman" w:hAnsi="Times New Roman" w:cs="Times New Roman"/>
          <w:color w:val="333333"/>
          <w:sz w:val="24"/>
          <w:szCs w:val="24"/>
          <w:lang w:val="en-US" w:eastAsia="es-ES"/>
        </w:rPr>
      </w:pPr>
      <w:r w:rsidRPr="00715798">
        <w:rPr>
          <w:rFonts w:ascii="Times New Roman" w:eastAsia="Times New Roman" w:hAnsi="Times New Roman" w:cs="Times New Roman"/>
          <w:b/>
          <w:bCs/>
          <w:color w:val="333333"/>
          <w:sz w:val="24"/>
          <w:szCs w:val="24"/>
          <w:lang w:val="en-US" w:eastAsia="es-ES"/>
        </w:rPr>
        <w:t>Housing tax reforms require careful timing and consideration for their impact across different households.</w:t>
      </w:r>
      <w:r w:rsidRPr="00715798">
        <w:rPr>
          <w:rFonts w:ascii="Times New Roman" w:eastAsia="Times New Roman" w:hAnsi="Times New Roman" w:cs="Times New Roman"/>
          <w:color w:val="333333"/>
          <w:sz w:val="24"/>
          <w:szCs w:val="24"/>
          <w:lang w:val="en-US" w:eastAsia="es-ES"/>
        </w:rPr>
        <w:t xml:space="preserve"> Housing tax reforms can have a sizeable impact on house prices, with potentially significant distributional effects as well as wider financial and economic repercussions. A gradual implementation of reforms can help prevent negative </w:t>
      </w:r>
      <w:r w:rsidRPr="00715798">
        <w:rPr>
          <w:rFonts w:ascii="Times New Roman" w:eastAsia="Times New Roman" w:hAnsi="Times New Roman" w:cs="Times New Roman"/>
          <w:color w:val="333333"/>
          <w:sz w:val="24"/>
          <w:szCs w:val="24"/>
          <w:lang w:val="en-US" w:eastAsia="es-ES"/>
        </w:rPr>
        <w:lastRenderedPageBreak/>
        <w:t>macroeconomic shocks while also alleviating the adverse effects of reforms on specific groups of individuals, at least in the short run. Accompanying housing tax reforms with other tax or transfer measures may also help mitigate the impacts of some reforms on more vulnerable people and enhance the public acceptability and political feasibility of policy changes. Governments considering housing tax reforms should also be mindful of the evolution in the macroeconomic environment, in particular changes in interest rates and their potential impact on housing markets and households.</w:t>
      </w:r>
    </w:p>
    <w:p w:rsidR="00BE473A" w:rsidRPr="00715798" w:rsidRDefault="00BE473A" w:rsidP="00BE473A">
      <w:pPr>
        <w:shd w:val="clear" w:color="auto" w:fill="FFFFFF"/>
        <w:spacing w:before="168" w:after="168" w:line="240" w:lineRule="auto"/>
        <w:jc w:val="both"/>
        <w:rPr>
          <w:rFonts w:ascii="Times New Roman" w:eastAsia="Times New Roman" w:hAnsi="Times New Roman" w:cs="Times New Roman"/>
          <w:color w:val="333333"/>
          <w:sz w:val="24"/>
          <w:szCs w:val="24"/>
          <w:lang w:val="en-US" w:eastAsia="es-ES"/>
        </w:rPr>
      </w:pPr>
      <w:r w:rsidRPr="00715798">
        <w:rPr>
          <w:rStyle w:val="webprefix-num"/>
          <w:color w:val="333333"/>
          <w:sz w:val="24"/>
          <w:szCs w:val="24"/>
          <w:shd w:val="clear" w:color="auto" w:fill="FFFFFF"/>
          <w:lang w:val="en-US"/>
        </w:rPr>
        <w:t>Figure 1.1. </w:t>
      </w:r>
      <w:r w:rsidRPr="00715798">
        <w:rPr>
          <w:rFonts w:ascii="Times New Roman" w:hAnsi="Times New Roman" w:cs="Times New Roman"/>
          <w:b/>
          <w:bCs/>
          <w:color w:val="000000"/>
          <w:sz w:val="24"/>
          <w:szCs w:val="24"/>
          <w:shd w:val="clear" w:color="auto" w:fill="FFFFFF"/>
          <w:lang w:val="en-US"/>
        </w:rPr>
        <w:t>Real house price index, average 14 countries, 1921-2021</w:t>
      </w:r>
    </w:p>
    <w:p w:rsidR="00BE473A" w:rsidRPr="00715798" w:rsidRDefault="00BE473A" w:rsidP="00BE473A">
      <w:pPr>
        <w:spacing w:line="240" w:lineRule="auto"/>
        <w:jc w:val="both"/>
        <w:rPr>
          <w:rFonts w:ascii="Times New Roman" w:hAnsi="Times New Roman" w:cs="Times New Roman"/>
          <w:sz w:val="24"/>
          <w:szCs w:val="24"/>
          <w:lang w:val="en-US"/>
        </w:rPr>
      </w:pPr>
      <w:r w:rsidRPr="00715798">
        <w:rPr>
          <w:rFonts w:ascii="Times New Roman" w:hAnsi="Times New Roman" w:cs="Times New Roman"/>
          <w:noProof/>
          <w:sz w:val="24"/>
          <w:szCs w:val="24"/>
          <w:lang w:val="en-GB" w:eastAsia="zh-CN"/>
        </w:rPr>
        <w:drawing>
          <wp:inline distT="0" distB="0" distL="0" distR="0">
            <wp:extent cx="5731510" cy="2449265"/>
            <wp:effectExtent l="0" t="0" r="2540" b="8255"/>
            <wp:docPr id="5" name="Imagen 5" descr="Figure 1.1. Real house price index, average 14 countries, 1921-2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igure 1.1. Real house price index, average 14 countries, 1921-2021"/>
                    <pic:cNvPicPr>
                      <a:picLocks noChangeAspect="1" noChangeArrowheads="1"/>
                    </pic:cNvPicPr>
                  </pic:nvPicPr>
                  <pic:blipFill>
                    <a:blip r:embed="rId3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1510" cy="2449265"/>
                    </a:xfrm>
                    <a:prstGeom prst="rect">
                      <a:avLst/>
                    </a:prstGeom>
                    <a:noFill/>
                    <a:ln>
                      <a:noFill/>
                    </a:ln>
                  </pic:spPr>
                </pic:pic>
              </a:graphicData>
            </a:graphic>
          </wp:inline>
        </w:drawing>
      </w:r>
    </w:p>
    <w:p w:rsidR="00BE473A" w:rsidRPr="00715798" w:rsidRDefault="00BE473A" w:rsidP="00BE473A">
      <w:pPr>
        <w:spacing w:line="240" w:lineRule="auto"/>
        <w:jc w:val="both"/>
        <w:rPr>
          <w:rFonts w:ascii="Times New Roman" w:hAnsi="Times New Roman" w:cs="Times New Roman"/>
          <w:sz w:val="24"/>
          <w:szCs w:val="24"/>
          <w:lang w:val="en-US"/>
        </w:rPr>
      </w:pPr>
    </w:p>
    <w:p w:rsidR="00BE473A" w:rsidRPr="00715798" w:rsidRDefault="00BE473A" w:rsidP="00BE473A">
      <w:pPr>
        <w:spacing w:after="0" w:line="240" w:lineRule="auto"/>
        <w:jc w:val="both"/>
        <w:rPr>
          <w:rFonts w:ascii="Times New Roman" w:eastAsia="Times New Roman" w:hAnsi="Times New Roman" w:cs="Times New Roman"/>
          <w:b/>
          <w:bCs/>
          <w:color w:val="000000"/>
          <w:sz w:val="24"/>
          <w:szCs w:val="24"/>
          <w:lang w:val="en-US" w:eastAsia="es-ES"/>
        </w:rPr>
      </w:pPr>
      <w:r>
        <w:rPr>
          <w:rFonts w:ascii="Times New Roman" w:eastAsia="Times New Roman" w:hAnsi="Times New Roman" w:cs="Times New Roman"/>
          <w:color w:val="333333"/>
          <w:sz w:val="24"/>
          <w:szCs w:val="24"/>
          <w:lang w:val="en-US" w:eastAsia="es-ES"/>
        </w:rPr>
        <w:t xml:space="preserve">Figure </w:t>
      </w:r>
      <w:r w:rsidRPr="00715798">
        <w:rPr>
          <w:rFonts w:ascii="Times New Roman" w:eastAsia="Times New Roman" w:hAnsi="Times New Roman" w:cs="Times New Roman"/>
          <w:color w:val="333333"/>
          <w:sz w:val="24"/>
          <w:szCs w:val="24"/>
          <w:lang w:val="en-US" w:eastAsia="es-ES"/>
        </w:rPr>
        <w:t>1.2. </w:t>
      </w:r>
      <w:r w:rsidRPr="00715798">
        <w:rPr>
          <w:rFonts w:ascii="Times New Roman" w:eastAsia="Times New Roman" w:hAnsi="Times New Roman" w:cs="Times New Roman"/>
          <w:b/>
          <w:bCs/>
          <w:color w:val="000000"/>
          <w:sz w:val="24"/>
          <w:szCs w:val="24"/>
          <w:lang w:val="en-US" w:eastAsia="es-ES"/>
        </w:rPr>
        <w:t>Real house price growth and real house price gap, 37 OECD countries</w:t>
      </w:r>
    </w:p>
    <w:p w:rsidR="00BE473A" w:rsidRPr="00715798" w:rsidRDefault="00BE473A" w:rsidP="00BE473A">
      <w:pPr>
        <w:spacing w:after="0" w:line="240" w:lineRule="auto"/>
        <w:jc w:val="both"/>
        <w:rPr>
          <w:rFonts w:ascii="Times New Roman" w:eastAsia="Times New Roman" w:hAnsi="Times New Roman" w:cs="Times New Roman"/>
          <w:color w:val="000000"/>
          <w:sz w:val="24"/>
          <w:szCs w:val="24"/>
          <w:lang w:val="en-US" w:eastAsia="es-ES"/>
        </w:rPr>
      </w:pPr>
      <w:r w:rsidRPr="00715798">
        <w:rPr>
          <w:rFonts w:ascii="Times New Roman" w:eastAsia="Times New Roman" w:hAnsi="Times New Roman" w:cs="Times New Roman"/>
          <w:color w:val="000000"/>
          <w:sz w:val="24"/>
          <w:szCs w:val="24"/>
          <w:lang w:val="en-US" w:eastAsia="es-ES"/>
        </w:rPr>
        <w:t>Real house price growth: Q4 2019 to Q3 2021; Real house price gap: Q3 2021</w:t>
      </w:r>
    </w:p>
    <w:p w:rsidR="00BE473A" w:rsidRPr="00715798" w:rsidRDefault="00BE473A" w:rsidP="00BE473A">
      <w:pPr>
        <w:spacing w:line="240" w:lineRule="auto"/>
        <w:jc w:val="both"/>
        <w:rPr>
          <w:rFonts w:ascii="Times New Roman" w:hAnsi="Times New Roman" w:cs="Times New Roman"/>
          <w:sz w:val="24"/>
          <w:szCs w:val="24"/>
          <w:lang w:val="en-US"/>
        </w:rPr>
      </w:pPr>
    </w:p>
    <w:p w:rsidR="00BE473A" w:rsidRPr="00715798" w:rsidRDefault="00BE473A" w:rsidP="00BE473A">
      <w:pPr>
        <w:spacing w:line="240" w:lineRule="auto"/>
        <w:jc w:val="both"/>
        <w:rPr>
          <w:rFonts w:ascii="Times New Roman" w:hAnsi="Times New Roman" w:cs="Times New Roman"/>
          <w:sz w:val="24"/>
          <w:szCs w:val="24"/>
          <w:lang w:val="en-US"/>
        </w:rPr>
      </w:pPr>
      <w:r w:rsidRPr="00715798">
        <w:rPr>
          <w:rFonts w:ascii="Times New Roman" w:hAnsi="Times New Roman" w:cs="Times New Roman"/>
          <w:noProof/>
          <w:sz w:val="24"/>
          <w:szCs w:val="24"/>
          <w:lang w:val="en-GB" w:eastAsia="zh-CN"/>
        </w:rPr>
        <w:drawing>
          <wp:inline distT="0" distB="0" distL="0" distR="0">
            <wp:extent cx="5731510" cy="2158869"/>
            <wp:effectExtent l="0" t="0" r="2540" b="0"/>
            <wp:docPr id="7" name="Imagen 7" descr="Figure 1.2. Real house price growth and real house price gap, 37 OECD countri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Figure 1.2. Real house price growth and real house price gap, 37 OECD countries"/>
                    <pic:cNvPicPr>
                      <a:picLocks noChangeAspect="1" noChangeArrowheads="1"/>
                    </pic:cNvPicPr>
                  </pic:nvPicPr>
                  <pic:blipFill>
                    <a:blip r:embed="rId3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1510" cy="2158869"/>
                    </a:xfrm>
                    <a:prstGeom prst="rect">
                      <a:avLst/>
                    </a:prstGeom>
                    <a:noFill/>
                    <a:ln>
                      <a:noFill/>
                    </a:ln>
                  </pic:spPr>
                </pic:pic>
              </a:graphicData>
            </a:graphic>
          </wp:inline>
        </w:drawing>
      </w:r>
    </w:p>
    <w:p w:rsidR="00BE473A" w:rsidRPr="00715798" w:rsidRDefault="00BE473A" w:rsidP="00BE473A">
      <w:pPr>
        <w:pStyle w:val="webnote"/>
        <w:shd w:val="clear" w:color="auto" w:fill="FFFFFF"/>
        <w:spacing w:before="0" w:beforeAutospacing="0" w:after="0" w:afterAutospacing="0"/>
        <w:jc w:val="both"/>
        <w:rPr>
          <w:color w:val="333333"/>
          <w:lang w:val="en-US"/>
        </w:rPr>
      </w:pPr>
      <w:r w:rsidRPr="00715798">
        <w:rPr>
          <w:color w:val="333333"/>
          <w:lang w:val="en-US"/>
        </w:rPr>
        <w:t>Note: The real house price gap reports the percent gap between the house prices observed in Q3 2021 and the country-specific trend estimated for each country by a house price filter. The latter is a proxy of the level house prices would have reached had the pandemic not happened. The real house price index is the ratio of the nominal house price index to the deflator of private consumption in each country. Data for Costa Rica were not available. The OECD average is the unweighted average of 37 OECD countries with available data.</w:t>
      </w:r>
    </w:p>
    <w:p w:rsidR="00BE473A" w:rsidRPr="003A236B" w:rsidRDefault="00BE473A" w:rsidP="00BE473A">
      <w:pPr>
        <w:pStyle w:val="websource"/>
        <w:shd w:val="clear" w:color="auto" w:fill="FFFFFF"/>
        <w:spacing w:before="0" w:beforeAutospacing="0" w:after="0" w:afterAutospacing="0"/>
        <w:jc w:val="both"/>
        <w:rPr>
          <w:lang w:val="en-US"/>
        </w:rPr>
      </w:pPr>
      <w:r w:rsidRPr="00715798">
        <w:rPr>
          <w:color w:val="333333"/>
          <w:lang w:val="en-US"/>
        </w:rPr>
        <w:t>Source: OECD Analytical House Price database; OECD Economic Outlook </w:t>
      </w:r>
      <w:r w:rsidRPr="003A236B">
        <w:rPr>
          <w:rStyle w:val="webbibref"/>
          <w:lang w:val="en-US"/>
        </w:rPr>
        <w:t>(OECD, 2022)</w:t>
      </w:r>
      <w:r w:rsidRPr="003A236B">
        <w:rPr>
          <w:lang w:val="en-US"/>
        </w:rPr>
        <w:t>.</w:t>
      </w:r>
    </w:p>
    <w:p w:rsidR="00BE473A" w:rsidRDefault="00BE473A" w:rsidP="00BE473A">
      <w:pPr>
        <w:pStyle w:val="websource"/>
        <w:shd w:val="clear" w:color="auto" w:fill="FFFFFF"/>
        <w:spacing w:before="0" w:beforeAutospacing="0" w:after="0" w:afterAutospacing="0"/>
        <w:jc w:val="both"/>
        <w:rPr>
          <w:color w:val="333333"/>
          <w:lang w:val="en-US"/>
        </w:rPr>
      </w:pPr>
    </w:p>
    <w:p w:rsidR="00BE473A" w:rsidRPr="00715798" w:rsidRDefault="00BE473A" w:rsidP="00BE473A">
      <w:pPr>
        <w:pStyle w:val="websource"/>
        <w:shd w:val="clear" w:color="auto" w:fill="FFFFFF"/>
        <w:spacing w:before="0" w:beforeAutospacing="0" w:after="0" w:afterAutospacing="0"/>
        <w:jc w:val="both"/>
        <w:rPr>
          <w:color w:val="333333"/>
          <w:lang w:val="en-US"/>
        </w:rPr>
      </w:pPr>
      <w:r w:rsidRPr="00715798">
        <w:rPr>
          <w:rStyle w:val="webprefix-num"/>
          <w:color w:val="333333"/>
          <w:shd w:val="clear" w:color="auto" w:fill="FFFFFF"/>
          <w:lang w:val="en-US"/>
        </w:rPr>
        <w:lastRenderedPageBreak/>
        <w:t>Figure 1.3. </w:t>
      </w:r>
      <w:r w:rsidRPr="00715798">
        <w:rPr>
          <w:b/>
          <w:bCs/>
          <w:color w:val="000000"/>
          <w:shd w:val="clear" w:color="auto" w:fill="FFFFFF"/>
          <w:lang w:val="en-US"/>
        </w:rPr>
        <w:t>Percentage changes in real house prices and rents, 2000-2020</w:t>
      </w:r>
    </w:p>
    <w:p w:rsidR="00BE473A" w:rsidRPr="00715798" w:rsidRDefault="00BE473A" w:rsidP="00BE473A">
      <w:pPr>
        <w:pStyle w:val="websource"/>
        <w:shd w:val="clear" w:color="auto" w:fill="FFFFFF"/>
        <w:spacing w:before="0" w:beforeAutospacing="0" w:after="0" w:afterAutospacing="0"/>
        <w:jc w:val="both"/>
        <w:rPr>
          <w:color w:val="333333"/>
          <w:lang w:val="en-US"/>
        </w:rPr>
      </w:pPr>
      <w:r w:rsidRPr="00715798">
        <w:rPr>
          <w:noProof/>
          <w:lang w:val="en-GB" w:eastAsia="zh-CN"/>
        </w:rPr>
        <w:drawing>
          <wp:inline distT="0" distB="0" distL="0" distR="0">
            <wp:extent cx="5731510" cy="2716736"/>
            <wp:effectExtent l="0" t="0" r="2540" b="7620"/>
            <wp:docPr id="8" name="Imagen 8" descr="Figure 1.3. Percentage changes in real house prices and rents, 2000-2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Figure 1.3. Percentage changes in real house prices and rents, 2000-2020"/>
                    <pic:cNvPicPr>
                      <a:picLocks noChangeAspect="1" noChangeArrowheads="1"/>
                    </pic:cNvPicPr>
                  </pic:nvPicPr>
                  <pic:blipFill>
                    <a:blip r:embed="rId3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1510" cy="2716736"/>
                    </a:xfrm>
                    <a:prstGeom prst="rect">
                      <a:avLst/>
                    </a:prstGeom>
                    <a:noFill/>
                    <a:ln>
                      <a:noFill/>
                    </a:ln>
                  </pic:spPr>
                </pic:pic>
              </a:graphicData>
            </a:graphic>
          </wp:inline>
        </w:drawing>
      </w:r>
    </w:p>
    <w:p w:rsidR="00BE473A" w:rsidRPr="00715798" w:rsidRDefault="00BE473A" w:rsidP="00BE473A">
      <w:pPr>
        <w:pStyle w:val="websource"/>
        <w:shd w:val="clear" w:color="auto" w:fill="FFFFFF"/>
        <w:spacing w:before="0" w:beforeAutospacing="0" w:after="0" w:afterAutospacing="0"/>
        <w:jc w:val="both"/>
        <w:rPr>
          <w:color w:val="333333"/>
          <w:lang w:val="en-US"/>
        </w:rPr>
      </w:pPr>
    </w:p>
    <w:p w:rsidR="00BE473A" w:rsidRPr="00715798" w:rsidRDefault="00BE473A" w:rsidP="00BE473A">
      <w:pPr>
        <w:pStyle w:val="websource"/>
        <w:shd w:val="clear" w:color="auto" w:fill="FFFFFF"/>
        <w:spacing w:before="0" w:beforeAutospacing="0" w:after="0" w:afterAutospacing="0"/>
        <w:jc w:val="both"/>
        <w:rPr>
          <w:color w:val="333333"/>
          <w:lang w:val="en-US"/>
        </w:rPr>
      </w:pPr>
      <w:r w:rsidRPr="00715798">
        <w:rPr>
          <w:rStyle w:val="webprefix-num"/>
          <w:color w:val="333333"/>
          <w:shd w:val="clear" w:color="auto" w:fill="FFFFFF"/>
          <w:lang w:val="en-US"/>
        </w:rPr>
        <w:t>Figure 1.4. </w:t>
      </w:r>
      <w:r w:rsidRPr="00715798">
        <w:rPr>
          <w:b/>
          <w:bCs/>
          <w:color w:val="000000"/>
          <w:shd w:val="clear" w:color="auto" w:fill="FFFFFF"/>
          <w:lang w:val="en-US"/>
        </w:rPr>
        <w:t>Changes in middle-income households’ spending shares, 2005-15 average</w:t>
      </w:r>
    </w:p>
    <w:p w:rsidR="00BE473A" w:rsidRPr="00715798" w:rsidRDefault="00BE473A" w:rsidP="00BE473A">
      <w:pPr>
        <w:pStyle w:val="websource"/>
        <w:shd w:val="clear" w:color="auto" w:fill="FFFFFF"/>
        <w:spacing w:before="0" w:beforeAutospacing="0" w:after="0" w:afterAutospacing="0"/>
        <w:jc w:val="both"/>
        <w:rPr>
          <w:color w:val="333333"/>
          <w:lang w:val="en-US"/>
        </w:rPr>
      </w:pPr>
    </w:p>
    <w:p w:rsidR="00BE473A" w:rsidRPr="00715798" w:rsidRDefault="00BE473A" w:rsidP="00BE473A">
      <w:pPr>
        <w:spacing w:line="240" w:lineRule="auto"/>
        <w:jc w:val="both"/>
        <w:rPr>
          <w:rFonts w:ascii="Times New Roman" w:hAnsi="Times New Roman" w:cs="Times New Roman"/>
          <w:sz w:val="24"/>
          <w:szCs w:val="24"/>
          <w:lang w:val="en-US"/>
        </w:rPr>
      </w:pPr>
      <w:r w:rsidRPr="00715798">
        <w:rPr>
          <w:rFonts w:ascii="Times New Roman" w:hAnsi="Times New Roman" w:cs="Times New Roman"/>
          <w:noProof/>
          <w:sz w:val="24"/>
          <w:szCs w:val="24"/>
          <w:lang w:val="en-GB" w:eastAsia="zh-CN"/>
        </w:rPr>
        <w:drawing>
          <wp:inline distT="0" distB="0" distL="0" distR="0">
            <wp:extent cx="5731510" cy="2430160"/>
            <wp:effectExtent l="0" t="0" r="2540" b="8255"/>
            <wp:docPr id="10" name="Imagen 10" descr="Figure 1.4. Changes in middle-income households’ spending shares, 2005-15 averag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Figure 1.4. Changes in middle-income households’ spending shares, 2005-15 average "/>
                    <pic:cNvPicPr>
                      <a:picLocks noChangeAspect="1" noChangeArrowheads="1"/>
                    </pic:cNvPicPr>
                  </pic:nvPicPr>
                  <pic:blipFill>
                    <a:blip r:embed="rId3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1510" cy="2430160"/>
                    </a:xfrm>
                    <a:prstGeom prst="rect">
                      <a:avLst/>
                    </a:prstGeom>
                    <a:noFill/>
                    <a:ln>
                      <a:noFill/>
                    </a:ln>
                  </pic:spPr>
                </pic:pic>
              </a:graphicData>
            </a:graphic>
          </wp:inline>
        </w:drawing>
      </w:r>
    </w:p>
    <w:p w:rsidR="00BE473A" w:rsidRPr="00715798" w:rsidRDefault="00BE473A" w:rsidP="00BE473A">
      <w:pPr>
        <w:pStyle w:val="webnote"/>
        <w:shd w:val="clear" w:color="auto" w:fill="FFFFFF"/>
        <w:spacing w:before="0" w:beforeAutospacing="0" w:after="0" w:afterAutospacing="0"/>
        <w:jc w:val="both"/>
        <w:rPr>
          <w:color w:val="333333"/>
          <w:lang w:val="en-US"/>
        </w:rPr>
      </w:pPr>
      <w:r w:rsidRPr="00715798">
        <w:rPr>
          <w:color w:val="333333"/>
          <w:lang w:val="en-US"/>
        </w:rPr>
        <w:t>Note: Housing-related expenditures include actual rentals for housing, imputed rentals for owner-occupied housing, maintenance and repair, water supply and miscellaneous services, electricity, gas and other fuels. Unweighted average of 23 OECD countries (Austria, Belgium, Chile, Czech Republic, Germany, Finland, Greece, Hungary, Ireland, Lithuania, Luxembourg, Latvia, Mexico, Netherlands, Norway, Poland, Portugal, Slovak Republic, Slovenia, Spain, Türkiye, United Kingdom and United States). Data refers to middle-income households (75% to 200% of median earnings).</w:t>
      </w:r>
    </w:p>
    <w:p w:rsidR="00BE473A" w:rsidRPr="003A236B" w:rsidRDefault="00BE473A" w:rsidP="00BE473A">
      <w:pPr>
        <w:pStyle w:val="websource"/>
        <w:shd w:val="clear" w:color="auto" w:fill="FFFFFF"/>
        <w:spacing w:before="0" w:beforeAutospacing="0" w:after="0" w:afterAutospacing="0"/>
        <w:jc w:val="both"/>
        <w:rPr>
          <w:rStyle w:val="webbibref"/>
          <w:lang w:val="en-US"/>
        </w:rPr>
      </w:pPr>
      <w:r w:rsidRPr="00715798">
        <w:rPr>
          <w:color w:val="333333"/>
          <w:lang w:val="en-US"/>
        </w:rPr>
        <w:t>Source: Under Pressure: The Squeezed Middle Class </w:t>
      </w:r>
      <w:r w:rsidRPr="003A236B">
        <w:rPr>
          <w:rStyle w:val="webbibref"/>
          <w:lang w:val="en-US"/>
        </w:rPr>
        <w:t>(OECD, 2019)</w:t>
      </w:r>
    </w:p>
    <w:p w:rsidR="00BE473A" w:rsidRPr="00715798" w:rsidRDefault="00BE473A" w:rsidP="00BE473A">
      <w:pPr>
        <w:pStyle w:val="websource"/>
        <w:shd w:val="clear" w:color="auto" w:fill="FFFFFF"/>
        <w:spacing w:before="0" w:beforeAutospacing="0" w:after="0" w:afterAutospacing="0"/>
        <w:jc w:val="both"/>
        <w:rPr>
          <w:rStyle w:val="webbibref"/>
          <w:color w:val="0068B6"/>
          <w:lang w:val="en-US"/>
        </w:rPr>
      </w:pPr>
    </w:p>
    <w:p w:rsidR="00BE473A" w:rsidRPr="00715798" w:rsidRDefault="00BE473A" w:rsidP="00BE473A">
      <w:pPr>
        <w:pStyle w:val="websource"/>
        <w:shd w:val="clear" w:color="auto" w:fill="FFFFFF"/>
        <w:spacing w:before="0" w:beforeAutospacing="0" w:after="0" w:afterAutospacing="0"/>
        <w:jc w:val="both"/>
        <w:rPr>
          <w:rStyle w:val="webbibref"/>
          <w:color w:val="0068B6"/>
          <w:lang w:val="en-US"/>
        </w:rPr>
      </w:pPr>
    </w:p>
    <w:p w:rsidR="00BE473A" w:rsidRPr="00715798" w:rsidRDefault="00BE473A" w:rsidP="00BE473A">
      <w:pPr>
        <w:pStyle w:val="websource"/>
        <w:shd w:val="clear" w:color="auto" w:fill="FFFFFF"/>
        <w:spacing w:before="0" w:beforeAutospacing="0" w:after="0" w:afterAutospacing="0"/>
        <w:jc w:val="both"/>
        <w:rPr>
          <w:rStyle w:val="webbibref"/>
          <w:color w:val="0068B6"/>
          <w:lang w:val="en-US"/>
        </w:rPr>
      </w:pPr>
    </w:p>
    <w:p w:rsidR="00BE473A" w:rsidRPr="00715798" w:rsidRDefault="00BE473A" w:rsidP="00BE473A">
      <w:pPr>
        <w:pStyle w:val="websource"/>
        <w:shd w:val="clear" w:color="auto" w:fill="FFFFFF"/>
        <w:spacing w:before="0" w:beforeAutospacing="0" w:after="0" w:afterAutospacing="0"/>
        <w:jc w:val="both"/>
        <w:rPr>
          <w:rStyle w:val="webbibref"/>
          <w:color w:val="0068B6"/>
          <w:lang w:val="en-US"/>
        </w:rPr>
      </w:pPr>
    </w:p>
    <w:p w:rsidR="00BE473A" w:rsidRPr="00715798" w:rsidRDefault="00BE473A" w:rsidP="00BE473A">
      <w:pPr>
        <w:pStyle w:val="websource"/>
        <w:shd w:val="clear" w:color="auto" w:fill="FFFFFF"/>
        <w:spacing w:before="0" w:beforeAutospacing="0" w:after="0" w:afterAutospacing="0"/>
        <w:jc w:val="both"/>
        <w:rPr>
          <w:rStyle w:val="webbibref"/>
          <w:color w:val="0068B6"/>
          <w:lang w:val="en-US"/>
        </w:rPr>
      </w:pPr>
    </w:p>
    <w:p w:rsidR="00BE473A" w:rsidRPr="00715798" w:rsidRDefault="00BE473A" w:rsidP="00BE473A">
      <w:pPr>
        <w:pStyle w:val="websource"/>
        <w:shd w:val="clear" w:color="auto" w:fill="FFFFFF"/>
        <w:spacing w:before="0" w:beforeAutospacing="0" w:after="0" w:afterAutospacing="0"/>
        <w:jc w:val="both"/>
        <w:rPr>
          <w:rStyle w:val="webbibref"/>
          <w:color w:val="0068B6"/>
          <w:lang w:val="en-US"/>
        </w:rPr>
      </w:pPr>
    </w:p>
    <w:p w:rsidR="00BE473A" w:rsidRPr="00715798" w:rsidRDefault="00BE473A" w:rsidP="00BE473A">
      <w:pPr>
        <w:pStyle w:val="websource"/>
        <w:shd w:val="clear" w:color="auto" w:fill="FFFFFF"/>
        <w:spacing w:before="0" w:beforeAutospacing="0" w:after="0" w:afterAutospacing="0"/>
        <w:jc w:val="both"/>
        <w:rPr>
          <w:rStyle w:val="webbibref"/>
          <w:color w:val="0068B6"/>
          <w:lang w:val="en-US"/>
        </w:rPr>
      </w:pPr>
    </w:p>
    <w:p w:rsidR="00BE473A" w:rsidRPr="00715798" w:rsidRDefault="00BE473A" w:rsidP="00BE473A">
      <w:pPr>
        <w:pStyle w:val="websource"/>
        <w:shd w:val="clear" w:color="auto" w:fill="FFFFFF"/>
        <w:spacing w:before="0" w:beforeAutospacing="0" w:after="0" w:afterAutospacing="0"/>
        <w:jc w:val="both"/>
        <w:rPr>
          <w:rStyle w:val="webbibref"/>
          <w:color w:val="0068B6"/>
          <w:lang w:val="en-US"/>
        </w:rPr>
      </w:pPr>
    </w:p>
    <w:p w:rsidR="00BE473A" w:rsidRPr="00715798" w:rsidRDefault="00BE473A" w:rsidP="00BE473A">
      <w:pPr>
        <w:pStyle w:val="websource"/>
        <w:shd w:val="clear" w:color="auto" w:fill="FFFFFF"/>
        <w:spacing w:before="0" w:beforeAutospacing="0" w:after="0" w:afterAutospacing="0"/>
        <w:jc w:val="both"/>
        <w:rPr>
          <w:color w:val="333333"/>
          <w:lang w:val="en-US"/>
        </w:rPr>
      </w:pPr>
      <w:r w:rsidRPr="00715798">
        <w:rPr>
          <w:rStyle w:val="webprefix-num"/>
          <w:color w:val="333333"/>
          <w:shd w:val="clear" w:color="auto" w:fill="FFFFFF"/>
          <w:lang w:val="en-US"/>
        </w:rPr>
        <w:lastRenderedPageBreak/>
        <w:t>Figure 1.5. </w:t>
      </w:r>
      <w:r w:rsidRPr="00715798">
        <w:rPr>
          <w:b/>
          <w:bCs/>
          <w:color w:val="000000"/>
          <w:shd w:val="clear" w:color="auto" w:fill="FFFFFF"/>
          <w:lang w:val="en-US"/>
        </w:rPr>
        <w:t>Housing supply elasticities across metropolitan regions in a sample of OECD countries, 2019</w:t>
      </w:r>
    </w:p>
    <w:p w:rsidR="00BE473A" w:rsidRPr="00715798" w:rsidRDefault="00BE473A" w:rsidP="00BE473A">
      <w:pPr>
        <w:spacing w:line="240" w:lineRule="auto"/>
        <w:jc w:val="both"/>
        <w:rPr>
          <w:rFonts w:ascii="Times New Roman" w:hAnsi="Times New Roman" w:cs="Times New Roman"/>
          <w:sz w:val="24"/>
          <w:szCs w:val="24"/>
          <w:lang w:val="en-US"/>
        </w:rPr>
      </w:pPr>
      <w:r w:rsidRPr="00715798">
        <w:rPr>
          <w:rFonts w:ascii="Times New Roman" w:hAnsi="Times New Roman" w:cs="Times New Roman"/>
          <w:noProof/>
          <w:sz w:val="24"/>
          <w:szCs w:val="24"/>
          <w:lang w:val="en-GB" w:eastAsia="zh-CN"/>
        </w:rPr>
        <w:drawing>
          <wp:inline distT="0" distB="0" distL="0" distR="0">
            <wp:extent cx="5727154" cy="1860550"/>
            <wp:effectExtent l="0" t="0" r="6985" b="6350"/>
            <wp:docPr id="11" name="Imagen 11" descr="Figure 1.5. Housing supply elasticities across metropolitan regions in a sample of OECD countries, 2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Figure 1.5. Housing supply elasticities across metropolitan regions in a sample of OECD countries, 2019"/>
                    <pic:cNvPicPr>
                      <a:picLocks noChangeAspect="1" noChangeArrowheads="1"/>
                    </pic:cNvPicPr>
                  </pic:nvPicPr>
                  <pic:blipFill>
                    <a:blip r:embed="rId3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1510" cy="1861965"/>
                    </a:xfrm>
                    <a:prstGeom prst="rect">
                      <a:avLst/>
                    </a:prstGeom>
                    <a:noFill/>
                    <a:ln>
                      <a:noFill/>
                    </a:ln>
                  </pic:spPr>
                </pic:pic>
              </a:graphicData>
            </a:graphic>
          </wp:inline>
        </w:drawing>
      </w:r>
    </w:p>
    <w:p w:rsidR="00BE473A" w:rsidRPr="00715798" w:rsidRDefault="00BE473A" w:rsidP="00BE473A">
      <w:pPr>
        <w:pStyle w:val="webnote"/>
        <w:shd w:val="clear" w:color="auto" w:fill="FFFFFF"/>
        <w:spacing w:before="0" w:beforeAutospacing="0" w:after="0" w:afterAutospacing="0"/>
        <w:jc w:val="both"/>
        <w:rPr>
          <w:color w:val="333333"/>
          <w:lang w:val="en-US"/>
        </w:rPr>
      </w:pPr>
      <w:r w:rsidRPr="00715798">
        <w:rPr>
          <w:color w:val="333333"/>
          <w:lang w:val="en-US"/>
        </w:rPr>
        <w:t>Note: House price elasticities are calculated by regressing changes in real house prices on changes in residential construction using an instrumental variable approach to address potential endogeneity between construction and house prices. A supply elasticity of 1 (unity) indicates that any house price changes leads to a proportional change in housing construction. A larger supply elasticity means that, for a given change in house prices, homebuilding expands by a greater amount.</w:t>
      </w:r>
    </w:p>
    <w:p w:rsidR="00BE473A" w:rsidRPr="003A236B" w:rsidRDefault="00BE473A" w:rsidP="00BE473A">
      <w:pPr>
        <w:pStyle w:val="websource"/>
        <w:shd w:val="clear" w:color="auto" w:fill="FFFFFF"/>
        <w:spacing w:before="0" w:beforeAutospacing="0" w:after="0" w:afterAutospacing="0"/>
        <w:jc w:val="both"/>
        <w:rPr>
          <w:rStyle w:val="webbibref"/>
          <w:lang w:val="en-US"/>
        </w:rPr>
      </w:pPr>
      <w:r w:rsidRPr="00715798">
        <w:rPr>
          <w:color w:val="333333"/>
          <w:lang w:val="en-US"/>
        </w:rPr>
        <w:t>Source: Bétin and Ziemann, </w:t>
      </w:r>
      <w:r w:rsidRPr="003A236B">
        <w:rPr>
          <w:rStyle w:val="webbibref"/>
          <w:lang w:val="en-US"/>
        </w:rPr>
        <w:t>(2019)</w:t>
      </w:r>
    </w:p>
    <w:p w:rsidR="00BE473A" w:rsidRPr="00715798" w:rsidRDefault="00BE473A" w:rsidP="00BE473A">
      <w:pPr>
        <w:pStyle w:val="websource"/>
        <w:shd w:val="clear" w:color="auto" w:fill="FFFFFF"/>
        <w:spacing w:before="0" w:beforeAutospacing="0" w:after="0" w:afterAutospacing="0"/>
        <w:jc w:val="both"/>
        <w:rPr>
          <w:rStyle w:val="webbibref"/>
          <w:color w:val="0068B6"/>
          <w:lang w:val="en-US"/>
        </w:rPr>
      </w:pPr>
    </w:p>
    <w:p w:rsidR="00BE473A" w:rsidRPr="00715798" w:rsidRDefault="00BE473A" w:rsidP="00BE473A">
      <w:pPr>
        <w:pStyle w:val="websource"/>
        <w:shd w:val="clear" w:color="auto" w:fill="FFFFFF"/>
        <w:spacing w:before="0" w:beforeAutospacing="0" w:after="0" w:afterAutospacing="0"/>
        <w:jc w:val="both"/>
        <w:rPr>
          <w:color w:val="333333"/>
          <w:lang w:val="en-US"/>
        </w:rPr>
      </w:pPr>
      <w:r w:rsidRPr="00715798">
        <w:rPr>
          <w:rStyle w:val="webprefix-num"/>
          <w:color w:val="333333"/>
          <w:shd w:val="clear" w:color="auto" w:fill="FFFFFF"/>
          <w:lang w:val="en-US"/>
        </w:rPr>
        <w:t>Figure 1.6. </w:t>
      </w:r>
      <w:r w:rsidRPr="00715798">
        <w:rPr>
          <w:b/>
          <w:bCs/>
          <w:color w:val="000000"/>
          <w:shd w:val="clear" w:color="auto" w:fill="FFFFFF"/>
          <w:lang w:val="en-US"/>
        </w:rPr>
        <w:t>Household and mortgage debt to GDP across OECD countries in 2008 and 2018</w:t>
      </w:r>
    </w:p>
    <w:p w:rsidR="00BE473A" w:rsidRPr="00715798" w:rsidRDefault="00BE473A" w:rsidP="00BE473A">
      <w:pPr>
        <w:spacing w:line="240" w:lineRule="auto"/>
        <w:jc w:val="both"/>
        <w:rPr>
          <w:rFonts w:ascii="Times New Roman" w:hAnsi="Times New Roman" w:cs="Times New Roman"/>
          <w:sz w:val="24"/>
          <w:szCs w:val="24"/>
          <w:lang w:val="en-US"/>
        </w:rPr>
      </w:pPr>
      <w:r w:rsidRPr="00715798">
        <w:rPr>
          <w:rFonts w:ascii="Times New Roman" w:hAnsi="Times New Roman" w:cs="Times New Roman"/>
          <w:noProof/>
          <w:sz w:val="24"/>
          <w:szCs w:val="24"/>
          <w:lang w:val="en-GB" w:eastAsia="zh-CN"/>
        </w:rPr>
        <w:drawing>
          <wp:inline distT="0" distB="0" distL="0" distR="0">
            <wp:extent cx="5734050" cy="2146300"/>
            <wp:effectExtent l="0" t="0" r="0" b="6350"/>
            <wp:docPr id="12" name="Imagen 12" descr="Figure 1.6. Household and mortgage debt to GDP across OECD countries in 2008 and 2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Figure 1.6. Household and mortgage debt to GDP across OECD countries in 2008 and 2018"/>
                    <pic:cNvPicPr>
                      <a:picLocks noChangeAspect="1" noChangeArrowheads="1"/>
                    </pic:cNvPicPr>
                  </pic:nvPicPr>
                  <pic:blipFill>
                    <a:blip r:embed="rId3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1510" cy="2145349"/>
                    </a:xfrm>
                    <a:prstGeom prst="rect">
                      <a:avLst/>
                    </a:prstGeom>
                    <a:noFill/>
                    <a:ln>
                      <a:noFill/>
                    </a:ln>
                  </pic:spPr>
                </pic:pic>
              </a:graphicData>
            </a:graphic>
          </wp:inline>
        </w:drawing>
      </w:r>
    </w:p>
    <w:p w:rsidR="00BE473A" w:rsidRPr="00715798" w:rsidRDefault="00BE473A" w:rsidP="00BE473A">
      <w:pPr>
        <w:spacing w:line="240" w:lineRule="auto"/>
        <w:jc w:val="both"/>
        <w:rPr>
          <w:rFonts w:ascii="Times New Roman" w:hAnsi="Times New Roman" w:cs="Times New Roman"/>
          <w:sz w:val="24"/>
          <w:szCs w:val="24"/>
          <w:lang w:val="en-US"/>
        </w:rPr>
      </w:pPr>
      <w:r w:rsidRPr="00715798">
        <w:rPr>
          <w:rStyle w:val="webprefix-num"/>
          <w:color w:val="333333"/>
          <w:sz w:val="24"/>
          <w:szCs w:val="24"/>
          <w:shd w:val="clear" w:color="auto" w:fill="FFFFFF"/>
          <w:lang w:val="en-US"/>
        </w:rPr>
        <w:t>Figure 1.7. </w:t>
      </w:r>
      <w:r w:rsidRPr="00715798">
        <w:rPr>
          <w:rFonts w:ascii="Times New Roman" w:hAnsi="Times New Roman" w:cs="Times New Roman"/>
          <w:b/>
          <w:bCs/>
          <w:color w:val="000000"/>
          <w:sz w:val="24"/>
          <w:szCs w:val="24"/>
          <w:shd w:val="clear" w:color="auto" w:fill="FFFFFF"/>
          <w:lang w:val="en-US"/>
        </w:rPr>
        <w:t>Annual percentage change in house prices and GDP, 1971-2019</w:t>
      </w:r>
    </w:p>
    <w:p w:rsidR="00BE473A" w:rsidRPr="00715798" w:rsidRDefault="00BE473A" w:rsidP="00BE473A">
      <w:pPr>
        <w:spacing w:line="240" w:lineRule="auto"/>
        <w:jc w:val="both"/>
        <w:rPr>
          <w:rFonts w:ascii="Times New Roman" w:hAnsi="Times New Roman" w:cs="Times New Roman"/>
          <w:sz w:val="24"/>
          <w:szCs w:val="24"/>
          <w:lang w:val="en-US"/>
        </w:rPr>
      </w:pPr>
      <w:r w:rsidRPr="00715798">
        <w:rPr>
          <w:rFonts w:ascii="Times New Roman" w:hAnsi="Times New Roman" w:cs="Times New Roman"/>
          <w:noProof/>
          <w:sz w:val="24"/>
          <w:szCs w:val="24"/>
          <w:lang w:val="en-GB" w:eastAsia="zh-CN"/>
        </w:rPr>
        <w:drawing>
          <wp:inline distT="0" distB="0" distL="0" distR="0">
            <wp:extent cx="5734050" cy="2108200"/>
            <wp:effectExtent l="0" t="0" r="0" b="6350"/>
            <wp:docPr id="13" name="Imagen 13" descr="Figure 1.7. Annual percentage change in house prices and GDP, 1971-2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Figure 1.7. Annual percentage change in house prices and GDP, 1971-2019"/>
                    <pic:cNvPicPr>
                      <a:picLocks noChangeAspect="1" noChangeArrowheads="1"/>
                    </pic:cNvPicPr>
                  </pic:nvPicPr>
                  <pic:blipFill>
                    <a:blip r:embed="rId3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1510" cy="2107266"/>
                    </a:xfrm>
                    <a:prstGeom prst="rect">
                      <a:avLst/>
                    </a:prstGeom>
                    <a:noFill/>
                    <a:ln>
                      <a:noFill/>
                    </a:ln>
                  </pic:spPr>
                </pic:pic>
              </a:graphicData>
            </a:graphic>
          </wp:inline>
        </w:drawing>
      </w:r>
    </w:p>
    <w:p w:rsidR="00BE473A" w:rsidRPr="00715798" w:rsidRDefault="00BE473A" w:rsidP="00BE473A">
      <w:pPr>
        <w:spacing w:line="240" w:lineRule="auto"/>
        <w:jc w:val="both"/>
        <w:rPr>
          <w:rFonts w:ascii="Times New Roman" w:hAnsi="Times New Roman" w:cs="Times New Roman"/>
          <w:sz w:val="24"/>
          <w:szCs w:val="24"/>
          <w:lang w:val="en-US"/>
        </w:rPr>
      </w:pPr>
      <w:r w:rsidRPr="00715798">
        <w:rPr>
          <w:rStyle w:val="webprefix-num"/>
          <w:color w:val="333333"/>
          <w:sz w:val="24"/>
          <w:szCs w:val="24"/>
          <w:shd w:val="clear" w:color="auto" w:fill="FFFFFF"/>
          <w:lang w:val="en-US"/>
        </w:rPr>
        <w:lastRenderedPageBreak/>
        <w:t>Figure 1.8. </w:t>
      </w:r>
      <w:r w:rsidRPr="00715798">
        <w:rPr>
          <w:rFonts w:ascii="Times New Roman" w:hAnsi="Times New Roman" w:cs="Times New Roman"/>
          <w:b/>
          <w:bCs/>
          <w:color w:val="000000"/>
          <w:sz w:val="24"/>
          <w:szCs w:val="24"/>
          <w:shd w:val="clear" w:color="auto" w:fill="FFFFFF"/>
          <w:lang w:val="en-US"/>
        </w:rPr>
        <w:t>Number of years over which cumulated average household disposable income equals the average price of a 100m2 dwelling, 2000 and 2020</w:t>
      </w:r>
    </w:p>
    <w:p w:rsidR="00BE473A" w:rsidRPr="00715798" w:rsidRDefault="00BE473A" w:rsidP="00BE473A">
      <w:pPr>
        <w:spacing w:line="240" w:lineRule="auto"/>
        <w:jc w:val="both"/>
        <w:rPr>
          <w:rFonts w:ascii="Times New Roman" w:hAnsi="Times New Roman" w:cs="Times New Roman"/>
          <w:sz w:val="24"/>
          <w:szCs w:val="24"/>
          <w:lang w:val="en-US"/>
        </w:rPr>
      </w:pPr>
      <w:r w:rsidRPr="00715798">
        <w:rPr>
          <w:rFonts w:ascii="Times New Roman" w:hAnsi="Times New Roman" w:cs="Times New Roman"/>
          <w:noProof/>
          <w:sz w:val="24"/>
          <w:szCs w:val="24"/>
          <w:lang w:val="en-GB" w:eastAsia="zh-CN"/>
        </w:rPr>
        <w:drawing>
          <wp:inline distT="0" distB="0" distL="0" distR="0">
            <wp:extent cx="5731510" cy="2514222"/>
            <wp:effectExtent l="0" t="0" r="2540" b="635"/>
            <wp:docPr id="14" name="Imagen 14" descr="Figure 1.8. Number of years over which cumulated average household disposable income equals the average price of a 100m2 dwelling, 2000 and 2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Figure 1.8. Number of years over which cumulated average household disposable income equals the average price of a 100m2 dwelling, 2000 and 2020"/>
                    <pic:cNvPicPr>
                      <a:picLocks noChangeAspect="1" noChangeArrowheads="1"/>
                    </pic:cNvPicPr>
                  </pic:nvPicPr>
                  <pic:blipFill>
                    <a:blip r:embed="rId3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1510" cy="2514222"/>
                    </a:xfrm>
                    <a:prstGeom prst="rect">
                      <a:avLst/>
                    </a:prstGeom>
                    <a:noFill/>
                    <a:ln>
                      <a:noFill/>
                    </a:ln>
                  </pic:spPr>
                </pic:pic>
              </a:graphicData>
            </a:graphic>
          </wp:inline>
        </w:drawing>
      </w:r>
    </w:p>
    <w:p w:rsidR="00BE473A" w:rsidRPr="00715798" w:rsidRDefault="00BE473A" w:rsidP="00BE473A">
      <w:pPr>
        <w:pStyle w:val="webnote"/>
        <w:shd w:val="clear" w:color="auto" w:fill="FFFFFF"/>
        <w:spacing w:before="0" w:beforeAutospacing="0" w:after="0" w:afterAutospacing="0"/>
        <w:jc w:val="both"/>
        <w:rPr>
          <w:color w:val="333333"/>
          <w:lang w:val="en-US"/>
        </w:rPr>
      </w:pPr>
      <w:r w:rsidRPr="00715798">
        <w:rPr>
          <w:color w:val="333333"/>
          <w:lang w:val="en-US"/>
        </w:rPr>
        <w:t>Note: The choice of fixed-size (100m2) dwelling is made to ease cross-country comparisons. Data from 2000 are missing from Estonia, Hungary, Poland, and Slovak Republic</w:t>
      </w:r>
    </w:p>
    <w:p w:rsidR="00BE473A" w:rsidRPr="00715798" w:rsidRDefault="00BE473A" w:rsidP="00BE473A">
      <w:pPr>
        <w:pStyle w:val="websource"/>
        <w:shd w:val="clear" w:color="auto" w:fill="FFFFFF"/>
        <w:spacing w:before="0" w:beforeAutospacing="0" w:after="0" w:afterAutospacing="0"/>
        <w:jc w:val="both"/>
        <w:rPr>
          <w:color w:val="333333"/>
          <w:lang w:val="en-US"/>
        </w:rPr>
      </w:pPr>
      <w:r w:rsidRPr="00715798">
        <w:rPr>
          <w:color w:val="333333"/>
          <w:lang w:val="en-US"/>
        </w:rPr>
        <w:t>Source: Bricongne, Turrini and Pontuch </w:t>
      </w:r>
      <w:r w:rsidRPr="003A236B">
        <w:rPr>
          <w:rStyle w:val="webbibref"/>
          <w:lang w:val="en-US"/>
        </w:rPr>
        <w:t>(2019)</w:t>
      </w:r>
      <w:r w:rsidRPr="003A236B">
        <w:rPr>
          <w:lang w:val="en-US"/>
        </w:rPr>
        <w:t> </w:t>
      </w:r>
      <w:r w:rsidRPr="00715798">
        <w:rPr>
          <w:color w:val="333333"/>
          <w:lang w:val="en-US"/>
        </w:rPr>
        <w:t>and OECD calculations</w:t>
      </w:r>
    </w:p>
    <w:p w:rsidR="00BE473A" w:rsidRPr="00715798" w:rsidRDefault="00BE473A" w:rsidP="00BE473A">
      <w:pPr>
        <w:pStyle w:val="websource"/>
        <w:shd w:val="clear" w:color="auto" w:fill="FFFFFF"/>
        <w:spacing w:before="0" w:beforeAutospacing="0" w:after="0" w:afterAutospacing="0"/>
        <w:jc w:val="both"/>
        <w:rPr>
          <w:color w:val="333333"/>
          <w:lang w:val="en-US"/>
        </w:rPr>
      </w:pPr>
    </w:p>
    <w:p w:rsidR="00BE473A" w:rsidRPr="00715798" w:rsidRDefault="00BE473A" w:rsidP="00BE473A">
      <w:pPr>
        <w:pStyle w:val="websource"/>
        <w:shd w:val="clear" w:color="auto" w:fill="FFFFFF"/>
        <w:spacing w:before="0" w:beforeAutospacing="0" w:after="0" w:afterAutospacing="0"/>
        <w:jc w:val="both"/>
        <w:rPr>
          <w:color w:val="333333"/>
          <w:lang w:val="en-US"/>
        </w:rPr>
      </w:pPr>
      <w:r w:rsidRPr="00715798">
        <w:rPr>
          <w:rStyle w:val="webprefix-num"/>
          <w:color w:val="333333"/>
          <w:shd w:val="clear" w:color="auto" w:fill="FFFFFF"/>
          <w:lang w:val="en-US"/>
        </w:rPr>
        <w:t>Figure 1.9. </w:t>
      </w:r>
      <w:r w:rsidRPr="00715798">
        <w:rPr>
          <w:b/>
          <w:bCs/>
          <w:color w:val="000000"/>
          <w:shd w:val="clear" w:color="auto" w:fill="FFFFFF"/>
          <w:lang w:val="en-US"/>
        </w:rPr>
        <w:t>Global share of buildings and construction final energy and emissions, 2019</w:t>
      </w:r>
    </w:p>
    <w:p w:rsidR="00BE473A" w:rsidRPr="00715798" w:rsidRDefault="00BE473A" w:rsidP="00BE473A">
      <w:pPr>
        <w:spacing w:line="240" w:lineRule="auto"/>
        <w:jc w:val="both"/>
        <w:rPr>
          <w:rFonts w:ascii="Times New Roman" w:hAnsi="Times New Roman" w:cs="Times New Roman"/>
          <w:sz w:val="24"/>
          <w:szCs w:val="24"/>
          <w:lang w:val="en-US"/>
        </w:rPr>
      </w:pPr>
      <w:r w:rsidRPr="00715798">
        <w:rPr>
          <w:rFonts w:ascii="Times New Roman" w:hAnsi="Times New Roman" w:cs="Times New Roman"/>
          <w:noProof/>
          <w:sz w:val="24"/>
          <w:szCs w:val="24"/>
          <w:lang w:val="en-GB" w:eastAsia="zh-CN"/>
        </w:rPr>
        <w:drawing>
          <wp:inline distT="0" distB="0" distL="0" distR="0">
            <wp:extent cx="5731510" cy="2414876"/>
            <wp:effectExtent l="0" t="0" r="2540" b="5080"/>
            <wp:docPr id="15" name="Imagen 15" descr="Figure 1.9. Global share of buildings and construction final energy and emissions, 2019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Figure 1.9. Global share of buildings and construction final energy and emissions, 2019 "/>
                    <pic:cNvPicPr>
                      <a:picLocks noChangeAspect="1" noChangeArrowheads="1"/>
                    </pic:cNvPicPr>
                  </pic:nvPicPr>
                  <pic:blipFill>
                    <a:blip r:embed="rId3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1510" cy="2414876"/>
                    </a:xfrm>
                    <a:prstGeom prst="rect">
                      <a:avLst/>
                    </a:prstGeom>
                    <a:noFill/>
                    <a:ln>
                      <a:noFill/>
                    </a:ln>
                  </pic:spPr>
                </pic:pic>
              </a:graphicData>
            </a:graphic>
          </wp:inline>
        </w:drawing>
      </w:r>
    </w:p>
    <w:p w:rsidR="00BE473A" w:rsidRPr="00715798" w:rsidRDefault="00BE473A" w:rsidP="00BE473A">
      <w:pPr>
        <w:pStyle w:val="webnote"/>
        <w:shd w:val="clear" w:color="auto" w:fill="FFFFFF"/>
        <w:spacing w:before="0" w:beforeAutospacing="0" w:after="0" w:afterAutospacing="0"/>
        <w:jc w:val="both"/>
        <w:rPr>
          <w:color w:val="333333"/>
          <w:lang w:val="en-US"/>
        </w:rPr>
      </w:pPr>
      <w:r w:rsidRPr="00715798">
        <w:rPr>
          <w:color w:val="333333"/>
          <w:lang w:val="en-US"/>
        </w:rPr>
        <w:t>Note: Buildings construction industry is the portion (estimated) of overall industry devoted to manufacturing building construction materials such as steel, cement and glass. Indirect emissions are emissions from power generation for electricity and commercial heat.</w:t>
      </w:r>
    </w:p>
    <w:p w:rsidR="00BE473A" w:rsidRPr="00715798" w:rsidRDefault="00BE473A" w:rsidP="00BE473A">
      <w:pPr>
        <w:pStyle w:val="websource"/>
        <w:shd w:val="clear" w:color="auto" w:fill="FFFFFF"/>
        <w:spacing w:before="0" w:beforeAutospacing="0" w:after="0" w:afterAutospacing="0"/>
        <w:jc w:val="both"/>
        <w:rPr>
          <w:color w:val="333333"/>
          <w:lang w:val="en-US"/>
        </w:rPr>
      </w:pPr>
      <w:r w:rsidRPr="00715798">
        <w:rPr>
          <w:color w:val="333333"/>
          <w:lang w:val="en-US"/>
        </w:rPr>
        <w:t>Source: United Nations Environment Programme, (2020)</w:t>
      </w:r>
    </w:p>
    <w:p w:rsidR="00BE473A" w:rsidRPr="00715798" w:rsidRDefault="00BE473A" w:rsidP="00BE473A">
      <w:pPr>
        <w:pStyle w:val="websource"/>
        <w:shd w:val="clear" w:color="auto" w:fill="FFFFFF"/>
        <w:spacing w:before="0" w:beforeAutospacing="0" w:after="0" w:afterAutospacing="0"/>
        <w:jc w:val="both"/>
        <w:rPr>
          <w:color w:val="333333"/>
          <w:lang w:val="en-US"/>
        </w:rPr>
      </w:pPr>
    </w:p>
    <w:p w:rsidR="00BE473A" w:rsidRDefault="00BE473A" w:rsidP="00BE473A">
      <w:pPr>
        <w:pStyle w:val="websource"/>
        <w:shd w:val="clear" w:color="auto" w:fill="FFFFFF"/>
        <w:spacing w:before="0" w:beforeAutospacing="0" w:after="0" w:afterAutospacing="0"/>
        <w:jc w:val="both"/>
        <w:rPr>
          <w:rStyle w:val="webprefix-num"/>
          <w:color w:val="333333"/>
          <w:shd w:val="clear" w:color="auto" w:fill="FFFFFF"/>
          <w:lang w:val="en-US"/>
        </w:rPr>
      </w:pPr>
    </w:p>
    <w:p w:rsidR="00BE473A" w:rsidRDefault="00BE473A" w:rsidP="00BE473A">
      <w:pPr>
        <w:pStyle w:val="websource"/>
        <w:shd w:val="clear" w:color="auto" w:fill="FFFFFF"/>
        <w:spacing w:before="0" w:beforeAutospacing="0" w:after="0" w:afterAutospacing="0"/>
        <w:jc w:val="both"/>
        <w:rPr>
          <w:rStyle w:val="webprefix-num"/>
          <w:color w:val="333333"/>
          <w:shd w:val="clear" w:color="auto" w:fill="FFFFFF"/>
          <w:lang w:val="en-US"/>
        </w:rPr>
      </w:pPr>
    </w:p>
    <w:p w:rsidR="00BE473A" w:rsidRDefault="00BE473A" w:rsidP="00BE473A">
      <w:pPr>
        <w:pStyle w:val="websource"/>
        <w:shd w:val="clear" w:color="auto" w:fill="FFFFFF"/>
        <w:spacing w:before="0" w:beforeAutospacing="0" w:after="0" w:afterAutospacing="0"/>
        <w:jc w:val="both"/>
        <w:rPr>
          <w:rStyle w:val="webprefix-num"/>
          <w:color w:val="333333"/>
          <w:shd w:val="clear" w:color="auto" w:fill="FFFFFF"/>
          <w:lang w:val="en-US"/>
        </w:rPr>
      </w:pPr>
    </w:p>
    <w:p w:rsidR="00BE473A" w:rsidRDefault="00BE473A" w:rsidP="00BE473A">
      <w:pPr>
        <w:pStyle w:val="websource"/>
        <w:shd w:val="clear" w:color="auto" w:fill="FFFFFF"/>
        <w:spacing w:before="0" w:beforeAutospacing="0" w:after="0" w:afterAutospacing="0"/>
        <w:jc w:val="both"/>
        <w:rPr>
          <w:rStyle w:val="webprefix-num"/>
          <w:color w:val="333333"/>
          <w:shd w:val="clear" w:color="auto" w:fill="FFFFFF"/>
          <w:lang w:val="en-US"/>
        </w:rPr>
      </w:pPr>
    </w:p>
    <w:p w:rsidR="00BE473A" w:rsidRDefault="00BE473A" w:rsidP="00BE473A">
      <w:pPr>
        <w:pStyle w:val="websource"/>
        <w:shd w:val="clear" w:color="auto" w:fill="FFFFFF"/>
        <w:spacing w:before="0" w:beforeAutospacing="0" w:after="0" w:afterAutospacing="0"/>
        <w:jc w:val="both"/>
        <w:rPr>
          <w:rStyle w:val="webprefix-num"/>
          <w:color w:val="333333"/>
          <w:shd w:val="clear" w:color="auto" w:fill="FFFFFF"/>
          <w:lang w:val="en-US"/>
        </w:rPr>
      </w:pPr>
    </w:p>
    <w:p w:rsidR="00BE473A" w:rsidRDefault="00BE473A" w:rsidP="00BE473A">
      <w:pPr>
        <w:pStyle w:val="websource"/>
        <w:shd w:val="clear" w:color="auto" w:fill="FFFFFF"/>
        <w:spacing w:before="0" w:beforeAutospacing="0" w:after="0" w:afterAutospacing="0"/>
        <w:jc w:val="both"/>
        <w:rPr>
          <w:rStyle w:val="webprefix-num"/>
          <w:color w:val="333333"/>
          <w:shd w:val="clear" w:color="auto" w:fill="FFFFFF"/>
          <w:lang w:val="en-US"/>
        </w:rPr>
      </w:pPr>
    </w:p>
    <w:p w:rsidR="00BE473A" w:rsidRDefault="00BE473A" w:rsidP="00BE473A">
      <w:pPr>
        <w:pStyle w:val="websource"/>
        <w:shd w:val="clear" w:color="auto" w:fill="FFFFFF"/>
        <w:spacing w:before="0" w:beforeAutospacing="0" w:after="0" w:afterAutospacing="0"/>
        <w:jc w:val="both"/>
        <w:rPr>
          <w:rStyle w:val="webprefix-num"/>
          <w:color w:val="333333"/>
          <w:shd w:val="clear" w:color="auto" w:fill="FFFFFF"/>
          <w:lang w:val="en-US"/>
        </w:rPr>
      </w:pPr>
    </w:p>
    <w:p w:rsidR="00BE473A" w:rsidRPr="00715798" w:rsidRDefault="00BE473A" w:rsidP="00BE473A">
      <w:pPr>
        <w:pStyle w:val="websource"/>
        <w:shd w:val="clear" w:color="auto" w:fill="FFFFFF"/>
        <w:spacing w:before="0" w:beforeAutospacing="0" w:after="0" w:afterAutospacing="0"/>
        <w:jc w:val="both"/>
        <w:rPr>
          <w:color w:val="333333"/>
          <w:lang w:val="en-US"/>
        </w:rPr>
      </w:pPr>
      <w:r w:rsidRPr="00715798">
        <w:rPr>
          <w:rStyle w:val="webprefix-num"/>
          <w:color w:val="333333"/>
          <w:shd w:val="clear" w:color="auto" w:fill="FFFFFF"/>
          <w:lang w:val="en-US"/>
        </w:rPr>
        <w:lastRenderedPageBreak/>
        <w:t>Figure 1.10. </w:t>
      </w:r>
      <w:r w:rsidRPr="00715798">
        <w:rPr>
          <w:b/>
          <w:bCs/>
          <w:color w:val="000000"/>
          <w:shd w:val="clear" w:color="auto" w:fill="FFFFFF"/>
          <w:lang w:val="en-US"/>
        </w:rPr>
        <w:t>Fixed-rate mortgages and moderate debt service ratios limit risks in housing markets</w:t>
      </w:r>
    </w:p>
    <w:p w:rsidR="00BE473A" w:rsidRPr="00715798" w:rsidRDefault="00BE473A" w:rsidP="00BE473A">
      <w:pPr>
        <w:spacing w:line="240" w:lineRule="auto"/>
        <w:jc w:val="both"/>
        <w:rPr>
          <w:rFonts w:ascii="Times New Roman" w:hAnsi="Times New Roman" w:cs="Times New Roman"/>
          <w:sz w:val="24"/>
          <w:szCs w:val="24"/>
          <w:lang w:val="en-US"/>
        </w:rPr>
      </w:pPr>
      <w:r w:rsidRPr="00715798">
        <w:rPr>
          <w:rFonts w:ascii="Times New Roman" w:hAnsi="Times New Roman" w:cs="Times New Roman"/>
          <w:noProof/>
          <w:sz w:val="24"/>
          <w:szCs w:val="24"/>
          <w:lang w:val="en-GB" w:eastAsia="zh-CN"/>
        </w:rPr>
        <w:drawing>
          <wp:inline distT="0" distB="0" distL="0" distR="0">
            <wp:extent cx="5733495" cy="1847850"/>
            <wp:effectExtent l="0" t="0" r="635" b="0"/>
            <wp:docPr id="16" name="Imagen 16" descr="Figure 1.10. Fixed-rate mortgages and moderate debt service ratios limit risks in housing marke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Figure 1.10. Fixed-rate mortgages and moderate debt service ratios limit risks in housing markets"/>
                    <pic:cNvPicPr>
                      <a:picLocks noChangeAspect="1" noChangeArrowheads="1"/>
                    </pic:cNvPicPr>
                  </pic:nvPicPr>
                  <pic:blipFill>
                    <a:blip r:embed="rId4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1510" cy="1847210"/>
                    </a:xfrm>
                    <a:prstGeom prst="rect">
                      <a:avLst/>
                    </a:prstGeom>
                    <a:noFill/>
                    <a:ln>
                      <a:noFill/>
                    </a:ln>
                  </pic:spPr>
                </pic:pic>
              </a:graphicData>
            </a:graphic>
          </wp:inline>
        </w:drawing>
      </w:r>
    </w:p>
    <w:p w:rsidR="00BE473A" w:rsidRPr="00715798" w:rsidRDefault="00BE473A" w:rsidP="00BE473A">
      <w:pPr>
        <w:pStyle w:val="webnote"/>
        <w:shd w:val="clear" w:color="auto" w:fill="FFFFFF"/>
        <w:spacing w:before="0" w:beforeAutospacing="0" w:after="0" w:afterAutospacing="0"/>
        <w:jc w:val="both"/>
        <w:rPr>
          <w:color w:val="333333"/>
          <w:lang w:val="en-US"/>
        </w:rPr>
      </w:pPr>
      <w:r w:rsidRPr="00715798">
        <w:rPr>
          <w:color w:val="333333"/>
          <w:lang w:val="en-US"/>
        </w:rPr>
        <w:t>Note: The level of household credit is measured as of 2021 Q3, and the average share of ARM at issuance in 2019 and 2020 is used to proxy for the importance of each type of mortgage in each country</w:t>
      </w:r>
    </w:p>
    <w:p w:rsidR="00BE473A" w:rsidRPr="00715798" w:rsidRDefault="00BE473A" w:rsidP="00BE473A">
      <w:pPr>
        <w:pStyle w:val="websource"/>
        <w:shd w:val="clear" w:color="auto" w:fill="FFFFFF"/>
        <w:spacing w:before="0" w:beforeAutospacing="0" w:after="0" w:afterAutospacing="0"/>
        <w:jc w:val="both"/>
        <w:rPr>
          <w:color w:val="333333"/>
          <w:lang w:val="en-US"/>
        </w:rPr>
      </w:pPr>
      <w:r w:rsidRPr="00715798">
        <w:rPr>
          <w:color w:val="333333"/>
          <w:lang w:val="en-US"/>
        </w:rPr>
        <w:t>Source: OECD Economic Outlook </w:t>
      </w:r>
      <w:r w:rsidRPr="003A236B">
        <w:rPr>
          <w:rStyle w:val="webbibref"/>
          <w:lang w:val="en-US"/>
        </w:rPr>
        <w:t>(OECD, 2022</w:t>
      </w:r>
      <w:r w:rsidRPr="00715798">
        <w:rPr>
          <w:color w:val="333333"/>
          <w:lang w:val="en-US"/>
        </w:rPr>
        <w:t>)</w:t>
      </w:r>
    </w:p>
    <w:p w:rsidR="00BE473A" w:rsidRPr="00715798" w:rsidRDefault="00BE473A" w:rsidP="00BE473A">
      <w:pPr>
        <w:pStyle w:val="websource"/>
        <w:shd w:val="clear" w:color="auto" w:fill="FFFFFF"/>
        <w:spacing w:before="0" w:beforeAutospacing="0" w:after="0" w:afterAutospacing="0"/>
        <w:jc w:val="both"/>
        <w:rPr>
          <w:color w:val="333333"/>
          <w:lang w:val="en-US"/>
        </w:rPr>
      </w:pPr>
    </w:p>
    <w:p w:rsidR="00BE473A" w:rsidRPr="00715798" w:rsidRDefault="00BE473A" w:rsidP="00BE473A">
      <w:pPr>
        <w:pStyle w:val="websource"/>
        <w:shd w:val="clear" w:color="auto" w:fill="FFFFFF"/>
        <w:spacing w:before="0" w:beforeAutospacing="0" w:after="0" w:afterAutospacing="0"/>
        <w:jc w:val="both"/>
        <w:rPr>
          <w:b/>
          <w:bCs/>
          <w:color w:val="000000"/>
          <w:shd w:val="clear" w:color="auto" w:fill="FFFFFF"/>
          <w:lang w:val="en-US"/>
        </w:rPr>
      </w:pPr>
      <w:r w:rsidRPr="00715798">
        <w:rPr>
          <w:rStyle w:val="webprefix-num"/>
          <w:color w:val="333333"/>
          <w:shd w:val="clear" w:color="auto" w:fill="FFFFFF"/>
          <w:lang w:val="en-US"/>
        </w:rPr>
        <w:t>Figure 2.1. </w:t>
      </w:r>
      <w:r w:rsidRPr="00715798">
        <w:rPr>
          <w:b/>
          <w:bCs/>
          <w:color w:val="000000"/>
          <w:shd w:val="clear" w:color="auto" w:fill="FFFFFF"/>
          <w:lang w:val="en-US"/>
        </w:rPr>
        <w:t>Average decomposition of household assets, 29 OECD countries</w:t>
      </w:r>
    </w:p>
    <w:p w:rsidR="00BE473A" w:rsidRPr="00715798" w:rsidRDefault="00BE473A" w:rsidP="00BE473A">
      <w:pPr>
        <w:pStyle w:val="websource"/>
        <w:shd w:val="clear" w:color="auto" w:fill="FFFFFF"/>
        <w:spacing w:before="0" w:beforeAutospacing="0" w:after="0" w:afterAutospacing="0"/>
        <w:ind w:left="2832"/>
        <w:jc w:val="both"/>
        <w:rPr>
          <w:color w:val="333333"/>
          <w:lang w:val="en-US"/>
        </w:rPr>
      </w:pPr>
      <w:r w:rsidRPr="00715798">
        <w:rPr>
          <w:color w:val="000000"/>
          <w:shd w:val="clear" w:color="auto" w:fill="FFFFFF"/>
        </w:rPr>
        <w:t>2019 or latest available year</w:t>
      </w:r>
    </w:p>
    <w:p w:rsidR="00BE473A" w:rsidRPr="00715798" w:rsidRDefault="00BE473A" w:rsidP="00BE473A">
      <w:pPr>
        <w:spacing w:line="240" w:lineRule="auto"/>
        <w:jc w:val="both"/>
        <w:rPr>
          <w:rFonts w:ascii="Times New Roman" w:hAnsi="Times New Roman" w:cs="Times New Roman"/>
          <w:sz w:val="24"/>
          <w:szCs w:val="24"/>
          <w:lang w:val="en-US"/>
        </w:rPr>
      </w:pPr>
      <w:r w:rsidRPr="00715798">
        <w:rPr>
          <w:rFonts w:ascii="Times New Roman" w:hAnsi="Times New Roman" w:cs="Times New Roman"/>
          <w:noProof/>
          <w:sz w:val="24"/>
          <w:szCs w:val="24"/>
          <w:lang w:val="en-GB" w:eastAsia="zh-CN"/>
        </w:rPr>
        <w:drawing>
          <wp:inline distT="0" distB="0" distL="0" distR="0">
            <wp:extent cx="5733383" cy="2228850"/>
            <wp:effectExtent l="0" t="0" r="1270" b="0"/>
            <wp:docPr id="17" name="Imagen 17" descr="Figure 2.1. Average decomposition of household assets, 29 OECD countri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Figure 2.1. Average decomposition of household assets, 29 OECD countries"/>
                    <pic:cNvPicPr>
                      <a:picLocks noChangeAspect="1" noChangeArrowheads="1"/>
                    </pic:cNvPicPr>
                  </pic:nvPicPr>
                  <pic:blipFill>
                    <a:blip r:embed="rId4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1510" cy="2228122"/>
                    </a:xfrm>
                    <a:prstGeom prst="rect">
                      <a:avLst/>
                    </a:prstGeom>
                    <a:noFill/>
                    <a:ln>
                      <a:noFill/>
                    </a:ln>
                  </pic:spPr>
                </pic:pic>
              </a:graphicData>
            </a:graphic>
          </wp:inline>
        </w:drawing>
      </w:r>
    </w:p>
    <w:p w:rsidR="00BE473A" w:rsidRPr="00715798" w:rsidRDefault="00BE473A" w:rsidP="00BE473A">
      <w:pPr>
        <w:spacing w:after="0" w:line="240" w:lineRule="auto"/>
        <w:jc w:val="both"/>
        <w:rPr>
          <w:rFonts w:ascii="Times New Roman" w:eastAsia="Times New Roman" w:hAnsi="Times New Roman" w:cs="Times New Roman"/>
          <w:b/>
          <w:bCs/>
          <w:color w:val="000000"/>
          <w:sz w:val="24"/>
          <w:szCs w:val="24"/>
          <w:lang w:val="en-US" w:eastAsia="es-ES"/>
        </w:rPr>
      </w:pPr>
      <w:r w:rsidRPr="00715798">
        <w:rPr>
          <w:rFonts w:ascii="Times New Roman" w:eastAsia="Times New Roman" w:hAnsi="Times New Roman" w:cs="Times New Roman"/>
          <w:color w:val="333333"/>
          <w:sz w:val="24"/>
          <w:szCs w:val="24"/>
          <w:lang w:val="en-US" w:eastAsia="es-ES"/>
        </w:rPr>
        <w:t>Figure 2.2. </w:t>
      </w:r>
      <w:r w:rsidRPr="00715798">
        <w:rPr>
          <w:rFonts w:ascii="Times New Roman" w:eastAsia="Times New Roman" w:hAnsi="Times New Roman" w:cs="Times New Roman"/>
          <w:b/>
          <w:bCs/>
          <w:color w:val="000000"/>
          <w:sz w:val="24"/>
          <w:szCs w:val="24"/>
          <w:lang w:val="en-US" w:eastAsia="es-ES"/>
        </w:rPr>
        <w:t>Composition of household assets by wealth quintile, unweighted average, 29 OECD countries</w:t>
      </w:r>
    </w:p>
    <w:p w:rsidR="00BE473A" w:rsidRPr="00715798" w:rsidRDefault="00BE473A" w:rsidP="00BE473A">
      <w:pPr>
        <w:spacing w:after="0" w:line="240" w:lineRule="auto"/>
        <w:ind w:left="2124" w:firstLine="708"/>
        <w:jc w:val="both"/>
        <w:rPr>
          <w:rFonts w:ascii="Times New Roman" w:eastAsia="Times New Roman" w:hAnsi="Times New Roman" w:cs="Times New Roman"/>
          <w:color w:val="000000"/>
          <w:sz w:val="24"/>
          <w:szCs w:val="24"/>
          <w:lang w:eastAsia="es-ES"/>
        </w:rPr>
      </w:pPr>
      <w:r w:rsidRPr="00715798">
        <w:rPr>
          <w:rFonts w:ascii="Times New Roman" w:eastAsia="Times New Roman" w:hAnsi="Times New Roman" w:cs="Times New Roman"/>
          <w:color w:val="000000"/>
          <w:sz w:val="24"/>
          <w:szCs w:val="24"/>
          <w:lang w:eastAsia="es-ES"/>
        </w:rPr>
        <w:t>2019 or latest available year</w:t>
      </w:r>
    </w:p>
    <w:p w:rsidR="00BE473A" w:rsidRPr="00715798" w:rsidRDefault="00BE473A" w:rsidP="00BE473A">
      <w:pPr>
        <w:spacing w:line="240" w:lineRule="auto"/>
        <w:jc w:val="both"/>
        <w:rPr>
          <w:rFonts w:ascii="Times New Roman" w:hAnsi="Times New Roman" w:cs="Times New Roman"/>
          <w:sz w:val="24"/>
          <w:szCs w:val="24"/>
          <w:lang w:val="en-US"/>
        </w:rPr>
      </w:pPr>
      <w:r w:rsidRPr="00715798">
        <w:rPr>
          <w:rFonts w:ascii="Times New Roman" w:hAnsi="Times New Roman" w:cs="Times New Roman"/>
          <w:noProof/>
          <w:sz w:val="24"/>
          <w:szCs w:val="24"/>
          <w:lang w:val="en-GB" w:eastAsia="zh-CN"/>
        </w:rPr>
        <w:drawing>
          <wp:inline distT="0" distB="0" distL="0" distR="0">
            <wp:extent cx="5733383" cy="2184400"/>
            <wp:effectExtent l="0" t="0" r="1270" b="6350"/>
            <wp:docPr id="18" name="Imagen 18" descr="Figure 2.2. Composition of household assets by wealth quintile, unweighted average, 29 OECD countrie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Figure 2.2. Composition of household assets by wealth quintile, unweighted average, 29 OECD countries "/>
                    <pic:cNvPicPr>
                      <a:picLocks noChangeAspect="1" noChangeArrowheads="1"/>
                    </pic:cNvPicPr>
                  </pic:nvPicPr>
                  <pic:blipFill>
                    <a:blip r:embed="rId4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1510" cy="2183687"/>
                    </a:xfrm>
                    <a:prstGeom prst="rect">
                      <a:avLst/>
                    </a:prstGeom>
                    <a:noFill/>
                    <a:ln>
                      <a:noFill/>
                    </a:ln>
                  </pic:spPr>
                </pic:pic>
              </a:graphicData>
            </a:graphic>
          </wp:inline>
        </w:drawing>
      </w:r>
    </w:p>
    <w:p w:rsidR="00BE473A" w:rsidRPr="00715798" w:rsidRDefault="00BE473A" w:rsidP="00BE473A">
      <w:pPr>
        <w:spacing w:after="0" w:line="240" w:lineRule="auto"/>
        <w:jc w:val="both"/>
        <w:rPr>
          <w:rFonts w:ascii="Times New Roman" w:eastAsia="Times New Roman" w:hAnsi="Times New Roman" w:cs="Times New Roman"/>
          <w:b/>
          <w:bCs/>
          <w:color w:val="000000"/>
          <w:sz w:val="24"/>
          <w:szCs w:val="24"/>
          <w:lang w:val="en-US" w:eastAsia="es-ES"/>
        </w:rPr>
      </w:pPr>
      <w:r w:rsidRPr="00715798">
        <w:rPr>
          <w:rFonts w:ascii="Times New Roman" w:eastAsia="Times New Roman" w:hAnsi="Times New Roman" w:cs="Times New Roman"/>
          <w:color w:val="333333"/>
          <w:sz w:val="24"/>
          <w:szCs w:val="24"/>
          <w:lang w:val="en-US" w:eastAsia="es-ES"/>
        </w:rPr>
        <w:lastRenderedPageBreak/>
        <w:t>Figure 2.3. </w:t>
      </w:r>
      <w:r w:rsidRPr="00715798">
        <w:rPr>
          <w:rFonts w:ascii="Times New Roman" w:eastAsia="Times New Roman" w:hAnsi="Times New Roman" w:cs="Times New Roman"/>
          <w:b/>
          <w:bCs/>
          <w:color w:val="000000"/>
          <w:sz w:val="24"/>
          <w:szCs w:val="24"/>
          <w:lang w:val="en-US" w:eastAsia="es-ES"/>
        </w:rPr>
        <w:t>Share of households that are renters, owners with a mortgage, or outright owners, 28 OECD countries</w:t>
      </w:r>
    </w:p>
    <w:p w:rsidR="00BE473A" w:rsidRPr="00715798" w:rsidRDefault="00BE473A" w:rsidP="00BE473A">
      <w:pPr>
        <w:spacing w:after="0" w:line="240" w:lineRule="auto"/>
        <w:ind w:left="2124" w:firstLine="708"/>
        <w:jc w:val="both"/>
        <w:rPr>
          <w:rFonts w:ascii="Times New Roman" w:eastAsia="Times New Roman" w:hAnsi="Times New Roman" w:cs="Times New Roman"/>
          <w:color w:val="000000"/>
          <w:sz w:val="24"/>
          <w:szCs w:val="24"/>
          <w:lang w:eastAsia="es-ES"/>
        </w:rPr>
      </w:pPr>
      <w:r w:rsidRPr="00715798">
        <w:rPr>
          <w:rFonts w:ascii="Times New Roman" w:eastAsia="Times New Roman" w:hAnsi="Times New Roman" w:cs="Times New Roman"/>
          <w:color w:val="000000"/>
          <w:sz w:val="24"/>
          <w:szCs w:val="24"/>
          <w:lang w:eastAsia="es-ES"/>
        </w:rPr>
        <w:t>2019 or latest available year</w:t>
      </w:r>
    </w:p>
    <w:p w:rsidR="00BE473A" w:rsidRPr="00715798" w:rsidRDefault="00BE473A" w:rsidP="00BE473A">
      <w:pPr>
        <w:spacing w:line="240" w:lineRule="auto"/>
        <w:jc w:val="both"/>
        <w:rPr>
          <w:rFonts w:ascii="Times New Roman" w:hAnsi="Times New Roman" w:cs="Times New Roman"/>
          <w:sz w:val="24"/>
          <w:szCs w:val="24"/>
          <w:lang w:val="en-US"/>
        </w:rPr>
      </w:pPr>
      <w:r w:rsidRPr="00715798">
        <w:rPr>
          <w:rFonts w:ascii="Times New Roman" w:hAnsi="Times New Roman" w:cs="Times New Roman"/>
          <w:noProof/>
          <w:sz w:val="24"/>
          <w:szCs w:val="24"/>
          <w:lang w:val="en-GB" w:eastAsia="zh-CN"/>
        </w:rPr>
        <w:drawing>
          <wp:inline distT="0" distB="0" distL="0" distR="0">
            <wp:extent cx="5731510" cy="2353740"/>
            <wp:effectExtent l="0" t="0" r="2540" b="8890"/>
            <wp:docPr id="19" name="Imagen 19" descr="Figure 2.3. Share of households that are renters, owners with a mortgage, or outright owners, 28 OECD countri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Figure 2.3. Share of households that are renters, owners with a mortgage, or outright owners, 28 OECD countries"/>
                    <pic:cNvPicPr>
                      <a:picLocks noChangeAspect="1" noChangeArrowheads="1"/>
                    </pic:cNvPicPr>
                  </pic:nvPicPr>
                  <pic:blipFill>
                    <a:blip r:embed="rId4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1510" cy="2353740"/>
                    </a:xfrm>
                    <a:prstGeom prst="rect">
                      <a:avLst/>
                    </a:prstGeom>
                    <a:noFill/>
                    <a:ln>
                      <a:noFill/>
                    </a:ln>
                  </pic:spPr>
                </pic:pic>
              </a:graphicData>
            </a:graphic>
          </wp:inline>
        </w:drawing>
      </w:r>
    </w:p>
    <w:p w:rsidR="00BE473A" w:rsidRPr="00715798" w:rsidRDefault="00BE473A" w:rsidP="00BE473A">
      <w:pPr>
        <w:spacing w:after="0" w:line="240" w:lineRule="auto"/>
        <w:jc w:val="both"/>
        <w:rPr>
          <w:rFonts w:ascii="Times New Roman" w:eastAsia="Times New Roman" w:hAnsi="Times New Roman" w:cs="Times New Roman"/>
          <w:b/>
          <w:bCs/>
          <w:color w:val="000000"/>
          <w:sz w:val="24"/>
          <w:szCs w:val="24"/>
          <w:lang w:val="en-US" w:eastAsia="es-ES"/>
        </w:rPr>
      </w:pPr>
      <w:r w:rsidRPr="00715798">
        <w:rPr>
          <w:rFonts w:ascii="Times New Roman" w:eastAsia="Times New Roman" w:hAnsi="Times New Roman" w:cs="Times New Roman"/>
          <w:color w:val="333333"/>
          <w:sz w:val="24"/>
          <w:szCs w:val="24"/>
          <w:lang w:val="en-US" w:eastAsia="es-ES"/>
        </w:rPr>
        <w:t>Figure 2.4. </w:t>
      </w:r>
      <w:r w:rsidRPr="00715798">
        <w:rPr>
          <w:rFonts w:ascii="Times New Roman" w:eastAsia="Times New Roman" w:hAnsi="Times New Roman" w:cs="Times New Roman"/>
          <w:b/>
          <w:bCs/>
          <w:color w:val="000000"/>
          <w:sz w:val="24"/>
          <w:szCs w:val="24"/>
          <w:lang w:val="en-US" w:eastAsia="es-ES"/>
        </w:rPr>
        <w:t>Homeownership rate by income quintile, 29 OECD countries</w:t>
      </w:r>
    </w:p>
    <w:p w:rsidR="00BE473A" w:rsidRPr="00715798" w:rsidRDefault="00BE473A" w:rsidP="00BE473A">
      <w:pPr>
        <w:spacing w:after="0" w:line="240" w:lineRule="auto"/>
        <w:ind w:left="2124" w:firstLine="708"/>
        <w:jc w:val="both"/>
        <w:rPr>
          <w:rFonts w:ascii="Times New Roman" w:eastAsia="Times New Roman" w:hAnsi="Times New Roman" w:cs="Times New Roman"/>
          <w:color w:val="000000"/>
          <w:sz w:val="24"/>
          <w:szCs w:val="24"/>
          <w:lang w:eastAsia="es-ES"/>
        </w:rPr>
      </w:pPr>
      <w:r w:rsidRPr="00715798">
        <w:rPr>
          <w:rFonts w:ascii="Times New Roman" w:eastAsia="Times New Roman" w:hAnsi="Times New Roman" w:cs="Times New Roman"/>
          <w:color w:val="000000"/>
          <w:sz w:val="24"/>
          <w:szCs w:val="24"/>
          <w:lang w:eastAsia="es-ES"/>
        </w:rPr>
        <w:t>2019 or latest available year</w:t>
      </w:r>
    </w:p>
    <w:p w:rsidR="00BE473A" w:rsidRPr="00715798" w:rsidRDefault="00BE473A" w:rsidP="00BE473A">
      <w:pPr>
        <w:spacing w:line="240" w:lineRule="auto"/>
        <w:jc w:val="both"/>
        <w:rPr>
          <w:rFonts w:ascii="Times New Roman" w:hAnsi="Times New Roman" w:cs="Times New Roman"/>
          <w:sz w:val="24"/>
          <w:szCs w:val="24"/>
          <w:lang w:val="en-US"/>
        </w:rPr>
      </w:pPr>
      <w:r w:rsidRPr="00715798">
        <w:rPr>
          <w:rFonts w:ascii="Times New Roman" w:hAnsi="Times New Roman" w:cs="Times New Roman"/>
          <w:noProof/>
          <w:sz w:val="24"/>
          <w:szCs w:val="24"/>
          <w:lang w:val="en-GB" w:eastAsia="zh-CN"/>
        </w:rPr>
        <w:drawing>
          <wp:inline distT="0" distB="0" distL="0" distR="0">
            <wp:extent cx="5730310" cy="3879850"/>
            <wp:effectExtent l="0" t="0" r="3810" b="6350"/>
            <wp:docPr id="20" name="Imagen 20" descr="Figure 2.4. Homeownership rate by income quintile, 29 OECD countri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Figure 2.4. Homeownership rate by income quintile, 29 OECD countries"/>
                    <pic:cNvPicPr>
                      <a:picLocks noChangeAspect="1" noChangeArrowheads="1"/>
                    </pic:cNvPicPr>
                  </pic:nvPicPr>
                  <pic:blipFill>
                    <a:blip r:embed="rId4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1510" cy="3880663"/>
                    </a:xfrm>
                    <a:prstGeom prst="rect">
                      <a:avLst/>
                    </a:prstGeom>
                    <a:noFill/>
                    <a:ln>
                      <a:noFill/>
                    </a:ln>
                  </pic:spPr>
                </pic:pic>
              </a:graphicData>
            </a:graphic>
          </wp:inline>
        </w:drawing>
      </w:r>
    </w:p>
    <w:p w:rsidR="00BE473A" w:rsidRDefault="00BE473A" w:rsidP="00BE473A">
      <w:pPr>
        <w:spacing w:after="0" w:line="240" w:lineRule="auto"/>
        <w:jc w:val="both"/>
        <w:rPr>
          <w:rFonts w:ascii="Times New Roman" w:eastAsia="Times New Roman" w:hAnsi="Times New Roman" w:cs="Times New Roman"/>
          <w:color w:val="333333"/>
          <w:sz w:val="24"/>
          <w:szCs w:val="24"/>
          <w:lang w:val="en-US" w:eastAsia="es-ES"/>
        </w:rPr>
      </w:pPr>
    </w:p>
    <w:p w:rsidR="00BE473A" w:rsidRDefault="00BE473A" w:rsidP="00BE473A">
      <w:pPr>
        <w:spacing w:after="0" w:line="240" w:lineRule="auto"/>
        <w:jc w:val="both"/>
        <w:rPr>
          <w:rFonts w:ascii="Times New Roman" w:eastAsia="Times New Roman" w:hAnsi="Times New Roman" w:cs="Times New Roman"/>
          <w:color w:val="333333"/>
          <w:sz w:val="24"/>
          <w:szCs w:val="24"/>
          <w:lang w:val="en-US" w:eastAsia="es-ES"/>
        </w:rPr>
      </w:pPr>
    </w:p>
    <w:p w:rsidR="00BE473A" w:rsidRDefault="00BE473A" w:rsidP="00BE473A">
      <w:pPr>
        <w:spacing w:after="0" w:line="240" w:lineRule="auto"/>
        <w:jc w:val="both"/>
        <w:rPr>
          <w:rFonts w:ascii="Times New Roman" w:eastAsia="Times New Roman" w:hAnsi="Times New Roman" w:cs="Times New Roman"/>
          <w:color w:val="333333"/>
          <w:sz w:val="24"/>
          <w:szCs w:val="24"/>
          <w:lang w:val="en-US" w:eastAsia="es-ES"/>
        </w:rPr>
      </w:pPr>
    </w:p>
    <w:p w:rsidR="00BE473A" w:rsidRDefault="00BE473A" w:rsidP="00BE473A">
      <w:pPr>
        <w:spacing w:after="0" w:line="240" w:lineRule="auto"/>
        <w:jc w:val="both"/>
        <w:rPr>
          <w:rFonts w:ascii="Times New Roman" w:eastAsia="Times New Roman" w:hAnsi="Times New Roman" w:cs="Times New Roman"/>
          <w:color w:val="333333"/>
          <w:sz w:val="24"/>
          <w:szCs w:val="24"/>
          <w:lang w:val="en-US" w:eastAsia="es-ES"/>
        </w:rPr>
      </w:pPr>
    </w:p>
    <w:p w:rsidR="00BE473A" w:rsidRDefault="00BE473A" w:rsidP="00BE473A">
      <w:pPr>
        <w:spacing w:after="0" w:line="240" w:lineRule="auto"/>
        <w:jc w:val="both"/>
        <w:rPr>
          <w:rFonts w:ascii="Times New Roman" w:eastAsia="Times New Roman" w:hAnsi="Times New Roman" w:cs="Times New Roman"/>
          <w:color w:val="333333"/>
          <w:sz w:val="24"/>
          <w:szCs w:val="24"/>
          <w:lang w:val="en-US" w:eastAsia="es-ES"/>
        </w:rPr>
      </w:pPr>
    </w:p>
    <w:p w:rsidR="00BE473A" w:rsidRDefault="00BE473A" w:rsidP="00BE473A">
      <w:pPr>
        <w:spacing w:after="0" w:line="240" w:lineRule="auto"/>
        <w:jc w:val="both"/>
        <w:rPr>
          <w:rFonts w:ascii="Times New Roman" w:eastAsia="Times New Roman" w:hAnsi="Times New Roman" w:cs="Times New Roman"/>
          <w:color w:val="333333"/>
          <w:sz w:val="24"/>
          <w:szCs w:val="24"/>
          <w:lang w:val="en-US" w:eastAsia="es-ES"/>
        </w:rPr>
      </w:pPr>
    </w:p>
    <w:p w:rsidR="00BE473A" w:rsidRDefault="00BE473A" w:rsidP="00BE473A">
      <w:pPr>
        <w:spacing w:after="0" w:line="240" w:lineRule="auto"/>
        <w:jc w:val="both"/>
        <w:rPr>
          <w:rFonts w:ascii="Times New Roman" w:eastAsia="Times New Roman" w:hAnsi="Times New Roman" w:cs="Times New Roman"/>
          <w:color w:val="333333"/>
          <w:sz w:val="24"/>
          <w:szCs w:val="24"/>
          <w:lang w:val="en-US" w:eastAsia="es-ES"/>
        </w:rPr>
      </w:pPr>
    </w:p>
    <w:p w:rsidR="00BE473A" w:rsidRPr="00715798" w:rsidRDefault="00BE473A" w:rsidP="00BE473A">
      <w:pPr>
        <w:spacing w:after="0" w:line="240" w:lineRule="auto"/>
        <w:jc w:val="both"/>
        <w:rPr>
          <w:rFonts w:ascii="Times New Roman" w:eastAsia="Times New Roman" w:hAnsi="Times New Roman" w:cs="Times New Roman"/>
          <w:b/>
          <w:bCs/>
          <w:color w:val="000000"/>
          <w:sz w:val="24"/>
          <w:szCs w:val="24"/>
          <w:lang w:val="en-US" w:eastAsia="es-ES"/>
        </w:rPr>
      </w:pPr>
      <w:r w:rsidRPr="00715798">
        <w:rPr>
          <w:rFonts w:ascii="Times New Roman" w:eastAsia="Times New Roman" w:hAnsi="Times New Roman" w:cs="Times New Roman"/>
          <w:color w:val="333333"/>
          <w:sz w:val="24"/>
          <w:szCs w:val="24"/>
          <w:lang w:val="en-US" w:eastAsia="es-ES"/>
        </w:rPr>
        <w:lastRenderedPageBreak/>
        <w:t>Figure 2.6. </w:t>
      </w:r>
      <w:r w:rsidRPr="00715798">
        <w:rPr>
          <w:rFonts w:ascii="Times New Roman" w:eastAsia="Times New Roman" w:hAnsi="Times New Roman" w:cs="Times New Roman"/>
          <w:b/>
          <w:bCs/>
          <w:color w:val="000000"/>
          <w:sz w:val="24"/>
          <w:szCs w:val="24"/>
          <w:lang w:val="en-US" w:eastAsia="es-ES"/>
        </w:rPr>
        <w:t>Mean gross wealth in owner-occupied housing and secondary real estate, all households and top and bottom income quintiles, 29 OECD countries</w:t>
      </w:r>
    </w:p>
    <w:p w:rsidR="00BE473A" w:rsidRPr="00715798" w:rsidRDefault="00BE473A" w:rsidP="00BE473A">
      <w:pPr>
        <w:spacing w:after="0" w:line="240" w:lineRule="auto"/>
        <w:ind w:left="2124" w:firstLine="708"/>
        <w:jc w:val="both"/>
        <w:rPr>
          <w:rFonts w:ascii="Times New Roman" w:eastAsia="Times New Roman" w:hAnsi="Times New Roman" w:cs="Times New Roman"/>
          <w:color w:val="000000"/>
          <w:sz w:val="24"/>
          <w:szCs w:val="24"/>
          <w:lang w:eastAsia="es-ES"/>
        </w:rPr>
      </w:pPr>
      <w:r w:rsidRPr="00715798">
        <w:rPr>
          <w:rFonts w:ascii="Times New Roman" w:eastAsia="Times New Roman" w:hAnsi="Times New Roman" w:cs="Times New Roman"/>
          <w:color w:val="000000"/>
          <w:sz w:val="24"/>
          <w:szCs w:val="24"/>
          <w:lang w:eastAsia="es-ES"/>
        </w:rPr>
        <w:t>2019 or latest available year</w:t>
      </w:r>
    </w:p>
    <w:p w:rsidR="00BE473A" w:rsidRPr="00715798" w:rsidRDefault="00BE473A" w:rsidP="00BE473A">
      <w:pPr>
        <w:spacing w:line="240" w:lineRule="auto"/>
        <w:jc w:val="both"/>
        <w:rPr>
          <w:rFonts w:ascii="Times New Roman" w:hAnsi="Times New Roman" w:cs="Times New Roman"/>
          <w:sz w:val="24"/>
          <w:szCs w:val="24"/>
          <w:lang w:val="en-US"/>
        </w:rPr>
      </w:pPr>
      <w:r w:rsidRPr="00715798">
        <w:rPr>
          <w:rFonts w:ascii="Times New Roman" w:hAnsi="Times New Roman" w:cs="Times New Roman"/>
          <w:noProof/>
          <w:sz w:val="24"/>
          <w:szCs w:val="24"/>
          <w:lang w:val="en-GB" w:eastAsia="zh-CN"/>
        </w:rPr>
        <w:drawing>
          <wp:inline distT="0" distB="0" distL="0" distR="0">
            <wp:extent cx="5732531" cy="5695950"/>
            <wp:effectExtent l="0" t="0" r="1905" b="0"/>
            <wp:docPr id="21" name="Imagen 21" descr="Figure 2.6. Mean gross wealth in owner-occupied housing and secondary real estate, all households and top and bottom income quintiles, 29 OECD countri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Figure 2.6. Mean gross wealth in owner-occupied housing and secondary real estate, all households and top and bottom income quintiles, 29 OECD countries"/>
                    <pic:cNvPicPr>
                      <a:picLocks noChangeAspect="1" noChangeArrowheads="1"/>
                    </pic:cNvPicPr>
                  </pic:nvPicPr>
                  <pic:blipFill>
                    <a:blip r:embed="rId4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1510" cy="5694936"/>
                    </a:xfrm>
                    <a:prstGeom prst="rect">
                      <a:avLst/>
                    </a:prstGeom>
                    <a:noFill/>
                    <a:ln>
                      <a:noFill/>
                    </a:ln>
                  </pic:spPr>
                </pic:pic>
              </a:graphicData>
            </a:graphic>
          </wp:inline>
        </w:drawing>
      </w:r>
    </w:p>
    <w:p w:rsidR="00BE473A" w:rsidRPr="00715798" w:rsidRDefault="00BE473A" w:rsidP="00BE473A">
      <w:pPr>
        <w:spacing w:after="0" w:line="240" w:lineRule="auto"/>
        <w:jc w:val="both"/>
        <w:rPr>
          <w:rFonts w:ascii="Times New Roman" w:eastAsia="Times New Roman" w:hAnsi="Times New Roman" w:cs="Times New Roman"/>
          <w:b/>
          <w:bCs/>
          <w:color w:val="000000"/>
          <w:sz w:val="24"/>
          <w:szCs w:val="24"/>
          <w:lang w:val="en-US" w:eastAsia="es-ES"/>
        </w:rPr>
      </w:pPr>
      <w:r w:rsidRPr="00715798">
        <w:rPr>
          <w:rFonts w:ascii="Times New Roman" w:eastAsia="Times New Roman" w:hAnsi="Times New Roman" w:cs="Times New Roman"/>
          <w:color w:val="333333"/>
          <w:sz w:val="24"/>
          <w:szCs w:val="24"/>
          <w:lang w:val="en-US" w:eastAsia="es-ES"/>
        </w:rPr>
        <w:t>Figure 2.7. </w:t>
      </w:r>
      <w:r w:rsidRPr="00715798">
        <w:rPr>
          <w:rFonts w:ascii="Times New Roman" w:eastAsia="Times New Roman" w:hAnsi="Times New Roman" w:cs="Times New Roman"/>
          <w:b/>
          <w:bCs/>
          <w:color w:val="000000"/>
          <w:sz w:val="24"/>
          <w:szCs w:val="24"/>
          <w:lang w:val="en-US" w:eastAsia="es-ES"/>
        </w:rPr>
        <w:t>Share of owner-occupied housing and secondary real estate by wealth quintile, unweighted average, 29 OECD countries</w:t>
      </w:r>
    </w:p>
    <w:p w:rsidR="00BE473A" w:rsidRPr="00715798" w:rsidRDefault="00BE473A" w:rsidP="00BE473A">
      <w:pPr>
        <w:spacing w:after="0" w:line="240" w:lineRule="auto"/>
        <w:ind w:left="2832" w:firstLine="708"/>
        <w:jc w:val="both"/>
        <w:rPr>
          <w:rFonts w:ascii="Times New Roman" w:eastAsia="Times New Roman" w:hAnsi="Times New Roman" w:cs="Times New Roman"/>
          <w:color w:val="000000"/>
          <w:sz w:val="24"/>
          <w:szCs w:val="24"/>
          <w:lang w:eastAsia="es-ES"/>
        </w:rPr>
      </w:pPr>
      <w:r w:rsidRPr="00715798">
        <w:rPr>
          <w:rFonts w:ascii="Times New Roman" w:eastAsia="Times New Roman" w:hAnsi="Times New Roman" w:cs="Times New Roman"/>
          <w:color w:val="000000"/>
          <w:sz w:val="24"/>
          <w:szCs w:val="24"/>
          <w:lang w:eastAsia="es-ES"/>
        </w:rPr>
        <w:t>2019 or latest available year</w:t>
      </w:r>
    </w:p>
    <w:p w:rsidR="00BE473A" w:rsidRPr="00715798" w:rsidRDefault="00BE473A" w:rsidP="00BE473A">
      <w:pPr>
        <w:spacing w:line="240" w:lineRule="auto"/>
        <w:jc w:val="both"/>
        <w:rPr>
          <w:rFonts w:ascii="Times New Roman" w:hAnsi="Times New Roman" w:cs="Times New Roman"/>
          <w:sz w:val="24"/>
          <w:szCs w:val="24"/>
          <w:lang w:val="en-US"/>
        </w:rPr>
      </w:pPr>
      <w:r w:rsidRPr="00715798">
        <w:rPr>
          <w:rFonts w:ascii="Times New Roman" w:hAnsi="Times New Roman" w:cs="Times New Roman"/>
          <w:noProof/>
          <w:sz w:val="24"/>
          <w:szCs w:val="24"/>
          <w:lang w:val="en-GB" w:eastAsia="zh-CN"/>
        </w:rPr>
        <w:drawing>
          <wp:inline distT="0" distB="0" distL="0" distR="0">
            <wp:extent cx="5727699" cy="1892300"/>
            <wp:effectExtent l="0" t="0" r="6985" b="0"/>
            <wp:docPr id="22" name="Imagen 22" descr="Figure 2.7. Share of owner-occupied housing and secondary real estate by wealth quintile, unweighted average, 29 OECD countrie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Figure 2.7. Share of owner-occupied housing and secondary real estate by wealth quintile, unweighted average, 29 OECD countries "/>
                    <pic:cNvPicPr>
                      <a:picLocks noChangeAspect="1" noChangeArrowheads="1"/>
                    </pic:cNvPicPr>
                  </pic:nvPicPr>
                  <pic:blipFill>
                    <a:blip r:embed="rId4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1510" cy="1893559"/>
                    </a:xfrm>
                    <a:prstGeom prst="rect">
                      <a:avLst/>
                    </a:prstGeom>
                    <a:noFill/>
                    <a:ln>
                      <a:noFill/>
                    </a:ln>
                  </pic:spPr>
                </pic:pic>
              </a:graphicData>
            </a:graphic>
          </wp:inline>
        </w:drawing>
      </w:r>
    </w:p>
    <w:p w:rsidR="00BE473A" w:rsidRPr="00715798" w:rsidRDefault="00BE473A" w:rsidP="00BE473A">
      <w:pPr>
        <w:spacing w:after="0" w:line="240" w:lineRule="auto"/>
        <w:jc w:val="both"/>
        <w:rPr>
          <w:rFonts w:ascii="Times New Roman" w:eastAsia="Times New Roman" w:hAnsi="Times New Roman" w:cs="Times New Roman"/>
          <w:b/>
          <w:bCs/>
          <w:color w:val="000000"/>
          <w:sz w:val="24"/>
          <w:szCs w:val="24"/>
          <w:lang w:val="en-US" w:eastAsia="es-ES"/>
        </w:rPr>
      </w:pPr>
      <w:r w:rsidRPr="00715798">
        <w:rPr>
          <w:rFonts w:ascii="Times New Roman" w:eastAsia="Times New Roman" w:hAnsi="Times New Roman" w:cs="Times New Roman"/>
          <w:color w:val="333333"/>
          <w:sz w:val="24"/>
          <w:szCs w:val="24"/>
          <w:lang w:val="en-US" w:eastAsia="es-ES"/>
        </w:rPr>
        <w:lastRenderedPageBreak/>
        <w:t>Figure 2.8. </w:t>
      </w:r>
      <w:r w:rsidRPr="00715798">
        <w:rPr>
          <w:rFonts w:ascii="Times New Roman" w:eastAsia="Times New Roman" w:hAnsi="Times New Roman" w:cs="Times New Roman"/>
          <w:b/>
          <w:bCs/>
          <w:color w:val="000000"/>
          <w:sz w:val="24"/>
          <w:szCs w:val="24"/>
          <w:lang w:val="en-US" w:eastAsia="es-ES"/>
        </w:rPr>
        <w:t>Share of owner-occupied and secondary real estate debt by income quintile, 28 OECD countries</w:t>
      </w:r>
    </w:p>
    <w:p w:rsidR="00BE473A" w:rsidRPr="00715798" w:rsidRDefault="00BE473A" w:rsidP="00BE473A">
      <w:pPr>
        <w:spacing w:after="0" w:line="240" w:lineRule="auto"/>
        <w:ind w:left="2832" w:firstLine="708"/>
        <w:jc w:val="both"/>
        <w:rPr>
          <w:rFonts w:ascii="Times New Roman" w:eastAsia="Times New Roman" w:hAnsi="Times New Roman" w:cs="Times New Roman"/>
          <w:color w:val="000000"/>
          <w:sz w:val="24"/>
          <w:szCs w:val="24"/>
          <w:lang w:eastAsia="es-ES"/>
        </w:rPr>
      </w:pPr>
      <w:r w:rsidRPr="00715798">
        <w:rPr>
          <w:rFonts w:ascii="Times New Roman" w:eastAsia="Times New Roman" w:hAnsi="Times New Roman" w:cs="Times New Roman"/>
          <w:color w:val="000000"/>
          <w:sz w:val="24"/>
          <w:szCs w:val="24"/>
          <w:lang w:eastAsia="es-ES"/>
        </w:rPr>
        <w:t>2019 or latest available year</w:t>
      </w:r>
    </w:p>
    <w:p w:rsidR="00BE473A" w:rsidRPr="00715798" w:rsidRDefault="00BE473A" w:rsidP="00BE473A">
      <w:pPr>
        <w:spacing w:line="240" w:lineRule="auto"/>
        <w:jc w:val="both"/>
        <w:rPr>
          <w:rFonts w:ascii="Times New Roman" w:hAnsi="Times New Roman" w:cs="Times New Roman"/>
          <w:sz w:val="24"/>
          <w:szCs w:val="24"/>
          <w:lang w:val="en-US"/>
        </w:rPr>
      </w:pPr>
      <w:r w:rsidRPr="00715798">
        <w:rPr>
          <w:rFonts w:ascii="Times New Roman" w:hAnsi="Times New Roman" w:cs="Times New Roman"/>
          <w:noProof/>
          <w:sz w:val="24"/>
          <w:szCs w:val="24"/>
          <w:lang w:val="en-GB" w:eastAsia="zh-CN"/>
        </w:rPr>
        <w:drawing>
          <wp:inline distT="0" distB="0" distL="0" distR="0">
            <wp:extent cx="5727699" cy="4984750"/>
            <wp:effectExtent l="0" t="0" r="6985" b="6350"/>
            <wp:docPr id="23" name="Imagen 23" descr="Figure 2.8. Share of owner-occupied and secondary real estate debt by income quintile, 28 OECD countri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Figure 2.8. Share of owner-occupied and secondary real estate debt by income quintile, 28 OECD countries"/>
                    <pic:cNvPicPr>
                      <a:picLocks noChangeAspect="1" noChangeArrowheads="1"/>
                    </pic:cNvPicPr>
                  </pic:nvPicPr>
                  <pic:blipFill>
                    <a:blip r:embed="rId4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1510" cy="4988066"/>
                    </a:xfrm>
                    <a:prstGeom prst="rect">
                      <a:avLst/>
                    </a:prstGeom>
                    <a:noFill/>
                    <a:ln>
                      <a:noFill/>
                    </a:ln>
                  </pic:spPr>
                </pic:pic>
              </a:graphicData>
            </a:graphic>
          </wp:inline>
        </w:drawing>
      </w:r>
    </w:p>
    <w:p w:rsidR="00BE473A" w:rsidRPr="00715798" w:rsidRDefault="00BE473A" w:rsidP="00BE473A">
      <w:pPr>
        <w:spacing w:after="0" w:line="240" w:lineRule="auto"/>
        <w:jc w:val="both"/>
        <w:rPr>
          <w:rFonts w:ascii="Times New Roman" w:eastAsia="Times New Roman" w:hAnsi="Times New Roman" w:cs="Times New Roman"/>
          <w:b/>
          <w:bCs/>
          <w:color w:val="000000"/>
          <w:sz w:val="24"/>
          <w:szCs w:val="24"/>
          <w:lang w:val="en-US" w:eastAsia="es-ES"/>
        </w:rPr>
      </w:pPr>
      <w:r w:rsidRPr="00715798">
        <w:rPr>
          <w:rFonts w:ascii="Times New Roman" w:eastAsia="Times New Roman" w:hAnsi="Times New Roman" w:cs="Times New Roman"/>
          <w:color w:val="333333"/>
          <w:sz w:val="24"/>
          <w:szCs w:val="24"/>
          <w:lang w:val="en-US" w:eastAsia="es-ES"/>
        </w:rPr>
        <w:t>Figure 2.9. </w:t>
      </w:r>
      <w:r w:rsidRPr="00715798">
        <w:rPr>
          <w:rFonts w:ascii="Times New Roman" w:eastAsia="Times New Roman" w:hAnsi="Times New Roman" w:cs="Times New Roman"/>
          <w:b/>
          <w:bCs/>
          <w:color w:val="000000"/>
          <w:sz w:val="24"/>
          <w:szCs w:val="24"/>
          <w:lang w:val="en-US" w:eastAsia="es-ES"/>
        </w:rPr>
        <w:t>Mean value of owner-occupied housing assets and liabilities by income and wealth quintiles, unweighted average, 28 OECD countries</w:t>
      </w:r>
    </w:p>
    <w:p w:rsidR="00BE473A" w:rsidRPr="00715798" w:rsidRDefault="00BE473A" w:rsidP="00BE473A">
      <w:pPr>
        <w:spacing w:after="0" w:line="240" w:lineRule="auto"/>
        <w:ind w:left="2832" w:firstLine="708"/>
        <w:jc w:val="both"/>
        <w:rPr>
          <w:rFonts w:ascii="Times New Roman" w:eastAsia="Times New Roman" w:hAnsi="Times New Roman" w:cs="Times New Roman"/>
          <w:color w:val="000000"/>
          <w:sz w:val="24"/>
          <w:szCs w:val="24"/>
          <w:lang w:eastAsia="es-ES"/>
        </w:rPr>
      </w:pPr>
      <w:r w:rsidRPr="00715798">
        <w:rPr>
          <w:rFonts w:ascii="Times New Roman" w:eastAsia="Times New Roman" w:hAnsi="Times New Roman" w:cs="Times New Roman"/>
          <w:color w:val="000000"/>
          <w:sz w:val="24"/>
          <w:szCs w:val="24"/>
          <w:lang w:eastAsia="es-ES"/>
        </w:rPr>
        <w:t>2019 or latest available year</w:t>
      </w:r>
    </w:p>
    <w:p w:rsidR="00BE473A" w:rsidRPr="00715798" w:rsidRDefault="00BE473A" w:rsidP="00BE473A">
      <w:pPr>
        <w:spacing w:line="240" w:lineRule="auto"/>
        <w:jc w:val="both"/>
        <w:rPr>
          <w:rFonts w:ascii="Times New Roman" w:hAnsi="Times New Roman" w:cs="Times New Roman"/>
          <w:sz w:val="24"/>
          <w:szCs w:val="24"/>
          <w:lang w:val="en-US"/>
        </w:rPr>
      </w:pPr>
      <w:r w:rsidRPr="00715798">
        <w:rPr>
          <w:rFonts w:ascii="Times New Roman" w:hAnsi="Times New Roman" w:cs="Times New Roman"/>
          <w:noProof/>
          <w:sz w:val="24"/>
          <w:szCs w:val="24"/>
          <w:lang w:val="en-GB" w:eastAsia="zh-CN"/>
        </w:rPr>
        <w:drawing>
          <wp:inline distT="0" distB="0" distL="0" distR="0">
            <wp:extent cx="5733383" cy="2628900"/>
            <wp:effectExtent l="0" t="0" r="1270" b="0"/>
            <wp:docPr id="24" name="Imagen 24" descr="Figure 2.9. Mean value of owner-occupied housing assets and liabilities by income and wealth quintiles, unweighted average, 28 OECD countrie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Figure 2.9. Mean value of owner-occupied housing assets and liabilities by income and wealth quintiles, unweighted average, 28 OECD countries "/>
                    <pic:cNvPicPr>
                      <a:picLocks noChangeAspect="1" noChangeArrowheads="1"/>
                    </pic:cNvPicPr>
                  </pic:nvPicPr>
                  <pic:blipFill>
                    <a:blip r:embed="rId4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1510" cy="2628041"/>
                    </a:xfrm>
                    <a:prstGeom prst="rect">
                      <a:avLst/>
                    </a:prstGeom>
                    <a:noFill/>
                    <a:ln>
                      <a:noFill/>
                    </a:ln>
                  </pic:spPr>
                </pic:pic>
              </a:graphicData>
            </a:graphic>
          </wp:inline>
        </w:drawing>
      </w:r>
    </w:p>
    <w:p w:rsidR="00BE473A" w:rsidRPr="00715798" w:rsidRDefault="00BE473A" w:rsidP="00BE473A">
      <w:pPr>
        <w:spacing w:after="0" w:line="240" w:lineRule="auto"/>
        <w:jc w:val="both"/>
        <w:rPr>
          <w:rFonts w:ascii="Times New Roman" w:eastAsia="Times New Roman" w:hAnsi="Times New Roman" w:cs="Times New Roman"/>
          <w:b/>
          <w:bCs/>
          <w:color w:val="000000"/>
          <w:sz w:val="24"/>
          <w:szCs w:val="24"/>
          <w:lang w:val="en-US" w:eastAsia="es-ES"/>
        </w:rPr>
      </w:pPr>
      <w:r w:rsidRPr="00715798">
        <w:rPr>
          <w:rFonts w:ascii="Times New Roman" w:eastAsia="Times New Roman" w:hAnsi="Times New Roman" w:cs="Times New Roman"/>
          <w:color w:val="333333"/>
          <w:sz w:val="24"/>
          <w:szCs w:val="24"/>
          <w:lang w:val="en-US" w:eastAsia="es-ES"/>
        </w:rPr>
        <w:lastRenderedPageBreak/>
        <w:t>Figure 2.10. </w:t>
      </w:r>
      <w:r w:rsidRPr="00715798">
        <w:rPr>
          <w:rFonts w:ascii="Times New Roman" w:eastAsia="Times New Roman" w:hAnsi="Times New Roman" w:cs="Times New Roman"/>
          <w:b/>
          <w:bCs/>
          <w:color w:val="000000"/>
          <w:sz w:val="24"/>
          <w:szCs w:val="24"/>
          <w:lang w:val="en-US" w:eastAsia="es-ES"/>
        </w:rPr>
        <w:t>Proportion of mortgage-bearing households with owner-occupied mortgage debt equal to at least 3 times gross income, unweighted average, 19 OECD countries</w:t>
      </w:r>
    </w:p>
    <w:p w:rsidR="00BE473A" w:rsidRPr="00715798" w:rsidRDefault="00BE473A" w:rsidP="00BE473A">
      <w:pPr>
        <w:spacing w:after="0" w:line="240" w:lineRule="auto"/>
        <w:ind w:left="2124" w:firstLine="708"/>
        <w:jc w:val="both"/>
        <w:rPr>
          <w:rFonts w:ascii="Times New Roman" w:eastAsia="Times New Roman" w:hAnsi="Times New Roman" w:cs="Times New Roman"/>
          <w:color w:val="000000"/>
          <w:sz w:val="24"/>
          <w:szCs w:val="24"/>
          <w:lang w:eastAsia="es-ES"/>
        </w:rPr>
      </w:pPr>
      <w:r w:rsidRPr="00715798">
        <w:rPr>
          <w:rFonts w:ascii="Times New Roman" w:eastAsia="Times New Roman" w:hAnsi="Times New Roman" w:cs="Times New Roman"/>
          <w:color w:val="000000"/>
          <w:sz w:val="24"/>
          <w:szCs w:val="24"/>
          <w:lang w:eastAsia="es-ES"/>
        </w:rPr>
        <w:t>2017 or closest available year</w:t>
      </w:r>
    </w:p>
    <w:p w:rsidR="00BE473A" w:rsidRPr="00715798" w:rsidRDefault="00BE473A" w:rsidP="00BE473A">
      <w:pPr>
        <w:spacing w:line="240" w:lineRule="auto"/>
        <w:jc w:val="both"/>
        <w:rPr>
          <w:rFonts w:ascii="Times New Roman" w:hAnsi="Times New Roman" w:cs="Times New Roman"/>
          <w:sz w:val="24"/>
          <w:szCs w:val="24"/>
          <w:lang w:val="en-US"/>
        </w:rPr>
      </w:pPr>
      <w:r w:rsidRPr="00715798">
        <w:rPr>
          <w:rFonts w:ascii="Times New Roman" w:hAnsi="Times New Roman" w:cs="Times New Roman"/>
          <w:noProof/>
          <w:sz w:val="24"/>
          <w:szCs w:val="24"/>
          <w:lang w:val="en-GB" w:eastAsia="zh-CN"/>
        </w:rPr>
        <w:drawing>
          <wp:inline distT="0" distB="0" distL="0" distR="0">
            <wp:extent cx="5726870" cy="2108200"/>
            <wp:effectExtent l="0" t="0" r="7620" b="6350"/>
            <wp:docPr id="25" name="Imagen 25" descr="Figure 2.10. Proportion of mortgage-bearing households with owner-occupied mortgage debt equal to at least 3 times gross income, unweighted average, 19 OECD countri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Figure 2.10. Proportion of mortgage-bearing households with owner-occupied mortgage debt equal to at least 3 times gross income, unweighted average, 19 OECD countries"/>
                    <pic:cNvPicPr>
                      <a:picLocks noChangeAspect="1" noChangeArrowheads="1"/>
                    </pic:cNvPicPr>
                  </pic:nvPicPr>
                  <pic:blipFill>
                    <a:blip r:embed="rId4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1510" cy="2109908"/>
                    </a:xfrm>
                    <a:prstGeom prst="rect">
                      <a:avLst/>
                    </a:prstGeom>
                    <a:noFill/>
                    <a:ln>
                      <a:noFill/>
                    </a:ln>
                  </pic:spPr>
                </pic:pic>
              </a:graphicData>
            </a:graphic>
          </wp:inline>
        </w:drawing>
      </w:r>
    </w:p>
    <w:p w:rsidR="00BE473A" w:rsidRPr="00715798" w:rsidRDefault="00BE473A" w:rsidP="00BE473A">
      <w:pPr>
        <w:spacing w:after="0" w:line="240" w:lineRule="auto"/>
        <w:jc w:val="both"/>
        <w:rPr>
          <w:rFonts w:ascii="Times New Roman" w:eastAsia="Times New Roman" w:hAnsi="Times New Roman" w:cs="Times New Roman"/>
          <w:b/>
          <w:bCs/>
          <w:color w:val="000000"/>
          <w:sz w:val="24"/>
          <w:szCs w:val="24"/>
          <w:lang w:val="en-US" w:eastAsia="es-ES"/>
        </w:rPr>
      </w:pPr>
      <w:r w:rsidRPr="00715798">
        <w:rPr>
          <w:rFonts w:ascii="Times New Roman" w:eastAsia="Times New Roman" w:hAnsi="Times New Roman" w:cs="Times New Roman"/>
          <w:color w:val="333333"/>
          <w:sz w:val="24"/>
          <w:szCs w:val="24"/>
          <w:lang w:val="en-US" w:eastAsia="es-ES"/>
        </w:rPr>
        <w:t>Figure 2.11. </w:t>
      </w:r>
      <w:r w:rsidRPr="00715798">
        <w:rPr>
          <w:rFonts w:ascii="Times New Roman" w:eastAsia="Times New Roman" w:hAnsi="Times New Roman" w:cs="Times New Roman"/>
          <w:b/>
          <w:bCs/>
          <w:color w:val="000000"/>
          <w:sz w:val="24"/>
          <w:szCs w:val="24"/>
          <w:lang w:val="en-US" w:eastAsia="es-ES"/>
        </w:rPr>
        <w:t>Mean value of owner-occupied and secondary housing assets and liabilities by age group of household head, unweighted average, 26 OECD countries</w:t>
      </w:r>
    </w:p>
    <w:p w:rsidR="00BE473A" w:rsidRPr="00715798" w:rsidRDefault="00BE473A" w:rsidP="00BE473A">
      <w:pPr>
        <w:spacing w:after="0" w:line="240" w:lineRule="auto"/>
        <w:ind w:left="2124" w:firstLine="708"/>
        <w:jc w:val="both"/>
        <w:rPr>
          <w:rFonts w:ascii="Times New Roman" w:eastAsia="Times New Roman" w:hAnsi="Times New Roman" w:cs="Times New Roman"/>
          <w:color w:val="000000"/>
          <w:sz w:val="24"/>
          <w:szCs w:val="24"/>
          <w:lang w:eastAsia="es-ES"/>
        </w:rPr>
      </w:pPr>
      <w:r w:rsidRPr="00715798">
        <w:rPr>
          <w:rFonts w:ascii="Times New Roman" w:eastAsia="Times New Roman" w:hAnsi="Times New Roman" w:cs="Times New Roman"/>
          <w:color w:val="000000"/>
          <w:sz w:val="24"/>
          <w:szCs w:val="24"/>
          <w:lang w:eastAsia="es-ES"/>
        </w:rPr>
        <w:t>2019 or latest available year</w:t>
      </w:r>
    </w:p>
    <w:p w:rsidR="00BE473A" w:rsidRDefault="00BE473A" w:rsidP="00BE473A">
      <w:pPr>
        <w:spacing w:line="240" w:lineRule="auto"/>
        <w:jc w:val="both"/>
        <w:rPr>
          <w:rFonts w:ascii="Times New Roman" w:hAnsi="Times New Roman" w:cs="Times New Roman"/>
          <w:sz w:val="24"/>
          <w:szCs w:val="24"/>
          <w:lang w:val="en-US"/>
        </w:rPr>
      </w:pPr>
      <w:r w:rsidRPr="00715798">
        <w:rPr>
          <w:rFonts w:ascii="Times New Roman" w:hAnsi="Times New Roman" w:cs="Times New Roman"/>
          <w:noProof/>
          <w:sz w:val="24"/>
          <w:szCs w:val="24"/>
          <w:lang w:val="en-GB" w:eastAsia="zh-CN"/>
        </w:rPr>
        <w:drawing>
          <wp:inline distT="0" distB="0" distL="0" distR="0">
            <wp:extent cx="5733984" cy="5403850"/>
            <wp:effectExtent l="0" t="0" r="635" b="6350"/>
            <wp:docPr id="26" name="Imagen 26" descr="Figure 2.11. Mean value of owner-occupied and secondary housing assets and liabilities by age group of household head, unweighted average, 26 OECD countri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Figure 2.11. Mean value of owner-occupied and secondary housing assets and liabilities by age group of household head, unweighted average, 26 OECD countries"/>
                    <pic:cNvPicPr>
                      <a:picLocks noChangeAspect="1" noChangeArrowheads="1"/>
                    </pic:cNvPicPr>
                  </pic:nvPicPr>
                  <pic:blipFill>
                    <a:blip r:embed="rId5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1510" cy="5401519"/>
                    </a:xfrm>
                    <a:prstGeom prst="rect">
                      <a:avLst/>
                    </a:prstGeom>
                    <a:noFill/>
                    <a:ln>
                      <a:noFill/>
                    </a:ln>
                  </pic:spPr>
                </pic:pic>
              </a:graphicData>
            </a:graphic>
          </wp:inline>
        </w:drawing>
      </w:r>
    </w:p>
    <w:p w:rsidR="00BE473A" w:rsidRDefault="00BE473A" w:rsidP="00BE473A">
      <w:pPr>
        <w:spacing w:line="240" w:lineRule="auto"/>
        <w:jc w:val="both"/>
        <w:rPr>
          <w:rFonts w:ascii="Times New Roman" w:hAnsi="Times New Roman" w:cs="Times New Roman"/>
          <w:sz w:val="24"/>
          <w:szCs w:val="24"/>
          <w:lang w:val="en-US"/>
        </w:rPr>
      </w:pPr>
      <w:r w:rsidRPr="00715798">
        <w:rPr>
          <w:rFonts w:ascii="Times New Roman" w:eastAsia="Times New Roman" w:hAnsi="Times New Roman" w:cs="Times New Roman"/>
          <w:color w:val="333333"/>
          <w:sz w:val="24"/>
          <w:szCs w:val="24"/>
          <w:lang w:val="en-US" w:eastAsia="es-ES"/>
        </w:rPr>
        <w:lastRenderedPageBreak/>
        <w:t>Figure 2.12. </w:t>
      </w:r>
      <w:r w:rsidRPr="00715798">
        <w:rPr>
          <w:rFonts w:ascii="Times New Roman" w:eastAsia="Times New Roman" w:hAnsi="Times New Roman" w:cs="Times New Roman"/>
          <w:b/>
          <w:bCs/>
          <w:color w:val="000000"/>
          <w:sz w:val="24"/>
          <w:szCs w:val="24"/>
          <w:lang w:val="en-US" w:eastAsia="es-ES"/>
        </w:rPr>
        <w:t>Share of owner-occupied housing debt by household composition, 28 OECD countries</w:t>
      </w:r>
    </w:p>
    <w:p w:rsidR="00BE473A" w:rsidRPr="00CC681F" w:rsidRDefault="00BE473A" w:rsidP="00BE473A">
      <w:pPr>
        <w:spacing w:line="240" w:lineRule="auto"/>
        <w:ind w:left="2124" w:firstLine="708"/>
        <w:jc w:val="both"/>
        <w:rPr>
          <w:rFonts w:ascii="Times New Roman" w:hAnsi="Times New Roman" w:cs="Times New Roman"/>
          <w:sz w:val="24"/>
          <w:szCs w:val="24"/>
          <w:lang w:val="en-US"/>
        </w:rPr>
      </w:pPr>
      <w:r w:rsidRPr="00715798">
        <w:rPr>
          <w:rFonts w:ascii="Times New Roman" w:eastAsia="Times New Roman" w:hAnsi="Times New Roman" w:cs="Times New Roman"/>
          <w:color w:val="000000"/>
          <w:sz w:val="24"/>
          <w:szCs w:val="24"/>
          <w:lang w:eastAsia="es-ES"/>
        </w:rPr>
        <w:t>2019 or latest available year</w:t>
      </w:r>
    </w:p>
    <w:p w:rsidR="00BE473A" w:rsidRPr="00715798" w:rsidRDefault="00BE473A" w:rsidP="00BE473A">
      <w:pPr>
        <w:spacing w:line="240" w:lineRule="auto"/>
        <w:jc w:val="both"/>
        <w:rPr>
          <w:rFonts w:ascii="Times New Roman" w:hAnsi="Times New Roman" w:cs="Times New Roman"/>
          <w:sz w:val="24"/>
          <w:szCs w:val="24"/>
          <w:lang w:val="en-US"/>
        </w:rPr>
      </w:pPr>
      <w:r w:rsidRPr="00715798">
        <w:rPr>
          <w:rFonts w:ascii="Times New Roman" w:hAnsi="Times New Roman" w:cs="Times New Roman"/>
          <w:noProof/>
          <w:sz w:val="24"/>
          <w:szCs w:val="24"/>
          <w:lang w:val="en-GB" w:eastAsia="zh-CN"/>
        </w:rPr>
        <w:drawing>
          <wp:inline distT="0" distB="0" distL="0" distR="0">
            <wp:extent cx="5731510" cy="3286066"/>
            <wp:effectExtent l="0" t="0" r="2540" b="0"/>
            <wp:docPr id="27" name="Imagen 27" descr="Figure 2.12. Share of owner-occupied housing debt by household composition, 28 OECD countri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Figure 2.12. Share of owner-occupied housing debt by household composition, 28 OECD countries"/>
                    <pic:cNvPicPr>
                      <a:picLocks noChangeAspect="1" noChangeArrowheads="1"/>
                    </pic:cNvPicPr>
                  </pic:nvPicPr>
                  <pic:blipFill>
                    <a:blip r:embed="rId5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1510" cy="3286066"/>
                    </a:xfrm>
                    <a:prstGeom prst="rect">
                      <a:avLst/>
                    </a:prstGeom>
                    <a:noFill/>
                    <a:ln>
                      <a:noFill/>
                    </a:ln>
                  </pic:spPr>
                </pic:pic>
              </a:graphicData>
            </a:graphic>
          </wp:inline>
        </w:drawing>
      </w:r>
    </w:p>
    <w:p w:rsidR="00BE473A" w:rsidRPr="00715798" w:rsidRDefault="00BE473A" w:rsidP="00BE473A">
      <w:pPr>
        <w:spacing w:line="240" w:lineRule="auto"/>
        <w:jc w:val="both"/>
        <w:rPr>
          <w:rFonts w:ascii="Times New Roman" w:hAnsi="Times New Roman" w:cs="Times New Roman"/>
          <w:sz w:val="24"/>
          <w:szCs w:val="24"/>
          <w:lang w:val="en-US"/>
        </w:rPr>
      </w:pPr>
    </w:p>
    <w:p w:rsidR="00BE473A" w:rsidRPr="00715798" w:rsidRDefault="00BE473A" w:rsidP="00BE473A">
      <w:pPr>
        <w:spacing w:after="0" w:line="240" w:lineRule="auto"/>
        <w:jc w:val="both"/>
        <w:rPr>
          <w:rFonts w:ascii="Times New Roman" w:eastAsia="Times New Roman" w:hAnsi="Times New Roman" w:cs="Times New Roman"/>
          <w:b/>
          <w:bCs/>
          <w:color w:val="000000"/>
          <w:sz w:val="24"/>
          <w:szCs w:val="24"/>
          <w:lang w:val="en-US" w:eastAsia="es-ES"/>
        </w:rPr>
      </w:pPr>
      <w:r w:rsidRPr="00715798">
        <w:rPr>
          <w:rFonts w:ascii="Times New Roman" w:eastAsia="Times New Roman" w:hAnsi="Times New Roman" w:cs="Times New Roman"/>
          <w:color w:val="333333"/>
          <w:sz w:val="24"/>
          <w:szCs w:val="24"/>
          <w:lang w:val="en-US" w:eastAsia="es-ES"/>
        </w:rPr>
        <w:t>Figure 2.13. </w:t>
      </w:r>
      <w:r w:rsidRPr="00715798">
        <w:rPr>
          <w:rFonts w:ascii="Times New Roman" w:eastAsia="Times New Roman" w:hAnsi="Times New Roman" w:cs="Times New Roman"/>
          <w:b/>
          <w:bCs/>
          <w:color w:val="000000"/>
          <w:sz w:val="24"/>
          <w:szCs w:val="24"/>
          <w:lang w:val="en-US" w:eastAsia="es-ES"/>
        </w:rPr>
        <w:t>Ratio of mean gross owner-occupied housing wealth to mean gross income by age of household head, unweighted average, 26 OECD countries</w:t>
      </w:r>
    </w:p>
    <w:p w:rsidR="00BE473A" w:rsidRPr="00A86854" w:rsidRDefault="00BE473A" w:rsidP="00BE473A">
      <w:pPr>
        <w:spacing w:after="0" w:line="240" w:lineRule="auto"/>
        <w:ind w:left="2124" w:firstLine="708"/>
        <w:jc w:val="both"/>
        <w:rPr>
          <w:rFonts w:ascii="Times New Roman" w:eastAsia="Times New Roman" w:hAnsi="Times New Roman" w:cs="Times New Roman"/>
          <w:color w:val="000000"/>
          <w:sz w:val="24"/>
          <w:szCs w:val="24"/>
          <w:lang w:val="en-US" w:eastAsia="es-ES"/>
        </w:rPr>
      </w:pPr>
    </w:p>
    <w:p w:rsidR="00BE473A" w:rsidRPr="00715798" w:rsidRDefault="00BE473A" w:rsidP="00BE473A">
      <w:pPr>
        <w:spacing w:after="0" w:line="240" w:lineRule="auto"/>
        <w:ind w:left="2124" w:firstLine="708"/>
        <w:jc w:val="both"/>
        <w:rPr>
          <w:rFonts w:ascii="Times New Roman" w:eastAsia="Times New Roman" w:hAnsi="Times New Roman" w:cs="Times New Roman"/>
          <w:color w:val="000000"/>
          <w:sz w:val="24"/>
          <w:szCs w:val="24"/>
          <w:lang w:eastAsia="es-ES"/>
        </w:rPr>
      </w:pPr>
      <w:r w:rsidRPr="00715798">
        <w:rPr>
          <w:rFonts w:ascii="Times New Roman" w:eastAsia="Times New Roman" w:hAnsi="Times New Roman" w:cs="Times New Roman"/>
          <w:color w:val="000000"/>
          <w:sz w:val="24"/>
          <w:szCs w:val="24"/>
          <w:lang w:eastAsia="es-ES"/>
        </w:rPr>
        <w:t>2019 or latest available year</w:t>
      </w:r>
    </w:p>
    <w:p w:rsidR="00BE473A" w:rsidRPr="00715798" w:rsidRDefault="00BE473A" w:rsidP="00BE473A">
      <w:pPr>
        <w:spacing w:line="240" w:lineRule="auto"/>
        <w:jc w:val="both"/>
        <w:rPr>
          <w:rFonts w:ascii="Times New Roman" w:hAnsi="Times New Roman" w:cs="Times New Roman"/>
          <w:sz w:val="24"/>
          <w:szCs w:val="24"/>
          <w:lang w:val="en-US"/>
        </w:rPr>
      </w:pPr>
      <w:r w:rsidRPr="00715798">
        <w:rPr>
          <w:rFonts w:ascii="Times New Roman" w:hAnsi="Times New Roman" w:cs="Times New Roman"/>
          <w:noProof/>
          <w:sz w:val="24"/>
          <w:szCs w:val="24"/>
          <w:lang w:val="en-GB" w:eastAsia="zh-CN"/>
        </w:rPr>
        <w:drawing>
          <wp:inline distT="0" distB="0" distL="0" distR="0">
            <wp:extent cx="5731510" cy="2571537"/>
            <wp:effectExtent l="0" t="0" r="2540" b="635"/>
            <wp:docPr id="28" name="Imagen 28" descr="Figure 2.13. Ratio of mean gross owner-occupied housing wealth to mean gross income by age of household head, unweighted average, 26 OECD countri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Figure 2.13. Ratio of mean gross owner-occupied housing wealth to mean gross income by age of household head, unweighted average, 26 OECD countries"/>
                    <pic:cNvPicPr>
                      <a:picLocks noChangeAspect="1" noChangeArrowheads="1"/>
                    </pic:cNvPicPr>
                  </pic:nvPicPr>
                  <pic:blipFill>
                    <a:blip r:embed="rId5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1510" cy="2571537"/>
                    </a:xfrm>
                    <a:prstGeom prst="rect">
                      <a:avLst/>
                    </a:prstGeom>
                    <a:noFill/>
                    <a:ln>
                      <a:noFill/>
                    </a:ln>
                  </pic:spPr>
                </pic:pic>
              </a:graphicData>
            </a:graphic>
          </wp:inline>
        </w:drawing>
      </w:r>
    </w:p>
    <w:p w:rsidR="00BE473A" w:rsidRPr="00715798" w:rsidRDefault="00BE473A" w:rsidP="00BE473A">
      <w:pPr>
        <w:spacing w:line="240" w:lineRule="auto"/>
        <w:jc w:val="both"/>
        <w:rPr>
          <w:rFonts w:ascii="Times New Roman" w:hAnsi="Times New Roman" w:cs="Times New Roman"/>
          <w:sz w:val="24"/>
          <w:szCs w:val="24"/>
          <w:lang w:val="en-US"/>
        </w:rPr>
      </w:pPr>
    </w:p>
    <w:p w:rsidR="00BE473A" w:rsidRPr="00715798" w:rsidRDefault="00BE473A" w:rsidP="00BE473A">
      <w:pPr>
        <w:spacing w:line="240" w:lineRule="auto"/>
        <w:jc w:val="both"/>
        <w:rPr>
          <w:rFonts w:ascii="Times New Roman" w:hAnsi="Times New Roman" w:cs="Times New Roman"/>
          <w:sz w:val="24"/>
          <w:szCs w:val="24"/>
          <w:lang w:val="en-US"/>
        </w:rPr>
      </w:pPr>
    </w:p>
    <w:p w:rsidR="00BE473A" w:rsidRPr="00715798" w:rsidRDefault="00BE473A" w:rsidP="00BE473A">
      <w:pPr>
        <w:spacing w:line="240" w:lineRule="auto"/>
        <w:jc w:val="both"/>
        <w:rPr>
          <w:rFonts w:ascii="Times New Roman" w:hAnsi="Times New Roman" w:cs="Times New Roman"/>
          <w:sz w:val="24"/>
          <w:szCs w:val="24"/>
          <w:lang w:val="en-US"/>
        </w:rPr>
      </w:pPr>
    </w:p>
    <w:p w:rsidR="00BE473A" w:rsidRPr="00715798" w:rsidRDefault="00BE473A" w:rsidP="00BE473A">
      <w:pPr>
        <w:spacing w:line="240" w:lineRule="auto"/>
        <w:jc w:val="both"/>
        <w:rPr>
          <w:rFonts w:ascii="Times New Roman" w:hAnsi="Times New Roman" w:cs="Times New Roman"/>
          <w:sz w:val="24"/>
          <w:szCs w:val="24"/>
          <w:lang w:val="en-US"/>
        </w:rPr>
      </w:pPr>
    </w:p>
    <w:p w:rsidR="00BE473A" w:rsidRPr="00715798" w:rsidRDefault="00BE473A" w:rsidP="00BE473A">
      <w:pPr>
        <w:spacing w:after="0" w:line="240" w:lineRule="auto"/>
        <w:jc w:val="both"/>
        <w:rPr>
          <w:rFonts w:ascii="Times New Roman" w:eastAsia="Times New Roman" w:hAnsi="Times New Roman" w:cs="Times New Roman"/>
          <w:b/>
          <w:bCs/>
          <w:color w:val="000000"/>
          <w:sz w:val="24"/>
          <w:szCs w:val="24"/>
          <w:lang w:val="en-US" w:eastAsia="es-ES"/>
        </w:rPr>
      </w:pPr>
      <w:r w:rsidRPr="00715798">
        <w:rPr>
          <w:rFonts w:ascii="Times New Roman" w:eastAsia="Times New Roman" w:hAnsi="Times New Roman" w:cs="Times New Roman"/>
          <w:color w:val="333333"/>
          <w:sz w:val="24"/>
          <w:szCs w:val="24"/>
          <w:lang w:val="en-US" w:eastAsia="es-ES"/>
        </w:rPr>
        <w:t>Figure 2.14. </w:t>
      </w:r>
      <w:r w:rsidRPr="00715798">
        <w:rPr>
          <w:rFonts w:ascii="Times New Roman" w:eastAsia="Times New Roman" w:hAnsi="Times New Roman" w:cs="Times New Roman"/>
          <w:b/>
          <w:bCs/>
          <w:color w:val="000000"/>
          <w:sz w:val="24"/>
          <w:szCs w:val="24"/>
          <w:lang w:val="en-US" w:eastAsia="es-ES"/>
        </w:rPr>
        <w:t>Proportion of households that own their principal residence and proportion of households that hold principal residence mortgage debt, by age group of household head, 29 OECD countries</w:t>
      </w:r>
    </w:p>
    <w:p w:rsidR="00BE473A" w:rsidRPr="00715798" w:rsidRDefault="00BE473A" w:rsidP="00BE473A">
      <w:pPr>
        <w:spacing w:after="0" w:line="240" w:lineRule="auto"/>
        <w:ind w:left="2124" w:firstLine="708"/>
        <w:jc w:val="both"/>
        <w:rPr>
          <w:rFonts w:ascii="Times New Roman" w:eastAsia="Times New Roman" w:hAnsi="Times New Roman" w:cs="Times New Roman"/>
          <w:color w:val="000000"/>
          <w:sz w:val="24"/>
          <w:szCs w:val="24"/>
          <w:lang w:eastAsia="es-ES"/>
        </w:rPr>
      </w:pPr>
      <w:r w:rsidRPr="00715798">
        <w:rPr>
          <w:rFonts w:ascii="Times New Roman" w:eastAsia="Times New Roman" w:hAnsi="Times New Roman" w:cs="Times New Roman"/>
          <w:color w:val="000000"/>
          <w:sz w:val="24"/>
          <w:szCs w:val="24"/>
          <w:lang w:eastAsia="es-ES"/>
        </w:rPr>
        <w:t>2019 or latest available year</w:t>
      </w:r>
    </w:p>
    <w:p w:rsidR="00BE473A" w:rsidRPr="00715798" w:rsidRDefault="00BE473A" w:rsidP="00BE473A">
      <w:pPr>
        <w:spacing w:line="240" w:lineRule="auto"/>
        <w:jc w:val="both"/>
        <w:rPr>
          <w:rFonts w:ascii="Times New Roman" w:hAnsi="Times New Roman" w:cs="Times New Roman"/>
          <w:sz w:val="24"/>
          <w:szCs w:val="24"/>
          <w:lang w:val="en-US"/>
        </w:rPr>
      </w:pPr>
      <w:r w:rsidRPr="00715798">
        <w:rPr>
          <w:rFonts w:ascii="Times New Roman" w:hAnsi="Times New Roman" w:cs="Times New Roman"/>
          <w:noProof/>
          <w:sz w:val="24"/>
          <w:szCs w:val="24"/>
          <w:lang w:val="en-GB" w:eastAsia="zh-CN"/>
        </w:rPr>
        <w:drawing>
          <wp:inline distT="0" distB="0" distL="0" distR="0">
            <wp:extent cx="5731510" cy="6518637"/>
            <wp:effectExtent l="0" t="0" r="2540" b="0"/>
            <wp:docPr id="29" name="Imagen 29" descr="Figure 2.14. Proportion of households that own their principal residence and proportion of households that hold principal residence mortgage debt, by age group of household head, 29 OECD countri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Figure 2.14. Proportion of households that own their principal residence and proportion of households that hold principal residence mortgage debt, by age group of household head, 29 OECD countries"/>
                    <pic:cNvPicPr>
                      <a:picLocks noChangeAspect="1" noChangeArrowheads="1"/>
                    </pic:cNvPicPr>
                  </pic:nvPicPr>
                  <pic:blipFill>
                    <a:blip r:embed="rId5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1510" cy="6518637"/>
                    </a:xfrm>
                    <a:prstGeom prst="rect">
                      <a:avLst/>
                    </a:prstGeom>
                    <a:noFill/>
                    <a:ln>
                      <a:noFill/>
                    </a:ln>
                  </pic:spPr>
                </pic:pic>
              </a:graphicData>
            </a:graphic>
          </wp:inline>
        </w:drawing>
      </w:r>
    </w:p>
    <w:p w:rsidR="00BE473A" w:rsidRPr="00715798" w:rsidRDefault="00BE473A" w:rsidP="00BE473A">
      <w:pPr>
        <w:spacing w:line="240" w:lineRule="auto"/>
        <w:jc w:val="both"/>
        <w:rPr>
          <w:rFonts w:ascii="Times New Roman" w:hAnsi="Times New Roman" w:cs="Times New Roman"/>
          <w:sz w:val="24"/>
          <w:szCs w:val="24"/>
          <w:lang w:val="en-US"/>
        </w:rPr>
      </w:pPr>
    </w:p>
    <w:p w:rsidR="00BE473A" w:rsidRPr="00715798" w:rsidRDefault="00BE473A" w:rsidP="00BE473A">
      <w:pPr>
        <w:spacing w:line="240" w:lineRule="auto"/>
        <w:jc w:val="both"/>
        <w:rPr>
          <w:rFonts w:ascii="Times New Roman" w:hAnsi="Times New Roman" w:cs="Times New Roman"/>
          <w:sz w:val="24"/>
          <w:szCs w:val="24"/>
          <w:lang w:val="en-US"/>
        </w:rPr>
      </w:pPr>
    </w:p>
    <w:p w:rsidR="00BE473A" w:rsidRPr="00715798" w:rsidRDefault="00BE473A" w:rsidP="00BE473A">
      <w:pPr>
        <w:spacing w:line="240" w:lineRule="auto"/>
        <w:jc w:val="both"/>
        <w:rPr>
          <w:rFonts w:ascii="Times New Roman" w:hAnsi="Times New Roman" w:cs="Times New Roman"/>
          <w:sz w:val="24"/>
          <w:szCs w:val="24"/>
          <w:lang w:val="en-US"/>
        </w:rPr>
      </w:pPr>
    </w:p>
    <w:p w:rsidR="00BE473A" w:rsidRPr="00715798" w:rsidRDefault="00BE473A" w:rsidP="00BE473A">
      <w:pPr>
        <w:spacing w:line="240" w:lineRule="auto"/>
        <w:jc w:val="both"/>
        <w:rPr>
          <w:rFonts w:ascii="Times New Roman" w:hAnsi="Times New Roman" w:cs="Times New Roman"/>
          <w:sz w:val="24"/>
          <w:szCs w:val="24"/>
          <w:lang w:val="en-US"/>
        </w:rPr>
      </w:pPr>
    </w:p>
    <w:p w:rsidR="00BE473A" w:rsidRPr="00715798" w:rsidRDefault="00BE473A" w:rsidP="00BE473A">
      <w:pPr>
        <w:spacing w:line="240" w:lineRule="auto"/>
        <w:jc w:val="both"/>
        <w:rPr>
          <w:rFonts w:ascii="Times New Roman" w:hAnsi="Times New Roman" w:cs="Times New Roman"/>
          <w:sz w:val="24"/>
          <w:szCs w:val="24"/>
          <w:lang w:val="en-US"/>
        </w:rPr>
      </w:pPr>
    </w:p>
    <w:p w:rsidR="00BE473A" w:rsidRPr="00715798" w:rsidRDefault="00BE473A" w:rsidP="00BE473A">
      <w:pPr>
        <w:spacing w:line="240" w:lineRule="auto"/>
        <w:jc w:val="both"/>
        <w:rPr>
          <w:rFonts w:ascii="Times New Roman" w:hAnsi="Times New Roman" w:cs="Times New Roman"/>
          <w:b/>
          <w:bCs/>
          <w:color w:val="000000"/>
          <w:sz w:val="24"/>
          <w:szCs w:val="24"/>
          <w:shd w:val="clear" w:color="auto" w:fill="FFFFFF"/>
          <w:lang w:val="en-US"/>
        </w:rPr>
      </w:pPr>
      <w:r w:rsidRPr="00715798">
        <w:rPr>
          <w:rStyle w:val="webprefix-num"/>
          <w:color w:val="333333"/>
          <w:sz w:val="24"/>
          <w:szCs w:val="24"/>
          <w:shd w:val="clear" w:color="auto" w:fill="FFFFFF"/>
          <w:lang w:val="en-US"/>
        </w:rPr>
        <w:t>Figure 2.15. </w:t>
      </w:r>
      <w:r w:rsidRPr="00715798">
        <w:rPr>
          <w:rFonts w:ascii="Times New Roman" w:hAnsi="Times New Roman" w:cs="Times New Roman"/>
          <w:b/>
          <w:bCs/>
          <w:color w:val="000000"/>
          <w:sz w:val="24"/>
          <w:szCs w:val="24"/>
          <w:shd w:val="clear" w:color="auto" w:fill="FFFFFF"/>
          <w:lang w:val="en-US"/>
        </w:rPr>
        <w:t>Homeownership rates over the lifecycle for successive birth cohorts in Australia, Southern Europe, the United Kingdom and the United States</w:t>
      </w:r>
    </w:p>
    <w:p w:rsidR="00BE473A" w:rsidRPr="00715798" w:rsidRDefault="00BE473A" w:rsidP="00BE473A">
      <w:pPr>
        <w:spacing w:line="240" w:lineRule="auto"/>
        <w:jc w:val="both"/>
        <w:rPr>
          <w:rFonts w:ascii="Times New Roman" w:hAnsi="Times New Roman" w:cs="Times New Roman"/>
          <w:sz w:val="24"/>
          <w:szCs w:val="24"/>
          <w:lang w:val="en-US"/>
        </w:rPr>
      </w:pPr>
      <w:r w:rsidRPr="00715798">
        <w:rPr>
          <w:rFonts w:ascii="Times New Roman" w:hAnsi="Times New Roman" w:cs="Times New Roman"/>
          <w:noProof/>
          <w:sz w:val="24"/>
          <w:szCs w:val="24"/>
          <w:lang w:val="en-GB" w:eastAsia="zh-CN"/>
        </w:rPr>
        <w:drawing>
          <wp:inline distT="0" distB="0" distL="0" distR="0">
            <wp:extent cx="5731510" cy="6507174"/>
            <wp:effectExtent l="0" t="0" r="2540" b="8255"/>
            <wp:docPr id="30" name="Imagen 30" descr="Figure 2.15. Homeownership rates over the lifecycle for successive birth cohorts in Australia, Southern Europe, the United Kingdom and the United Stat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Figure 2.15. Homeownership rates over the lifecycle for successive birth cohorts in Australia, Southern Europe, the United Kingdom and the United States"/>
                    <pic:cNvPicPr>
                      <a:picLocks noChangeAspect="1" noChangeArrowheads="1"/>
                    </pic:cNvPicPr>
                  </pic:nvPicPr>
                  <pic:blipFill>
                    <a:blip r:embed="rId5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1510" cy="6507174"/>
                    </a:xfrm>
                    <a:prstGeom prst="rect">
                      <a:avLst/>
                    </a:prstGeom>
                    <a:noFill/>
                    <a:ln>
                      <a:noFill/>
                    </a:ln>
                  </pic:spPr>
                </pic:pic>
              </a:graphicData>
            </a:graphic>
          </wp:inline>
        </w:drawing>
      </w:r>
    </w:p>
    <w:p w:rsidR="00BE473A" w:rsidRPr="00715798" w:rsidRDefault="00BE473A" w:rsidP="00BE473A">
      <w:pPr>
        <w:spacing w:line="240" w:lineRule="auto"/>
        <w:jc w:val="both"/>
        <w:rPr>
          <w:rFonts w:ascii="Times New Roman" w:hAnsi="Times New Roman" w:cs="Times New Roman"/>
          <w:sz w:val="24"/>
          <w:szCs w:val="24"/>
          <w:lang w:val="en-US"/>
        </w:rPr>
      </w:pPr>
    </w:p>
    <w:p w:rsidR="00BE473A" w:rsidRPr="00715798" w:rsidRDefault="00BE473A" w:rsidP="00BE473A">
      <w:pPr>
        <w:spacing w:line="240" w:lineRule="auto"/>
        <w:jc w:val="both"/>
        <w:rPr>
          <w:rFonts w:ascii="Times New Roman" w:hAnsi="Times New Roman" w:cs="Times New Roman"/>
          <w:sz w:val="24"/>
          <w:szCs w:val="24"/>
          <w:lang w:val="en-US"/>
        </w:rPr>
      </w:pPr>
    </w:p>
    <w:p w:rsidR="00BE473A" w:rsidRPr="00715798" w:rsidRDefault="00BE473A" w:rsidP="00BE473A">
      <w:pPr>
        <w:spacing w:line="240" w:lineRule="auto"/>
        <w:jc w:val="both"/>
        <w:rPr>
          <w:rFonts w:ascii="Times New Roman" w:hAnsi="Times New Roman" w:cs="Times New Roman"/>
          <w:sz w:val="24"/>
          <w:szCs w:val="24"/>
          <w:lang w:val="en-US"/>
        </w:rPr>
      </w:pPr>
    </w:p>
    <w:p w:rsidR="00BE473A" w:rsidRPr="00715798" w:rsidRDefault="00BE473A" w:rsidP="00BE473A">
      <w:pPr>
        <w:spacing w:line="240" w:lineRule="auto"/>
        <w:jc w:val="both"/>
        <w:rPr>
          <w:rFonts w:ascii="Times New Roman" w:hAnsi="Times New Roman" w:cs="Times New Roman"/>
          <w:sz w:val="24"/>
          <w:szCs w:val="24"/>
          <w:lang w:val="en-US"/>
        </w:rPr>
      </w:pPr>
    </w:p>
    <w:p w:rsidR="00BE473A" w:rsidRPr="00715798" w:rsidRDefault="00BE473A" w:rsidP="00BE473A">
      <w:pPr>
        <w:spacing w:line="240" w:lineRule="auto"/>
        <w:jc w:val="both"/>
        <w:rPr>
          <w:rFonts w:ascii="Times New Roman" w:hAnsi="Times New Roman" w:cs="Times New Roman"/>
          <w:sz w:val="24"/>
          <w:szCs w:val="24"/>
          <w:lang w:val="en-US"/>
        </w:rPr>
      </w:pPr>
    </w:p>
    <w:p w:rsidR="00BE473A" w:rsidRPr="00715798" w:rsidRDefault="00BE473A" w:rsidP="00BE473A">
      <w:pPr>
        <w:spacing w:after="0" w:line="240" w:lineRule="auto"/>
        <w:jc w:val="both"/>
        <w:rPr>
          <w:rFonts w:ascii="Times New Roman" w:eastAsia="Times New Roman" w:hAnsi="Times New Roman" w:cs="Times New Roman"/>
          <w:b/>
          <w:bCs/>
          <w:color w:val="000000"/>
          <w:sz w:val="24"/>
          <w:szCs w:val="24"/>
          <w:lang w:val="en-US" w:eastAsia="es-ES"/>
        </w:rPr>
      </w:pPr>
      <w:r w:rsidRPr="00715798">
        <w:rPr>
          <w:rFonts w:ascii="Times New Roman" w:eastAsia="Times New Roman" w:hAnsi="Times New Roman" w:cs="Times New Roman"/>
          <w:color w:val="333333"/>
          <w:sz w:val="24"/>
          <w:szCs w:val="24"/>
          <w:lang w:val="en-US" w:eastAsia="es-ES"/>
        </w:rPr>
        <w:lastRenderedPageBreak/>
        <w:t>Figure 2.17. </w:t>
      </w:r>
      <w:r w:rsidRPr="00715798">
        <w:rPr>
          <w:rFonts w:ascii="Times New Roman" w:eastAsia="Times New Roman" w:hAnsi="Times New Roman" w:cs="Times New Roman"/>
          <w:b/>
          <w:bCs/>
          <w:color w:val="000000"/>
          <w:sz w:val="24"/>
          <w:szCs w:val="24"/>
          <w:lang w:val="en-US" w:eastAsia="es-ES"/>
        </w:rPr>
        <w:t>Homeownership rates for 16-34 year old households, recipients and non-recipients of a substantial gift or inheritance, 18 OECD countries</w:t>
      </w:r>
    </w:p>
    <w:p w:rsidR="00BE473A" w:rsidRPr="00715798" w:rsidRDefault="00BE473A" w:rsidP="00BE473A">
      <w:pPr>
        <w:spacing w:after="0" w:line="240" w:lineRule="auto"/>
        <w:ind w:left="2124" w:firstLine="708"/>
        <w:jc w:val="both"/>
        <w:rPr>
          <w:rFonts w:ascii="Times New Roman" w:eastAsia="Times New Roman" w:hAnsi="Times New Roman" w:cs="Times New Roman"/>
          <w:color w:val="000000"/>
          <w:sz w:val="24"/>
          <w:szCs w:val="24"/>
          <w:lang w:eastAsia="es-ES"/>
        </w:rPr>
      </w:pPr>
      <w:r w:rsidRPr="00715798">
        <w:rPr>
          <w:rFonts w:ascii="Times New Roman" w:eastAsia="Times New Roman" w:hAnsi="Times New Roman" w:cs="Times New Roman"/>
          <w:color w:val="000000"/>
          <w:sz w:val="24"/>
          <w:szCs w:val="24"/>
          <w:lang w:eastAsia="es-ES"/>
        </w:rPr>
        <w:t>2017 or closest available year</w:t>
      </w:r>
    </w:p>
    <w:p w:rsidR="00BE473A" w:rsidRPr="00715798" w:rsidRDefault="00BE473A" w:rsidP="00BE473A">
      <w:pPr>
        <w:spacing w:line="240" w:lineRule="auto"/>
        <w:jc w:val="both"/>
        <w:rPr>
          <w:rFonts w:ascii="Times New Roman" w:hAnsi="Times New Roman" w:cs="Times New Roman"/>
          <w:sz w:val="24"/>
          <w:szCs w:val="24"/>
          <w:lang w:val="en-US"/>
        </w:rPr>
      </w:pPr>
      <w:r w:rsidRPr="00715798">
        <w:rPr>
          <w:rFonts w:ascii="Times New Roman" w:hAnsi="Times New Roman" w:cs="Times New Roman"/>
          <w:noProof/>
          <w:sz w:val="24"/>
          <w:szCs w:val="24"/>
          <w:lang w:val="en-GB" w:eastAsia="zh-CN"/>
        </w:rPr>
        <w:drawing>
          <wp:inline distT="0" distB="0" distL="0" distR="0">
            <wp:extent cx="5730615" cy="1930400"/>
            <wp:effectExtent l="0" t="0" r="3810" b="0"/>
            <wp:docPr id="31" name="Imagen 31" descr="Figure 2.17. Homeownership rates for 16-34 year old households, recipients and non-recipients of a substantial gift or inheritance, 18 OECD countri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Figure 2.17. Homeownership rates for 16-34 year old households, recipients and non-recipients of a substantial gift or inheritance, 18 OECD countries"/>
                    <pic:cNvPicPr>
                      <a:picLocks noChangeAspect="1" noChangeArrowheads="1"/>
                    </pic:cNvPicPr>
                  </pic:nvPicPr>
                  <pic:blipFill>
                    <a:blip r:embed="rId5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1510" cy="1930702"/>
                    </a:xfrm>
                    <a:prstGeom prst="rect">
                      <a:avLst/>
                    </a:prstGeom>
                    <a:noFill/>
                    <a:ln>
                      <a:noFill/>
                    </a:ln>
                  </pic:spPr>
                </pic:pic>
              </a:graphicData>
            </a:graphic>
          </wp:inline>
        </w:drawing>
      </w:r>
    </w:p>
    <w:p w:rsidR="00BE473A" w:rsidRPr="00715798" w:rsidRDefault="00BE473A" w:rsidP="00BE473A">
      <w:pPr>
        <w:spacing w:after="0" w:line="240" w:lineRule="auto"/>
        <w:jc w:val="both"/>
        <w:rPr>
          <w:rFonts w:ascii="Times New Roman" w:eastAsia="Times New Roman" w:hAnsi="Times New Roman" w:cs="Times New Roman"/>
          <w:b/>
          <w:bCs/>
          <w:color w:val="000000"/>
          <w:sz w:val="24"/>
          <w:szCs w:val="24"/>
          <w:lang w:val="en-US" w:eastAsia="es-ES"/>
        </w:rPr>
      </w:pPr>
      <w:r w:rsidRPr="00715798">
        <w:rPr>
          <w:rFonts w:ascii="Times New Roman" w:eastAsia="Times New Roman" w:hAnsi="Times New Roman" w:cs="Times New Roman"/>
          <w:color w:val="333333"/>
          <w:sz w:val="24"/>
          <w:szCs w:val="24"/>
          <w:lang w:val="en-US" w:eastAsia="es-ES"/>
        </w:rPr>
        <w:t>Figure 2.18. </w:t>
      </w:r>
      <w:r w:rsidRPr="00715798">
        <w:rPr>
          <w:rFonts w:ascii="Times New Roman" w:eastAsia="Times New Roman" w:hAnsi="Times New Roman" w:cs="Times New Roman"/>
          <w:b/>
          <w:bCs/>
          <w:color w:val="000000"/>
          <w:sz w:val="24"/>
          <w:szCs w:val="24"/>
          <w:lang w:val="en-US" w:eastAsia="es-ES"/>
        </w:rPr>
        <w:t>Share of wealth transfer recipients reporting inherited or gifted housing, 17 OECD countries</w:t>
      </w:r>
    </w:p>
    <w:p w:rsidR="00BE473A" w:rsidRPr="00715798" w:rsidRDefault="00BE473A" w:rsidP="00BE473A">
      <w:pPr>
        <w:spacing w:after="0" w:line="240" w:lineRule="auto"/>
        <w:ind w:left="2832"/>
        <w:jc w:val="both"/>
        <w:rPr>
          <w:rFonts w:ascii="Times New Roman" w:eastAsia="Times New Roman" w:hAnsi="Times New Roman" w:cs="Times New Roman"/>
          <w:color w:val="000000"/>
          <w:sz w:val="24"/>
          <w:szCs w:val="24"/>
          <w:lang w:eastAsia="es-ES"/>
        </w:rPr>
      </w:pPr>
      <w:r w:rsidRPr="00715798">
        <w:rPr>
          <w:rFonts w:ascii="Times New Roman" w:eastAsia="Times New Roman" w:hAnsi="Times New Roman" w:cs="Times New Roman"/>
          <w:color w:val="000000"/>
          <w:sz w:val="24"/>
          <w:szCs w:val="24"/>
          <w:lang w:eastAsia="es-ES"/>
        </w:rPr>
        <w:t>2017 or closest available year</w:t>
      </w:r>
    </w:p>
    <w:p w:rsidR="00BE473A" w:rsidRPr="00715798" w:rsidRDefault="00BE473A" w:rsidP="00BE473A">
      <w:pPr>
        <w:spacing w:line="240" w:lineRule="auto"/>
        <w:jc w:val="both"/>
        <w:rPr>
          <w:rFonts w:ascii="Times New Roman" w:hAnsi="Times New Roman" w:cs="Times New Roman"/>
          <w:sz w:val="24"/>
          <w:szCs w:val="24"/>
          <w:lang w:val="en-US"/>
        </w:rPr>
      </w:pPr>
      <w:r w:rsidRPr="00715798">
        <w:rPr>
          <w:rFonts w:ascii="Times New Roman" w:hAnsi="Times New Roman" w:cs="Times New Roman"/>
          <w:noProof/>
          <w:sz w:val="24"/>
          <w:szCs w:val="24"/>
          <w:lang w:val="en-GB" w:eastAsia="zh-CN"/>
        </w:rPr>
        <w:drawing>
          <wp:inline distT="0" distB="0" distL="0" distR="0">
            <wp:extent cx="5734050" cy="2184400"/>
            <wp:effectExtent l="0" t="0" r="0" b="6350"/>
            <wp:docPr id="32" name="Imagen 32" descr="Figure 2.18. Share of wealth transfer recipients reporting inherited or gifted housing, 17 OECD countri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Figure 2.18. Share of wealth transfer recipients reporting inherited or gifted housing, 17 OECD countries"/>
                    <pic:cNvPicPr>
                      <a:picLocks noChangeAspect="1" noChangeArrowheads="1"/>
                    </pic:cNvPicPr>
                  </pic:nvPicPr>
                  <pic:blipFill>
                    <a:blip r:embed="rId5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1510" cy="2183432"/>
                    </a:xfrm>
                    <a:prstGeom prst="rect">
                      <a:avLst/>
                    </a:prstGeom>
                    <a:noFill/>
                    <a:ln>
                      <a:noFill/>
                    </a:ln>
                  </pic:spPr>
                </pic:pic>
              </a:graphicData>
            </a:graphic>
          </wp:inline>
        </w:drawing>
      </w:r>
    </w:p>
    <w:p w:rsidR="00BE473A" w:rsidRPr="00715798" w:rsidRDefault="00BE473A" w:rsidP="00BE473A">
      <w:pPr>
        <w:spacing w:after="0" w:line="240" w:lineRule="auto"/>
        <w:jc w:val="both"/>
        <w:rPr>
          <w:rFonts w:ascii="Times New Roman" w:eastAsia="Times New Roman" w:hAnsi="Times New Roman" w:cs="Times New Roman"/>
          <w:b/>
          <w:bCs/>
          <w:color w:val="000000"/>
          <w:sz w:val="24"/>
          <w:szCs w:val="24"/>
          <w:lang w:val="en-US" w:eastAsia="es-ES"/>
        </w:rPr>
      </w:pPr>
      <w:r w:rsidRPr="00715798">
        <w:rPr>
          <w:rFonts w:ascii="Times New Roman" w:eastAsia="Times New Roman" w:hAnsi="Times New Roman" w:cs="Times New Roman"/>
          <w:color w:val="333333"/>
          <w:sz w:val="24"/>
          <w:szCs w:val="24"/>
          <w:lang w:val="en-US" w:eastAsia="es-ES"/>
        </w:rPr>
        <w:t>Figure 2.19. </w:t>
      </w:r>
      <w:r w:rsidRPr="00715798">
        <w:rPr>
          <w:rFonts w:ascii="Times New Roman" w:eastAsia="Times New Roman" w:hAnsi="Times New Roman" w:cs="Times New Roman"/>
          <w:b/>
          <w:bCs/>
          <w:color w:val="000000"/>
          <w:sz w:val="24"/>
          <w:szCs w:val="24"/>
          <w:lang w:val="en-US" w:eastAsia="es-ES"/>
        </w:rPr>
        <w:t>Share of housing wealth by gift or inheritance and across net wealth quintiles, unweighted average, select OECD countries</w:t>
      </w:r>
    </w:p>
    <w:p w:rsidR="00BE473A" w:rsidRPr="00715798" w:rsidRDefault="00BE473A" w:rsidP="00BE473A">
      <w:pPr>
        <w:spacing w:after="0" w:line="240" w:lineRule="auto"/>
        <w:ind w:left="2124" w:firstLine="708"/>
        <w:jc w:val="both"/>
        <w:rPr>
          <w:rFonts w:ascii="Times New Roman" w:eastAsia="Times New Roman" w:hAnsi="Times New Roman" w:cs="Times New Roman"/>
          <w:color w:val="000000"/>
          <w:sz w:val="24"/>
          <w:szCs w:val="24"/>
          <w:lang w:eastAsia="es-ES"/>
        </w:rPr>
      </w:pPr>
      <w:r w:rsidRPr="00715798">
        <w:rPr>
          <w:rFonts w:ascii="Times New Roman" w:eastAsia="Times New Roman" w:hAnsi="Times New Roman" w:cs="Times New Roman"/>
          <w:color w:val="000000"/>
          <w:sz w:val="24"/>
          <w:szCs w:val="24"/>
          <w:lang w:eastAsia="es-ES"/>
        </w:rPr>
        <w:t>2017 or closest available year</w:t>
      </w:r>
    </w:p>
    <w:p w:rsidR="00BE473A" w:rsidRPr="00715798" w:rsidRDefault="00BE473A" w:rsidP="00BE473A">
      <w:pPr>
        <w:spacing w:line="240" w:lineRule="auto"/>
        <w:jc w:val="both"/>
        <w:rPr>
          <w:rFonts w:ascii="Times New Roman" w:hAnsi="Times New Roman" w:cs="Times New Roman"/>
          <w:sz w:val="24"/>
          <w:szCs w:val="24"/>
          <w:lang w:val="en-US"/>
        </w:rPr>
      </w:pPr>
      <w:r w:rsidRPr="00715798">
        <w:rPr>
          <w:rFonts w:ascii="Times New Roman" w:hAnsi="Times New Roman" w:cs="Times New Roman"/>
          <w:noProof/>
          <w:sz w:val="24"/>
          <w:szCs w:val="24"/>
          <w:lang w:val="en-GB" w:eastAsia="zh-CN"/>
        </w:rPr>
        <w:drawing>
          <wp:inline distT="0" distB="0" distL="0" distR="0">
            <wp:extent cx="5733057" cy="2178050"/>
            <wp:effectExtent l="0" t="0" r="1270" b="0"/>
            <wp:docPr id="33" name="Imagen 33" descr="Figure 2.19. Share of housing wealth by gift or inheritance and across net wealth quintiles, unweighted average, select OECD countrie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Figure 2.19. Share of housing wealth by gift or inheritance and across net wealth quintiles, unweighted average, select OECD countries "/>
                    <pic:cNvPicPr>
                      <a:picLocks noChangeAspect="1" noChangeArrowheads="1"/>
                    </pic:cNvPicPr>
                  </pic:nvPicPr>
                  <pic:blipFill>
                    <a:blip r:embed="rId5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1510" cy="2177462"/>
                    </a:xfrm>
                    <a:prstGeom prst="rect">
                      <a:avLst/>
                    </a:prstGeom>
                    <a:noFill/>
                    <a:ln>
                      <a:noFill/>
                    </a:ln>
                  </pic:spPr>
                </pic:pic>
              </a:graphicData>
            </a:graphic>
          </wp:inline>
        </w:drawing>
      </w:r>
    </w:p>
    <w:p w:rsidR="00BE473A" w:rsidRPr="00715798" w:rsidRDefault="00BE473A" w:rsidP="00BE473A">
      <w:pPr>
        <w:spacing w:line="240" w:lineRule="auto"/>
        <w:jc w:val="both"/>
        <w:rPr>
          <w:rFonts w:ascii="Times New Roman" w:hAnsi="Times New Roman" w:cs="Times New Roman"/>
          <w:sz w:val="24"/>
          <w:szCs w:val="24"/>
          <w:lang w:val="en-US"/>
        </w:rPr>
      </w:pPr>
    </w:p>
    <w:p w:rsidR="00BE473A" w:rsidRDefault="00BE473A" w:rsidP="00BE473A">
      <w:pPr>
        <w:spacing w:line="240" w:lineRule="auto"/>
        <w:jc w:val="both"/>
        <w:rPr>
          <w:rStyle w:val="webprefix-num"/>
          <w:color w:val="333333"/>
          <w:sz w:val="24"/>
          <w:szCs w:val="24"/>
          <w:shd w:val="clear" w:color="auto" w:fill="FFFFFF"/>
          <w:lang w:val="en-US"/>
        </w:rPr>
      </w:pPr>
    </w:p>
    <w:p w:rsidR="00BE473A" w:rsidRPr="00715798" w:rsidRDefault="00BE473A" w:rsidP="00BE473A">
      <w:pPr>
        <w:spacing w:line="240" w:lineRule="auto"/>
        <w:jc w:val="both"/>
        <w:rPr>
          <w:rFonts w:ascii="Times New Roman" w:hAnsi="Times New Roman" w:cs="Times New Roman"/>
          <w:sz w:val="24"/>
          <w:szCs w:val="24"/>
          <w:lang w:val="en-US"/>
        </w:rPr>
      </w:pPr>
      <w:r w:rsidRPr="00715798">
        <w:rPr>
          <w:rStyle w:val="webprefix-num"/>
          <w:color w:val="333333"/>
          <w:sz w:val="24"/>
          <w:szCs w:val="24"/>
          <w:shd w:val="clear" w:color="auto" w:fill="FFFFFF"/>
          <w:lang w:val="en-US"/>
        </w:rPr>
        <w:lastRenderedPageBreak/>
        <w:t>Figure 3.1. </w:t>
      </w:r>
      <w:r w:rsidRPr="00715798">
        <w:rPr>
          <w:rFonts w:ascii="Times New Roman" w:hAnsi="Times New Roman" w:cs="Times New Roman"/>
          <w:b/>
          <w:bCs/>
          <w:color w:val="000000"/>
          <w:sz w:val="24"/>
          <w:szCs w:val="24"/>
          <w:shd w:val="clear" w:color="auto" w:fill="FFFFFF"/>
          <w:lang w:val="en-US"/>
        </w:rPr>
        <w:t>Taxation of housing assets over the asset lifecycle</w:t>
      </w:r>
    </w:p>
    <w:p w:rsidR="00BE473A" w:rsidRPr="00715798" w:rsidRDefault="00BE473A" w:rsidP="00BE473A">
      <w:pPr>
        <w:spacing w:line="240" w:lineRule="auto"/>
        <w:jc w:val="both"/>
        <w:rPr>
          <w:rFonts w:ascii="Times New Roman" w:hAnsi="Times New Roman" w:cs="Times New Roman"/>
          <w:sz w:val="24"/>
          <w:szCs w:val="24"/>
          <w:lang w:val="en-US"/>
        </w:rPr>
      </w:pPr>
      <w:r w:rsidRPr="00715798">
        <w:rPr>
          <w:rFonts w:ascii="Times New Roman" w:hAnsi="Times New Roman" w:cs="Times New Roman"/>
          <w:noProof/>
          <w:sz w:val="24"/>
          <w:szCs w:val="24"/>
          <w:lang w:val="en-GB" w:eastAsia="zh-CN"/>
        </w:rPr>
        <w:drawing>
          <wp:inline distT="0" distB="0" distL="0" distR="0">
            <wp:extent cx="5731510" cy="1616286"/>
            <wp:effectExtent l="0" t="0" r="2540" b="3175"/>
            <wp:docPr id="34" name="Imagen 34" descr="Figure 3.1. Taxation of housing assets over the asset lifecyc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Figure 3.1. Taxation of housing assets over the asset lifecycle"/>
                    <pic:cNvPicPr>
                      <a:picLocks noChangeAspect="1" noChangeArrowheads="1"/>
                    </pic:cNvPicPr>
                  </pic:nvPicPr>
                  <pic:blipFill>
                    <a:blip r:embed="rId5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1510" cy="1616286"/>
                    </a:xfrm>
                    <a:prstGeom prst="rect">
                      <a:avLst/>
                    </a:prstGeom>
                    <a:noFill/>
                    <a:ln>
                      <a:noFill/>
                    </a:ln>
                  </pic:spPr>
                </pic:pic>
              </a:graphicData>
            </a:graphic>
          </wp:inline>
        </w:drawing>
      </w:r>
    </w:p>
    <w:p w:rsidR="00BE473A" w:rsidRPr="00715798" w:rsidRDefault="00BE473A" w:rsidP="00BE473A">
      <w:pPr>
        <w:spacing w:line="240" w:lineRule="auto"/>
        <w:jc w:val="both"/>
        <w:rPr>
          <w:rFonts w:ascii="Times New Roman" w:hAnsi="Times New Roman" w:cs="Times New Roman"/>
          <w:sz w:val="24"/>
          <w:szCs w:val="24"/>
          <w:lang w:val="en-US"/>
        </w:rPr>
      </w:pPr>
      <w:r w:rsidRPr="00715798">
        <w:rPr>
          <w:rStyle w:val="webprefix-num"/>
          <w:color w:val="333333"/>
          <w:sz w:val="24"/>
          <w:szCs w:val="24"/>
          <w:shd w:val="clear" w:color="auto" w:fill="FFFFFF"/>
          <w:lang w:val="en-US"/>
        </w:rPr>
        <w:t>Figure 3.2. </w:t>
      </w:r>
      <w:r w:rsidRPr="00715798">
        <w:rPr>
          <w:rFonts w:ascii="Times New Roman" w:hAnsi="Times New Roman" w:cs="Times New Roman"/>
          <w:b/>
          <w:bCs/>
          <w:color w:val="000000"/>
          <w:sz w:val="24"/>
          <w:szCs w:val="24"/>
          <w:shd w:val="clear" w:color="auto" w:fill="FFFFFF"/>
          <w:lang w:val="en-US"/>
        </w:rPr>
        <w:t>Property tax revenue as a share of total tax revenues, 2020</w:t>
      </w:r>
    </w:p>
    <w:p w:rsidR="00BE473A" w:rsidRPr="00715798" w:rsidRDefault="00BE473A" w:rsidP="00BE473A">
      <w:pPr>
        <w:spacing w:line="240" w:lineRule="auto"/>
        <w:jc w:val="both"/>
        <w:rPr>
          <w:rFonts w:ascii="Times New Roman" w:hAnsi="Times New Roman" w:cs="Times New Roman"/>
          <w:sz w:val="24"/>
          <w:szCs w:val="24"/>
          <w:lang w:val="en-US"/>
        </w:rPr>
      </w:pPr>
      <w:r w:rsidRPr="00715798">
        <w:rPr>
          <w:rFonts w:ascii="Times New Roman" w:hAnsi="Times New Roman" w:cs="Times New Roman"/>
          <w:noProof/>
          <w:sz w:val="24"/>
          <w:szCs w:val="24"/>
          <w:lang w:val="en-GB" w:eastAsia="zh-CN"/>
        </w:rPr>
        <w:drawing>
          <wp:inline distT="0" distB="0" distL="0" distR="0">
            <wp:extent cx="5731510" cy="2774051"/>
            <wp:effectExtent l="0" t="0" r="2540" b="7620"/>
            <wp:docPr id="35" name="Imagen 35" descr="Figure 3.2. Property tax revenue as a share of total tax revenues, 2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Figure 3.2. Property tax revenue as a share of total tax revenues, 2020"/>
                    <pic:cNvPicPr>
                      <a:picLocks noChangeAspect="1" noChangeArrowheads="1"/>
                    </pic:cNvPicPr>
                  </pic:nvPicPr>
                  <pic:blipFill>
                    <a:blip r:embed="rId5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1510" cy="2774051"/>
                    </a:xfrm>
                    <a:prstGeom prst="rect">
                      <a:avLst/>
                    </a:prstGeom>
                    <a:noFill/>
                    <a:ln>
                      <a:noFill/>
                    </a:ln>
                  </pic:spPr>
                </pic:pic>
              </a:graphicData>
            </a:graphic>
          </wp:inline>
        </w:drawing>
      </w:r>
    </w:p>
    <w:p w:rsidR="00BE473A" w:rsidRPr="00715798" w:rsidRDefault="00BE473A" w:rsidP="00BE473A">
      <w:pPr>
        <w:spacing w:line="240" w:lineRule="auto"/>
        <w:jc w:val="both"/>
        <w:rPr>
          <w:rFonts w:ascii="Times New Roman" w:hAnsi="Times New Roman" w:cs="Times New Roman"/>
          <w:sz w:val="24"/>
          <w:szCs w:val="24"/>
          <w:lang w:val="en-US"/>
        </w:rPr>
      </w:pPr>
      <w:r w:rsidRPr="00715798">
        <w:rPr>
          <w:rStyle w:val="webprefix-num"/>
          <w:color w:val="333333"/>
          <w:sz w:val="24"/>
          <w:szCs w:val="24"/>
          <w:shd w:val="clear" w:color="auto" w:fill="FFFFFF"/>
          <w:lang w:val="en-US"/>
        </w:rPr>
        <w:t>Figure 3.3. </w:t>
      </w:r>
      <w:r w:rsidRPr="00715798">
        <w:rPr>
          <w:rFonts w:ascii="Times New Roman" w:hAnsi="Times New Roman" w:cs="Times New Roman"/>
          <w:b/>
          <w:bCs/>
          <w:color w:val="000000"/>
          <w:sz w:val="24"/>
          <w:szCs w:val="24"/>
          <w:shd w:val="clear" w:color="auto" w:fill="FFFFFF"/>
          <w:lang w:val="en-US"/>
        </w:rPr>
        <w:t>Recurrent taxes on immovable property as a percentage of local and state government’s revenues, 2019</w:t>
      </w:r>
    </w:p>
    <w:p w:rsidR="00BE473A" w:rsidRPr="00715798" w:rsidRDefault="00BE473A" w:rsidP="00BE473A">
      <w:pPr>
        <w:spacing w:line="240" w:lineRule="auto"/>
        <w:jc w:val="both"/>
        <w:rPr>
          <w:rFonts w:ascii="Times New Roman" w:hAnsi="Times New Roman" w:cs="Times New Roman"/>
          <w:sz w:val="24"/>
          <w:szCs w:val="24"/>
          <w:lang w:val="en-US"/>
        </w:rPr>
      </w:pPr>
      <w:r w:rsidRPr="00715798">
        <w:rPr>
          <w:rFonts w:ascii="Times New Roman" w:hAnsi="Times New Roman" w:cs="Times New Roman"/>
          <w:noProof/>
          <w:sz w:val="24"/>
          <w:szCs w:val="24"/>
          <w:lang w:val="en-GB" w:eastAsia="zh-CN"/>
        </w:rPr>
        <w:drawing>
          <wp:inline distT="0" distB="0" distL="0" distR="0">
            <wp:extent cx="5731510" cy="2808440"/>
            <wp:effectExtent l="0" t="0" r="2540" b="0"/>
            <wp:docPr id="36" name="Imagen 36" descr="Figure 3.3. Recurrent taxes on immovable property as a percentage of local and state government’s revenues, 2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Figure 3.3. Recurrent taxes on immovable property as a percentage of local and state government’s revenues, 2019"/>
                    <pic:cNvPicPr>
                      <a:picLocks noChangeAspect="1" noChangeArrowheads="1"/>
                    </pic:cNvPicPr>
                  </pic:nvPicPr>
                  <pic:blipFill>
                    <a:blip r:embed="rId6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1510" cy="2808440"/>
                    </a:xfrm>
                    <a:prstGeom prst="rect">
                      <a:avLst/>
                    </a:prstGeom>
                    <a:noFill/>
                    <a:ln>
                      <a:noFill/>
                    </a:ln>
                  </pic:spPr>
                </pic:pic>
              </a:graphicData>
            </a:graphic>
          </wp:inline>
        </w:drawing>
      </w:r>
    </w:p>
    <w:p w:rsidR="00BE473A" w:rsidRPr="00715798" w:rsidRDefault="00BE473A" w:rsidP="00BE473A">
      <w:pPr>
        <w:spacing w:line="240" w:lineRule="auto"/>
        <w:jc w:val="both"/>
        <w:rPr>
          <w:rFonts w:ascii="Times New Roman" w:hAnsi="Times New Roman" w:cs="Times New Roman"/>
          <w:sz w:val="24"/>
          <w:szCs w:val="24"/>
          <w:lang w:val="en-US"/>
        </w:rPr>
      </w:pPr>
      <w:r w:rsidRPr="00715798">
        <w:rPr>
          <w:rStyle w:val="webprefix-num"/>
          <w:color w:val="333333"/>
          <w:sz w:val="24"/>
          <w:szCs w:val="24"/>
          <w:shd w:val="clear" w:color="auto" w:fill="FFFFFF"/>
          <w:lang w:val="en-US"/>
        </w:rPr>
        <w:lastRenderedPageBreak/>
        <w:t>Figure 3.4. </w:t>
      </w:r>
      <w:r w:rsidRPr="00715798">
        <w:rPr>
          <w:rFonts w:ascii="Times New Roman" w:hAnsi="Times New Roman" w:cs="Times New Roman"/>
          <w:b/>
          <w:bCs/>
          <w:color w:val="000000"/>
          <w:sz w:val="24"/>
          <w:szCs w:val="24"/>
          <w:shd w:val="clear" w:color="auto" w:fill="FFFFFF"/>
          <w:lang w:val="en-US"/>
        </w:rPr>
        <w:t>Property tax revenue as a share of GDP over time across OECD countries (unweighted average), 1965-2019</w:t>
      </w:r>
    </w:p>
    <w:p w:rsidR="00BE473A" w:rsidRPr="00715798" w:rsidRDefault="00BE473A" w:rsidP="00BE473A">
      <w:pPr>
        <w:spacing w:line="240" w:lineRule="auto"/>
        <w:jc w:val="both"/>
        <w:rPr>
          <w:rFonts w:ascii="Times New Roman" w:hAnsi="Times New Roman" w:cs="Times New Roman"/>
          <w:sz w:val="24"/>
          <w:szCs w:val="24"/>
          <w:lang w:val="en-US"/>
        </w:rPr>
      </w:pPr>
      <w:r w:rsidRPr="00715798">
        <w:rPr>
          <w:rFonts w:ascii="Times New Roman" w:hAnsi="Times New Roman" w:cs="Times New Roman"/>
          <w:noProof/>
          <w:sz w:val="24"/>
          <w:szCs w:val="24"/>
          <w:lang w:val="en-GB" w:eastAsia="zh-CN"/>
        </w:rPr>
        <w:drawing>
          <wp:inline distT="0" distB="0" distL="0" distR="0">
            <wp:extent cx="5726870" cy="2228850"/>
            <wp:effectExtent l="0" t="0" r="7620" b="0"/>
            <wp:docPr id="37" name="Imagen 37" descr="Figure 3.4. Property tax revenue as a share of GDP over time across OECD countries (unweighted average), 1965-2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Figure 3.4. Property tax revenue as a share of GDP over time across OECD countries (unweighted average), 1965-2019"/>
                    <pic:cNvPicPr>
                      <a:picLocks noChangeAspect="1" noChangeArrowheads="1"/>
                    </pic:cNvPicPr>
                  </pic:nvPicPr>
                  <pic:blipFill>
                    <a:blip r:embed="rId6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1510" cy="2230656"/>
                    </a:xfrm>
                    <a:prstGeom prst="rect">
                      <a:avLst/>
                    </a:prstGeom>
                    <a:noFill/>
                    <a:ln>
                      <a:noFill/>
                    </a:ln>
                  </pic:spPr>
                </pic:pic>
              </a:graphicData>
            </a:graphic>
          </wp:inline>
        </w:drawing>
      </w:r>
    </w:p>
    <w:p w:rsidR="00BE473A" w:rsidRPr="00715798" w:rsidRDefault="00BE473A" w:rsidP="00BE473A">
      <w:pPr>
        <w:spacing w:line="240" w:lineRule="auto"/>
        <w:jc w:val="both"/>
        <w:rPr>
          <w:rFonts w:ascii="Times New Roman" w:hAnsi="Times New Roman" w:cs="Times New Roman"/>
          <w:sz w:val="24"/>
          <w:szCs w:val="24"/>
          <w:lang w:val="en-US"/>
        </w:rPr>
      </w:pPr>
      <w:r w:rsidRPr="00715798">
        <w:rPr>
          <w:rStyle w:val="webprefix-num"/>
          <w:color w:val="333333"/>
          <w:sz w:val="24"/>
          <w:szCs w:val="24"/>
          <w:shd w:val="clear" w:color="auto" w:fill="FFFFFF"/>
          <w:lang w:val="en-US"/>
        </w:rPr>
        <w:t>Figure 3.5. </w:t>
      </w:r>
      <w:r w:rsidRPr="00715798">
        <w:rPr>
          <w:rFonts w:ascii="Times New Roman" w:hAnsi="Times New Roman" w:cs="Times New Roman"/>
          <w:b/>
          <w:bCs/>
          <w:color w:val="000000"/>
          <w:sz w:val="24"/>
          <w:szCs w:val="24"/>
          <w:shd w:val="clear" w:color="auto" w:fill="FFFFFF"/>
          <w:lang w:val="en-US"/>
        </w:rPr>
        <w:t>Mean growth in real housing prices and mean growth in recurrent property tax revenues (% of GDP) over time, 15 OECD countries, 1995-2020</w:t>
      </w:r>
    </w:p>
    <w:p w:rsidR="00BE473A" w:rsidRPr="00715798" w:rsidRDefault="00BE473A" w:rsidP="00BE473A">
      <w:pPr>
        <w:spacing w:line="240" w:lineRule="auto"/>
        <w:jc w:val="both"/>
        <w:rPr>
          <w:rFonts w:ascii="Times New Roman" w:hAnsi="Times New Roman" w:cs="Times New Roman"/>
          <w:sz w:val="24"/>
          <w:szCs w:val="24"/>
          <w:lang w:val="en-US"/>
        </w:rPr>
      </w:pPr>
      <w:r w:rsidRPr="00715798">
        <w:rPr>
          <w:rFonts w:ascii="Times New Roman" w:hAnsi="Times New Roman" w:cs="Times New Roman"/>
          <w:noProof/>
          <w:sz w:val="24"/>
          <w:szCs w:val="24"/>
          <w:lang w:val="en-GB" w:eastAsia="zh-CN"/>
        </w:rPr>
        <w:drawing>
          <wp:inline distT="0" distB="0" distL="0" distR="0">
            <wp:extent cx="5721350" cy="2025650"/>
            <wp:effectExtent l="0" t="0" r="0" b="0"/>
            <wp:docPr id="38" name="Imagen 38" descr="Figure 3.5. Mean growth in real housing prices and mean growth in recurrent property tax revenues (% of GDP) over time, 15 OECD countries, 1995-2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Figure 3.5. Mean growth in real housing prices and mean growth in recurrent property tax revenues (% of GDP) over time, 15 OECD countries, 1995-2020"/>
                    <pic:cNvPicPr>
                      <a:picLocks noChangeAspect="1" noChangeArrowheads="1"/>
                    </pic:cNvPicPr>
                  </pic:nvPicPr>
                  <pic:blipFill>
                    <a:blip r:embed="rId6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1510" cy="2029247"/>
                    </a:xfrm>
                    <a:prstGeom prst="rect">
                      <a:avLst/>
                    </a:prstGeom>
                    <a:noFill/>
                    <a:ln>
                      <a:noFill/>
                    </a:ln>
                  </pic:spPr>
                </pic:pic>
              </a:graphicData>
            </a:graphic>
          </wp:inline>
        </w:drawing>
      </w:r>
    </w:p>
    <w:p w:rsidR="00BE473A" w:rsidRPr="00715798" w:rsidRDefault="00BE473A" w:rsidP="00BE473A">
      <w:pPr>
        <w:spacing w:line="240" w:lineRule="auto"/>
        <w:jc w:val="both"/>
        <w:rPr>
          <w:rFonts w:ascii="Times New Roman" w:hAnsi="Times New Roman" w:cs="Times New Roman"/>
          <w:sz w:val="24"/>
          <w:szCs w:val="24"/>
          <w:lang w:val="en-US"/>
        </w:rPr>
      </w:pPr>
      <w:r w:rsidRPr="00715798">
        <w:rPr>
          <w:rStyle w:val="webprefix-num"/>
          <w:color w:val="333333"/>
          <w:sz w:val="24"/>
          <w:szCs w:val="24"/>
          <w:shd w:val="clear" w:color="auto" w:fill="FFFFFF"/>
          <w:lang w:val="en-US"/>
        </w:rPr>
        <w:t>Figure 3.6. </w:t>
      </w:r>
      <w:r w:rsidRPr="00715798">
        <w:rPr>
          <w:rFonts w:ascii="Times New Roman" w:hAnsi="Times New Roman" w:cs="Times New Roman"/>
          <w:b/>
          <w:bCs/>
          <w:color w:val="000000"/>
          <w:sz w:val="24"/>
          <w:szCs w:val="24"/>
          <w:shd w:val="clear" w:color="auto" w:fill="FFFFFF"/>
          <w:lang w:val="en-US"/>
        </w:rPr>
        <w:t>Marginal effective tax rates and component taxes, owner-occupied debt-financed housing, average for countries with and without mortgage interest relief, 2016</w:t>
      </w:r>
    </w:p>
    <w:p w:rsidR="00BE473A" w:rsidRPr="00715798" w:rsidRDefault="00BE473A" w:rsidP="00BE473A">
      <w:pPr>
        <w:spacing w:line="240" w:lineRule="auto"/>
        <w:jc w:val="both"/>
        <w:rPr>
          <w:rFonts w:ascii="Times New Roman" w:hAnsi="Times New Roman" w:cs="Times New Roman"/>
          <w:sz w:val="24"/>
          <w:szCs w:val="24"/>
          <w:lang w:val="en-US"/>
        </w:rPr>
      </w:pPr>
      <w:r w:rsidRPr="00715798">
        <w:rPr>
          <w:rFonts w:ascii="Times New Roman" w:hAnsi="Times New Roman" w:cs="Times New Roman"/>
          <w:noProof/>
          <w:sz w:val="24"/>
          <w:szCs w:val="24"/>
          <w:lang w:val="en-GB" w:eastAsia="zh-CN"/>
        </w:rPr>
        <w:drawing>
          <wp:inline distT="0" distB="0" distL="0" distR="0">
            <wp:extent cx="5727212" cy="2400300"/>
            <wp:effectExtent l="0" t="0" r="6985" b="0"/>
            <wp:docPr id="39" name="Imagen 39" descr="Figure 3.6. Marginal effective tax rates and component taxes, owner-occupied debt-financed housing, average for countries with and without mortgage interest relief, 2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Figure 3.6. Marginal effective tax rates and component taxes, owner-occupied debt-financed housing, average for countries with and without mortgage interest relief, 2016"/>
                    <pic:cNvPicPr>
                      <a:picLocks noChangeAspect="1" noChangeArrowheads="1"/>
                    </pic:cNvPicPr>
                  </pic:nvPicPr>
                  <pic:blipFill>
                    <a:blip r:embed="rId6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1510" cy="2402101"/>
                    </a:xfrm>
                    <a:prstGeom prst="rect">
                      <a:avLst/>
                    </a:prstGeom>
                    <a:noFill/>
                    <a:ln>
                      <a:noFill/>
                    </a:ln>
                  </pic:spPr>
                </pic:pic>
              </a:graphicData>
            </a:graphic>
          </wp:inline>
        </w:drawing>
      </w:r>
    </w:p>
    <w:p w:rsidR="00BE473A" w:rsidRDefault="00BE473A" w:rsidP="00BE473A">
      <w:pPr>
        <w:spacing w:line="240" w:lineRule="auto"/>
        <w:jc w:val="both"/>
        <w:rPr>
          <w:rFonts w:ascii="Times New Roman" w:hAnsi="Times New Roman" w:cs="Times New Roman"/>
          <w:b/>
          <w:color w:val="FF0000"/>
          <w:sz w:val="24"/>
          <w:szCs w:val="24"/>
        </w:rPr>
      </w:pPr>
    </w:p>
    <w:p w:rsidR="00BE473A" w:rsidRDefault="00BE473A" w:rsidP="00BE473A">
      <w:pPr>
        <w:spacing w:line="240" w:lineRule="auto"/>
        <w:jc w:val="both"/>
        <w:rPr>
          <w:rFonts w:ascii="Times New Roman" w:hAnsi="Times New Roman" w:cs="Times New Roman"/>
          <w:b/>
          <w:color w:val="FF0000"/>
          <w:sz w:val="24"/>
          <w:szCs w:val="24"/>
        </w:rPr>
        <w:sectPr w:rsidR="00BE473A">
          <w:pgSz w:w="11906" w:h="16838"/>
          <w:pgMar w:top="1440" w:right="1440" w:bottom="1440" w:left="1440" w:header="708" w:footer="708" w:gutter="0"/>
          <w:cols w:space="708"/>
          <w:docGrid w:linePitch="360"/>
        </w:sectPr>
      </w:pPr>
    </w:p>
    <w:p w:rsidR="00BE473A" w:rsidRPr="00B47A22" w:rsidRDefault="00BE473A" w:rsidP="00BE473A">
      <w:pPr>
        <w:spacing w:line="240" w:lineRule="auto"/>
        <w:jc w:val="both"/>
        <w:rPr>
          <w:rFonts w:ascii="Times New Roman" w:hAnsi="Times New Roman" w:cs="Times New Roman"/>
          <w:sz w:val="24"/>
          <w:szCs w:val="24"/>
          <w:lang w:val="en-US"/>
        </w:rPr>
      </w:pPr>
      <w:r w:rsidRPr="008730D0">
        <w:rPr>
          <w:rFonts w:ascii="Times New Roman" w:hAnsi="Times New Roman" w:cs="Times New Roman"/>
          <w:noProof/>
          <w:sz w:val="24"/>
          <w:szCs w:val="24"/>
          <w:lang w:val="en-GB" w:eastAsia="zh-CN"/>
        </w:rPr>
        <w:lastRenderedPageBreak/>
        <w:drawing>
          <wp:inline distT="0" distB="0" distL="0" distR="0">
            <wp:extent cx="5194300" cy="1508125"/>
            <wp:effectExtent l="0" t="0" r="6350" b="0"/>
            <wp:docPr id="49" name="Imagen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4"/>
                    <a:stretch>
                      <a:fillRect/>
                    </a:stretch>
                  </pic:blipFill>
                  <pic:spPr>
                    <a:xfrm>
                      <a:off x="0" y="0"/>
                      <a:ext cx="5194300" cy="1508125"/>
                    </a:xfrm>
                    <a:prstGeom prst="rect">
                      <a:avLst/>
                    </a:prstGeom>
                  </pic:spPr>
                </pic:pic>
              </a:graphicData>
            </a:graphic>
          </wp:inline>
        </w:drawing>
      </w:r>
      <w:r w:rsidRPr="008730D0">
        <w:rPr>
          <w:rFonts w:ascii="Times New Roman" w:hAnsi="Times New Roman" w:cs="Times New Roman"/>
          <w:noProof/>
          <w:sz w:val="24"/>
          <w:szCs w:val="24"/>
          <w:lang w:val="en-GB" w:eastAsia="zh-CN"/>
        </w:rPr>
        <w:drawing>
          <wp:inline distT="0" distB="0" distL="0" distR="0">
            <wp:extent cx="2489200" cy="819150"/>
            <wp:effectExtent l="0" t="0" r="635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5"/>
                    <a:stretch>
                      <a:fillRect/>
                    </a:stretch>
                  </pic:blipFill>
                  <pic:spPr>
                    <a:xfrm>
                      <a:off x="0" y="0"/>
                      <a:ext cx="2491072" cy="819766"/>
                    </a:xfrm>
                    <a:prstGeom prst="rect">
                      <a:avLst/>
                    </a:prstGeom>
                  </pic:spPr>
                </pic:pic>
              </a:graphicData>
            </a:graphic>
          </wp:inline>
        </w:drawing>
      </w:r>
    </w:p>
    <w:p w:rsidR="00BE473A" w:rsidRPr="00B47A22" w:rsidRDefault="00BE473A" w:rsidP="00BE473A">
      <w:pPr>
        <w:spacing w:line="240" w:lineRule="auto"/>
        <w:jc w:val="both"/>
        <w:rPr>
          <w:rFonts w:ascii="Times New Roman" w:hAnsi="Times New Roman" w:cs="Times New Roman"/>
          <w:sz w:val="24"/>
          <w:szCs w:val="24"/>
          <w:lang w:val="en-US"/>
        </w:rPr>
      </w:pPr>
      <w:r w:rsidRPr="00A2327B">
        <w:rPr>
          <w:rFonts w:ascii="Times New Roman" w:hAnsi="Times New Roman" w:cs="Times New Roman"/>
          <w:noProof/>
          <w:sz w:val="24"/>
          <w:szCs w:val="24"/>
          <w:lang w:val="en-GB" w:eastAsia="zh-CN"/>
        </w:rPr>
        <w:drawing>
          <wp:inline distT="0" distB="0" distL="0" distR="0">
            <wp:extent cx="5194300" cy="1460500"/>
            <wp:effectExtent l="0" t="0" r="6350" b="6350"/>
            <wp:docPr id="51" name="Imagen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6"/>
                    <a:stretch>
                      <a:fillRect/>
                    </a:stretch>
                  </pic:blipFill>
                  <pic:spPr>
                    <a:xfrm>
                      <a:off x="0" y="0"/>
                      <a:ext cx="5205592" cy="1463675"/>
                    </a:xfrm>
                    <a:prstGeom prst="rect">
                      <a:avLst/>
                    </a:prstGeom>
                  </pic:spPr>
                </pic:pic>
              </a:graphicData>
            </a:graphic>
          </wp:inline>
        </w:drawing>
      </w:r>
      <w:r w:rsidRPr="00A2327B">
        <w:rPr>
          <w:rFonts w:ascii="Times New Roman" w:hAnsi="Times New Roman" w:cs="Times New Roman"/>
          <w:noProof/>
          <w:sz w:val="24"/>
          <w:szCs w:val="24"/>
          <w:lang w:val="en-GB" w:eastAsia="zh-CN"/>
        </w:rPr>
        <w:drawing>
          <wp:inline distT="0" distB="0" distL="0" distR="0">
            <wp:extent cx="2451099" cy="768350"/>
            <wp:effectExtent l="0" t="0" r="6985" b="0"/>
            <wp:docPr id="52" name="Imagen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7"/>
                    <a:stretch>
                      <a:fillRect/>
                    </a:stretch>
                  </pic:blipFill>
                  <pic:spPr>
                    <a:xfrm>
                      <a:off x="0" y="0"/>
                      <a:ext cx="2454243" cy="769336"/>
                    </a:xfrm>
                    <a:prstGeom prst="rect">
                      <a:avLst/>
                    </a:prstGeom>
                  </pic:spPr>
                </pic:pic>
              </a:graphicData>
            </a:graphic>
          </wp:inline>
        </w:drawing>
      </w:r>
    </w:p>
    <w:p w:rsidR="00BE473A" w:rsidRDefault="00BE473A" w:rsidP="00BE473A">
      <w:pPr>
        <w:spacing w:line="240" w:lineRule="auto"/>
        <w:jc w:val="both"/>
        <w:rPr>
          <w:rFonts w:ascii="Times New Roman" w:hAnsi="Times New Roman" w:cs="Times New Roman"/>
          <w:sz w:val="24"/>
          <w:szCs w:val="24"/>
          <w:lang w:val="en-US"/>
        </w:rPr>
      </w:pPr>
      <w:r w:rsidRPr="00A2327B">
        <w:rPr>
          <w:rFonts w:ascii="Times New Roman" w:hAnsi="Times New Roman" w:cs="Times New Roman"/>
          <w:noProof/>
          <w:sz w:val="24"/>
          <w:szCs w:val="24"/>
          <w:lang w:val="en-GB" w:eastAsia="zh-CN"/>
        </w:rPr>
        <w:drawing>
          <wp:inline distT="0" distB="0" distL="0" distR="0">
            <wp:extent cx="5194300" cy="1452880"/>
            <wp:effectExtent l="0" t="0" r="6350" b="0"/>
            <wp:docPr id="53" name="Imagen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8"/>
                    <a:stretch>
                      <a:fillRect/>
                    </a:stretch>
                  </pic:blipFill>
                  <pic:spPr>
                    <a:xfrm>
                      <a:off x="0" y="0"/>
                      <a:ext cx="5194300" cy="1452880"/>
                    </a:xfrm>
                    <a:prstGeom prst="rect">
                      <a:avLst/>
                    </a:prstGeom>
                  </pic:spPr>
                </pic:pic>
              </a:graphicData>
            </a:graphic>
          </wp:inline>
        </w:drawing>
      </w:r>
      <w:r w:rsidRPr="00A2327B">
        <w:rPr>
          <w:rFonts w:ascii="Times New Roman" w:hAnsi="Times New Roman" w:cs="Times New Roman"/>
          <w:noProof/>
          <w:sz w:val="24"/>
          <w:szCs w:val="24"/>
          <w:lang w:val="en-GB" w:eastAsia="zh-CN"/>
        </w:rPr>
        <w:drawing>
          <wp:inline distT="0" distB="0" distL="0" distR="0">
            <wp:extent cx="2482850" cy="742950"/>
            <wp:effectExtent l="0" t="0" r="0" b="0"/>
            <wp:docPr id="54" name="Imagen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9"/>
                    <a:stretch>
                      <a:fillRect/>
                    </a:stretch>
                  </pic:blipFill>
                  <pic:spPr>
                    <a:xfrm>
                      <a:off x="0" y="0"/>
                      <a:ext cx="2487345" cy="744295"/>
                    </a:xfrm>
                    <a:prstGeom prst="rect">
                      <a:avLst/>
                    </a:prstGeom>
                  </pic:spPr>
                </pic:pic>
              </a:graphicData>
            </a:graphic>
          </wp:inline>
        </w:drawing>
      </w:r>
    </w:p>
    <w:p w:rsidR="00BE473A" w:rsidRPr="00B47A22" w:rsidRDefault="00BE473A" w:rsidP="00BE473A">
      <w:pPr>
        <w:spacing w:line="240" w:lineRule="auto"/>
        <w:jc w:val="both"/>
        <w:rPr>
          <w:rFonts w:ascii="Times New Roman" w:hAnsi="Times New Roman" w:cs="Times New Roman"/>
          <w:sz w:val="24"/>
          <w:szCs w:val="24"/>
          <w:lang w:val="en-US"/>
        </w:rPr>
      </w:pPr>
    </w:p>
    <w:p w:rsidR="00BE473A" w:rsidRDefault="00BE473A" w:rsidP="00BE473A">
      <w:pPr>
        <w:spacing w:line="240" w:lineRule="auto"/>
        <w:jc w:val="both"/>
        <w:rPr>
          <w:rFonts w:ascii="Times New Roman" w:hAnsi="Times New Roman" w:cs="Times New Roman"/>
          <w:sz w:val="24"/>
          <w:szCs w:val="24"/>
          <w:lang w:val="en-US"/>
        </w:rPr>
      </w:pPr>
      <w:r w:rsidRPr="00A2327B">
        <w:rPr>
          <w:rFonts w:ascii="Times New Roman" w:hAnsi="Times New Roman" w:cs="Times New Roman"/>
          <w:noProof/>
          <w:sz w:val="24"/>
          <w:szCs w:val="24"/>
          <w:lang w:val="en-GB" w:eastAsia="zh-CN"/>
        </w:rPr>
        <w:lastRenderedPageBreak/>
        <w:drawing>
          <wp:inline distT="0" distB="0" distL="0" distR="0">
            <wp:extent cx="5245100" cy="1492250"/>
            <wp:effectExtent l="0" t="0" r="0" b="0"/>
            <wp:docPr id="55" name="Imagen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0"/>
                    <a:stretch>
                      <a:fillRect/>
                    </a:stretch>
                  </pic:blipFill>
                  <pic:spPr>
                    <a:xfrm>
                      <a:off x="0" y="0"/>
                      <a:ext cx="5247332" cy="1492885"/>
                    </a:xfrm>
                    <a:prstGeom prst="rect">
                      <a:avLst/>
                    </a:prstGeom>
                  </pic:spPr>
                </pic:pic>
              </a:graphicData>
            </a:graphic>
          </wp:inline>
        </w:drawing>
      </w:r>
      <w:r w:rsidRPr="00A2327B">
        <w:rPr>
          <w:rFonts w:ascii="Times New Roman" w:hAnsi="Times New Roman" w:cs="Times New Roman"/>
          <w:noProof/>
          <w:sz w:val="24"/>
          <w:szCs w:val="24"/>
          <w:lang w:val="en-GB" w:eastAsia="zh-CN"/>
        </w:rPr>
        <w:drawing>
          <wp:inline distT="0" distB="0" distL="0" distR="0">
            <wp:extent cx="2546350" cy="755650"/>
            <wp:effectExtent l="0" t="0" r="6350" b="6350"/>
            <wp:docPr id="56" name="Imagen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1"/>
                    <a:stretch>
                      <a:fillRect/>
                    </a:stretch>
                  </pic:blipFill>
                  <pic:spPr>
                    <a:xfrm>
                      <a:off x="0" y="0"/>
                      <a:ext cx="2546350" cy="755650"/>
                    </a:xfrm>
                    <a:prstGeom prst="rect">
                      <a:avLst/>
                    </a:prstGeom>
                  </pic:spPr>
                </pic:pic>
              </a:graphicData>
            </a:graphic>
          </wp:inline>
        </w:drawing>
      </w:r>
    </w:p>
    <w:p w:rsidR="00BE473A" w:rsidRDefault="00BE473A" w:rsidP="00BE473A">
      <w:pPr>
        <w:spacing w:line="240" w:lineRule="auto"/>
        <w:jc w:val="both"/>
        <w:rPr>
          <w:rFonts w:ascii="Times New Roman" w:hAnsi="Times New Roman" w:cs="Times New Roman"/>
          <w:sz w:val="24"/>
          <w:szCs w:val="24"/>
          <w:lang w:val="en-US"/>
        </w:rPr>
      </w:pPr>
      <w:r w:rsidRPr="00A2327B">
        <w:rPr>
          <w:rFonts w:ascii="Times New Roman" w:hAnsi="Times New Roman" w:cs="Times New Roman"/>
          <w:noProof/>
          <w:sz w:val="24"/>
          <w:szCs w:val="24"/>
          <w:lang w:val="en-GB" w:eastAsia="zh-CN"/>
        </w:rPr>
        <w:drawing>
          <wp:inline distT="0" distB="0" distL="0" distR="0">
            <wp:extent cx="5245100" cy="1390650"/>
            <wp:effectExtent l="0" t="0" r="0" b="0"/>
            <wp:docPr id="57" name="Imagen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2"/>
                    <a:stretch>
                      <a:fillRect/>
                    </a:stretch>
                  </pic:blipFill>
                  <pic:spPr>
                    <a:xfrm>
                      <a:off x="0" y="0"/>
                      <a:ext cx="5256212" cy="1393596"/>
                    </a:xfrm>
                    <a:prstGeom prst="rect">
                      <a:avLst/>
                    </a:prstGeom>
                  </pic:spPr>
                </pic:pic>
              </a:graphicData>
            </a:graphic>
          </wp:inline>
        </w:drawing>
      </w:r>
      <w:r w:rsidRPr="00622D5E">
        <w:rPr>
          <w:rFonts w:ascii="Times New Roman" w:hAnsi="Times New Roman" w:cs="Times New Roman"/>
          <w:noProof/>
          <w:sz w:val="24"/>
          <w:szCs w:val="24"/>
          <w:lang w:val="en-GB" w:eastAsia="zh-CN"/>
        </w:rPr>
        <w:drawing>
          <wp:inline distT="0" distB="0" distL="0" distR="0">
            <wp:extent cx="2584450" cy="711200"/>
            <wp:effectExtent l="0" t="0" r="6350" b="0"/>
            <wp:docPr id="58" name="Imagen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3"/>
                    <a:stretch>
                      <a:fillRect/>
                    </a:stretch>
                  </pic:blipFill>
                  <pic:spPr>
                    <a:xfrm>
                      <a:off x="0" y="0"/>
                      <a:ext cx="2584450" cy="711200"/>
                    </a:xfrm>
                    <a:prstGeom prst="rect">
                      <a:avLst/>
                    </a:prstGeom>
                  </pic:spPr>
                </pic:pic>
              </a:graphicData>
            </a:graphic>
          </wp:inline>
        </w:drawing>
      </w:r>
    </w:p>
    <w:p w:rsidR="00BE473A" w:rsidRDefault="00BE473A" w:rsidP="00BE473A">
      <w:pPr>
        <w:spacing w:line="240" w:lineRule="auto"/>
        <w:jc w:val="both"/>
        <w:rPr>
          <w:rFonts w:ascii="Times New Roman" w:hAnsi="Times New Roman" w:cs="Times New Roman"/>
          <w:sz w:val="24"/>
          <w:szCs w:val="24"/>
          <w:lang w:val="en-US"/>
        </w:rPr>
      </w:pPr>
      <w:r w:rsidRPr="00622D5E">
        <w:rPr>
          <w:rFonts w:ascii="Times New Roman" w:hAnsi="Times New Roman" w:cs="Times New Roman"/>
          <w:noProof/>
          <w:sz w:val="24"/>
          <w:szCs w:val="24"/>
          <w:lang w:val="en-GB" w:eastAsia="zh-CN"/>
        </w:rPr>
        <w:drawing>
          <wp:inline distT="0" distB="0" distL="0" distR="0">
            <wp:extent cx="5289550" cy="1327150"/>
            <wp:effectExtent l="0" t="0" r="6350" b="6350"/>
            <wp:docPr id="59" name="Imagen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4"/>
                    <a:stretch>
                      <a:fillRect/>
                    </a:stretch>
                  </pic:blipFill>
                  <pic:spPr>
                    <a:xfrm>
                      <a:off x="0" y="0"/>
                      <a:ext cx="5295798" cy="1328718"/>
                    </a:xfrm>
                    <a:prstGeom prst="rect">
                      <a:avLst/>
                    </a:prstGeom>
                  </pic:spPr>
                </pic:pic>
              </a:graphicData>
            </a:graphic>
          </wp:inline>
        </w:drawing>
      </w:r>
      <w:r w:rsidRPr="00622D5E">
        <w:rPr>
          <w:rFonts w:ascii="Times New Roman" w:hAnsi="Times New Roman" w:cs="Times New Roman"/>
          <w:noProof/>
          <w:sz w:val="24"/>
          <w:szCs w:val="24"/>
          <w:lang w:val="en-GB" w:eastAsia="zh-CN"/>
        </w:rPr>
        <w:drawing>
          <wp:inline distT="0" distB="0" distL="0" distR="0">
            <wp:extent cx="2495550" cy="825500"/>
            <wp:effectExtent l="0" t="0" r="0" b="0"/>
            <wp:docPr id="61" name="Imagen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5"/>
                    <a:stretch>
                      <a:fillRect/>
                    </a:stretch>
                  </pic:blipFill>
                  <pic:spPr>
                    <a:xfrm>
                      <a:off x="0" y="0"/>
                      <a:ext cx="2497322" cy="826086"/>
                    </a:xfrm>
                    <a:prstGeom prst="rect">
                      <a:avLst/>
                    </a:prstGeom>
                  </pic:spPr>
                </pic:pic>
              </a:graphicData>
            </a:graphic>
          </wp:inline>
        </w:drawing>
      </w:r>
    </w:p>
    <w:p w:rsidR="00BE473A" w:rsidRDefault="00BE473A" w:rsidP="00BE473A">
      <w:pPr>
        <w:spacing w:line="240" w:lineRule="auto"/>
        <w:jc w:val="both"/>
        <w:rPr>
          <w:rFonts w:ascii="Times New Roman" w:hAnsi="Times New Roman" w:cs="Times New Roman"/>
          <w:sz w:val="24"/>
          <w:szCs w:val="24"/>
          <w:lang w:val="en-US"/>
        </w:rPr>
      </w:pPr>
    </w:p>
    <w:p w:rsidR="00BE473A" w:rsidRDefault="00BE473A" w:rsidP="00BE473A">
      <w:pPr>
        <w:spacing w:line="240" w:lineRule="auto"/>
        <w:jc w:val="both"/>
        <w:rPr>
          <w:rFonts w:ascii="Times New Roman" w:hAnsi="Times New Roman" w:cs="Times New Roman"/>
          <w:sz w:val="24"/>
          <w:szCs w:val="24"/>
          <w:lang w:val="en-US"/>
        </w:rPr>
      </w:pPr>
      <w:r w:rsidRPr="00622D5E">
        <w:rPr>
          <w:rFonts w:ascii="Times New Roman" w:hAnsi="Times New Roman" w:cs="Times New Roman"/>
          <w:noProof/>
          <w:sz w:val="24"/>
          <w:szCs w:val="24"/>
          <w:lang w:val="en-GB" w:eastAsia="zh-CN"/>
        </w:rPr>
        <w:lastRenderedPageBreak/>
        <w:drawing>
          <wp:inline distT="0" distB="0" distL="0" distR="0">
            <wp:extent cx="5943600" cy="1777365"/>
            <wp:effectExtent l="0" t="0" r="0" b="0"/>
            <wp:docPr id="62" name="Imagen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6"/>
                    <a:stretch>
                      <a:fillRect/>
                    </a:stretch>
                  </pic:blipFill>
                  <pic:spPr>
                    <a:xfrm>
                      <a:off x="0" y="0"/>
                      <a:ext cx="5943600" cy="1777365"/>
                    </a:xfrm>
                    <a:prstGeom prst="rect">
                      <a:avLst/>
                    </a:prstGeom>
                  </pic:spPr>
                </pic:pic>
              </a:graphicData>
            </a:graphic>
          </wp:inline>
        </w:drawing>
      </w:r>
    </w:p>
    <w:p w:rsidR="00BE473A" w:rsidRDefault="00BE473A" w:rsidP="00BE473A">
      <w:pPr>
        <w:spacing w:line="240" w:lineRule="auto"/>
        <w:jc w:val="both"/>
        <w:rPr>
          <w:rFonts w:ascii="Times New Roman" w:hAnsi="Times New Roman" w:cs="Times New Roman"/>
          <w:sz w:val="24"/>
          <w:szCs w:val="24"/>
        </w:rPr>
      </w:pPr>
      <w:r w:rsidRPr="00DF64FC">
        <w:rPr>
          <w:rFonts w:ascii="Times New Roman" w:hAnsi="Times New Roman" w:cs="Times New Roman"/>
          <w:sz w:val="24"/>
          <w:szCs w:val="24"/>
        </w:rPr>
        <w:t>Nota: dato</w:t>
      </w:r>
      <w:r>
        <w:rPr>
          <w:rFonts w:ascii="Times New Roman" w:hAnsi="Times New Roman" w:cs="Times New Roman"/>
          <w:sz w:val="24"/>
          <w:szCs w:val="24"/>
        </w:rPr>
        <w:t>s 2008/2014 y 2021, no disponibles</w:t>
      </w:r>
      <w:r w:rsidRPr="00DF64FC">
        <w:rPr>
          <w:rFonts w:ascii="Times New Roman" w:hAnsi="Times New Roman" w:cs="Times New Roman"/>
          <w:sz w:val="24"/>
          <w:szCs w:val="24"/>
        </w:rPr>
        <w:t xml:space="preserve"> al 11</w:t>
      </w:r>
      <w:r>
        <w:rPr>
          <w:rFonts w:ascii="Times New Roman" w:hAnsi="Times New Roman" w:cs="Times New Roman"/>
          <w:sz w:val="24"/>
          <w:szCs w:val="24"/>
        </w:rPr>
        <w:t>/8/22</w:t>
      </w:r>
    </w:p>
    <w:p w:rsidR="00BE473A" w:rsidRDefault="00BE473A" w:rsidP="00BE473A">
      <w:pPr>
        <w:spacing w:line="240" w:lineRule="auto"/>
        <w:jc w:val="both"/>
        <w:rPr>
          <w:rFonts w:ascii="Times New Roman" w:hAnsi="Times New Roman" w:cs="Times New Roman"/>
          <w:sz w:val="24"/>
          <w:szCs w:val="24"/>
        </w:rPr>
      </w:pPr>
      <w:r w:rsidRPr="00DF64FC">
        <w:rPr>
          <w:rFonts w:ascii="Times New Roman" w:hAnsi="Times New Roman" w:cs="Times New Roman"/>
          <w:noProof/>
          <w:sz w:val="24"/>
          <w:szCs w:val="24"/>
          <w:lang w:val="en-GB" w:eastAsia="zh-CN"/>
        </w:rPr>
        <w:drawing>
          <wp:inline distT="0" distB="0" distL="0" distR="0">
            <wp:extent cx="5943600" cy="1663065"/>
            <wp:effectExtent l="0" t="0" r="0" b="0"/>
            <wp:docPr id="63" name="Imagen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7"/>
                    <a:stretch>
                      <a:fillRect/>
                    </a:stretch>
                  </pic:blipFill>
                  <pic:spPr>
                    <a:xfrm>
                      <a:off x="0" y="0"/>
                      <a:ext cx="5943600" cy="1663065"/>
                    </a:xfrm>
                    <a:prstGeom prst="rect">
                      <a:avLst/>
                    </a:prstGeom>
                  </pic:spPr>
                </pic:pic>
              </a:graphicData>
            </a:graphic>
          </wp:inline>
        </w:drawing>
      </w:r>
    </w:p>
    <w:p w:rsidR="00BE473A" w:rsidRDefault="00BE473A" w:rsidP="00BE473A">
      <w:pPr>
        <w:spacing w:line="240" w:lineRule="auto"/>
        <w:jc w:val="both"/>
        <w:rPr>
          <w:rFonts w:ascii="Times New Roman" w:hAnsi="Times New Roman" w:cs="Times New Roman"/>
          <w:sz w:val="24"/>
          <w:szCs w:val="24"/>
        </w:rPr>
      </w:pPr>
      <w:r w:rsidRPr="00DF64FC">
        <w:rPr>
          <w:rFonts w:ascii="Times New Roman" w:hAnsi="Times New Roman" w:cs="Times New Roman"/>
          <w:sz w:val="24"/>
          <w:szCs w:val="24"/>
        </w:rPr>
        <w:t>Nota: dato</w:t>
      </w:r>
      <w:r>
        <w:rPr>
          <w:rFonts w:ascii="Times New Roman" w:hAnsi="Times New Roman" w:cs="Times New Roman"/>
          <w:sz w:val="24"/>
          <w:szCs w:val="24"/>
        </w:rPr>
        <w:t>s 2008/2013 y 2021, no disponibles</w:t>
      </w:r>
      <w:r w:rsidRPr="00DF64FC">
        <w:rPr>
          <w:rFonts w:ascii="Times New Roman" w:hAnsi="Times New Roman" w:cs="Times New Roman"/>
          <w:sz w:val="24"/>
          <w:szCs w:val="24"/>
        </w:rPr>
        <w:t xml:space="preserve"> al 11</w:t>
      </w:r>
      <w:r>
        <w:rPr>
          <w:rFonts w:ascii="Times New Roman" w:hAnsi="Times New Roman" w:cs="Times New Roman"/>
          <w:sz w:val="24"/>
          <w:szCs w:val="24"/>
        </w:rPr>
        <w:t>/8/22</w:t>
      </w:r>
    </w:p>
    <w:p w:rsidR="00BE473A" w:rsidRDefault="00BE473A" w:rsidP="00BE473A">
      <w:pPr>
        <w:spacing w:line="240" w:lineRule="auto"/>
        <w:jc w:val="both"/>
        <w:rPr>
          <w:rFonts w:ascii="Times New Roman" w:hAnsi="Times New Roman" w:cs="Times New Roman"/>
          <w:sz w:val="24"/>
          <w:szCs w:val="24"/>
        </w:rPr>
      </w:pPr>
      <w:r w:rsidRPr="00DF64FC">
        <w:rPr>
          <w:rFonts w:ascii="Times New Roman" w:hAnsi="Times New Roman" w:cs="Times New Roman"/>
          <w:noProof/>
          <w:sz w:val="24"/>
          <w:szCs w:val="24"/>
          <w:lang w:val="en-GB" w:eastAsia="zh-CN"/>
        </w:rPr>
        <w:drawing>
          <wp:inline distT="0" distB="0" distL="0" distR="0">
            <wp:extent cx="5943600" cy="1430655"/>
            <wp:effectExtent l="0" t="0" r="0" b="0"/>
            <wp:docPr id="64" name="Imagen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8"/>
                    <a:stretch>
                      <a:fillRect/>
                    </a:stretch>
                  </pic:blipFill>
                  <pic:spPr>
                    <a:xfrm>
                      <a:off x="0" y="0"/>
                      <a:ext cx="5943600" cy="1430655"/>
                    </a:xfrm>
                    <a:prstGeom prst="rect">
                      <a:avLst/>
                    </a:prstGeom>
                  </pic:spPr>
                </pic:pic>
              </a:graphicData>
            </a:graphic>
          </wp:inline>
        </w:drawing>
      </w:r>
      <w:r w:rsidRPr="0037509B">
        <w:rPr>
          <w:rFonts w:ascii="Times New Roman" w:hAnsi="Times New Roman" w:cs="Times New Roman"/>
          <w:noProof/>
          <w:sz w:val="24"/>
          <w:szCs w:val="24"/>
          <w:lang w:val="en-GB" w:eastAsia="zh-CN"/>
        </w:rPr>
        <w:drawing>
          <wp:inline distT="0" distB="0" distL="0" distR="0">
            <wp:extent cx="1739900" cy="723900"/>
            <wp:effectExtent l="0" t="0" r="0" b="0"/>
            <wp:docPr id="65" name="Imagen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9"/>
                    <a:stretch>
                      <a:fillRect/>
                    </a:stretch>
                  </pic:blipFill>
                  <pic:spPr>
                    <a:xfrm>
                      <a:off x="0" y="0"/>
                      <a:ext cx="1739900" cy="723900"/>
                    </a:xfrm>
                    <a:prstGeom prst="rect">
                      <a:avLst/>
                    </a:prstGeom>
                  </pic:spPr>
                </pic:pic>
              </a:graphicData>
            </a:graphic>
          </wp:inline>
        </w:drawing>
      </w:r>
    </w:p>
    <w:p w:rsidR="00BE473A" w:rsidRDefault="00BE473A" w:rsidP="00BE473A">
      <w:pPr>
        <w:spacing w:line="240" w:lineRule="auto"/>
        <w:jc w:val="both"/>
        <w:rPr>
          <w:rFonts w:ascii="Times New Roman" w:hAnsi="Times New Roman" w:cs="Times New Roman"/>
          <w:sz w:val="24"/>
          <w:szCs w:val="24"/>
        </w:rPr>
        <w:sectPr w:rsidR="00BE473A" w:rsidSect="00BE473A">
          <w:pgSz w:w="16838" w:h="11906" w:orient="landscape"/>
          <w:pgMar w:top="1440" w:right="1440" w:bottom="1440" w:left="1440" w:header="709" w:footer="709" w:gutter="0"/>
          <w:cols w:space="708"/>
          <w:docGrid w:linePitch="360"/>
        </w:sectPr>
      </w:pPr>
    </w:p>
    <w:p w:rsidR="00BE473A" w:rsidRDefault="00BE473A" w:rsidP="00BE473A">
      <w:pPr>
        <w:spacing w:line="240" w:lineRule="auto"/>
        <w:jc w:val="both"/>
        <w:rPr>
          <w:rFonts w:ascii="Times New Roman" w:hAnsi="Times New Roman" w:cs="Times New Roman"/>
          <w:sz w:val="24"/>
          <w:szCs w:val="24"/>
        </w:rPr>
      </w:pPr>
      <w:r w:rsidRPr="0037509B">
        <w:rPr>
          <w:rFonts w:ascii="Times New Roman" w:hAnsi="Times New Roman" w:cs="Times New Roman"/>
          <w:b/>
          <w:sz w:val="24"/>
          <w:szCs w:val="24"/>
        </w:rPr>
        <w:lastRenderedPageBreak/>
        <w:t>Ser joven en Europa hoy - resumen ejecutivo</w:t>
      </w:r>
      <w:r>
        <w:rPr>
          <w:rFonts w:ascii="Times New Roman" w:hAnsi="Times New Roman" w:cs="Times New Roman"/>
          <w:sz w:val="24"/>
          <w:szCs w:val="24"/>
        </w:rPr>
        <w:t xml:space="preserve"> (</w:t>
      </w:r>
      <w:r w:rsidRPr="0037509B">
        <w:rPr>
          <w:rFonts w:ascii="Times New Roman" w:hAnsi="Times New Roman" w:cs="Times New Roman"/>
          <w:sz w:val="24"/>
          <w:szCs w:val="24"/>
        </w:rPr>
        <w:t>Datos extraídos</w:t>
      </w:r>
      <w:r>
        <w:rPr>
          <w:rFonts w:ascii="Times New Roman" w:hAnsi="Times New Roman" w:cs="Times New Roman"/>
          <w:sz w:val="24"/>
          <w:szCs w:val="24"/>
        </w:rPr>
        <w:t xml:space="preserve"> en julio de 2020)</w:t>
      </w:r>
    </w:p>
    <w:p w:rsidR="00BE473A" w:rsidRPr="00EC32F9" w:rsidRDefault="00BE473A" w:rsidP="00BE473A">
      <w:pPr>
        <w:pStyle w:val="Ttulo1"/>
        <w:shd w:val="clear" w:color="auto" w:fill="FFFFFF"/>
        <w:spacing w:before="0" w:beforeAutospacing="0" w:after="450" w:afterAutospacing="0"/>
        <w:jc w:val="both"/>
        <w:rPr>
          <w:bCs w:val="0"/>
          <w:sz w:val="24"/>
          <w:szCs w:val="24"/>
        </w:rPr>
      </w:pPr>
      <w:r w:rsidRPr="00EC32F9">
        <w:rPr>
          <w:bCs w:val="0"/>
          <w:sz w:val="24"/>
          <w:szCs w:val="24"/>
        </w:rPr>
        <w:t>Mercado laboral - acceso y participación</w:t>
      </w:r>
    </w:p>
    <w:p w:rsidR="00BE473A" w:rsidRPr="00EC32F9" w:rsidRDefault="00BE473A" w:rsidP="00BE473A">
      <w:pPr>
        <w:pStyle w:val="Ttulo1"/>
        <w:shd w:val="clear" w:color="auto" w:fill="FFFFFF"/>
        <w:spacing w:before="0" w:beforeAutospacing="0" w:after="450" w:afterAutospacing="0"/>
        <w:jc w:val="both"/>
        <w:rPr>
          <w:bCs w:val="0"/>
          <w:color w:val="0651C1"/>
          <w:sz w:val="24"/>
          <w:szCs w:val="24"/>
        </w:rPr>
      </w:pPr>
      <w:r w:rsidRPr="00EC32F9">
        <w:rPr>
          <w:bCs w:val="0"/>
          <w:color w:val="333333"/>
          <w:sz w:val="24"/>
          <w:szCs w:val="24"/>
        </w:rPr>
        <w:t>En 2019, el 34 % de los jóvenes de la UE-27 de entre 20 y 24 años estudiaban exclusivamente, el 33 % trabajaban exclusivamente, el 19 % combinaba educación y empleo y el 15 % no trabajaba ni estudiaba ni formaba.</w:t>
      </w:r>
    </w:p>
    <w:p w:rsidR="00BE473A" w:rsidRPr="0037509B" w:rsidRDefault="00BE473A" w:rsidP="00BE473A">
      <w:pPr>
        <w:pStyle w:val="NormalWeb"/>
        <w:shd w:val="clear" w:color="auto" w:fill="FFFFFF"/>
        <w:spacing w:before="0" w:beforeAutospacing="0" w:after="0" w:afterAutospacing="0"/>
        <w:jc w:val="both"/>
        <w:rPr>
          <w:b/>
          <w:bCs/>
          <w:color w:val="333333"/>
        </w:rPr>
      </w:pPr>
      <w:r w:rsidRPr="0037509B">
        <w:rPr>
          <w:b/>
          <w:bCs/>
          <w:color w:val="333333"/>
        </w:rPr>
        <w:t>En 2019, el 10 % de las personas de 15 a 24 años y el 17 % de las personas de 25 a 29 años en la EU-27 no trabajaban ni estudiaban ni formaban.</w:t>
      </w:r>
    </w:p>
    <w:p w:rsidR="00BE473A" w:rsidRPr="0037509B" w:rsidRDefault="00BE473A" w:rsidP="00BE473A">
      <w:pPr>
        <w:shd w:val="clear" w:color="auto" w:fill="FFFFFF"/>
        <w:spacing w:line="240" w:lineRule="auto"/>
        <w:jc w:val="both"/>
        <w:textAlignment w:val="top"/>
        <w:rPr>
          <w:rFonts w:ascii="Times New Roman" w:hAnsi="Times New Roman" w:cs="Times New Roman"/>
          <w:b/>
          <w:bCs/>
          <w:color w:val="333333"/>
          <w:sz w:val="24"/>
          <w:szCs w:val="24"/>
        </w:rPr>
      </w:pPr>
    </w:p>
    <w:p w:rsidR="00BE473A" w:rsidRDefault="00BE473A" w:rsidP="00BE473A">
      <w:pPr>
        <w:pStyle w:val="NormalWeb"/>
        <w:shd w:val="clear" w:color="auto" w:fill="FFFFFF"/>
        <w:spacing w:before="0" w:beforeAutospacing="0" w:after="0" w:afterAutospacing="0"/>
        <w:jc w:val="both"/>
        <w:rPr>
          <w:b/>
          <w:bCs/>
          <w:color w:val="333333"/>
        </w:rPr>
      </w:pPr>
      <w:r w:rsidRPr="0037509B">
        <w:rPr>
          <w:b/>
          <w:bCs/>
          <w:color w:val="333333"/>
        </w:rPr>
        <w:t>En 2019, la tasa de empleo de la UE-27 para los jóvenes de entre 15 y 34 años que habían abandonado la educación durante los cinco años anteriores era del 76 %, con tasas del 85 % para aquellos con un nivel educativo terciario y del 41 % para aquellos con al menos la mayoría un nivel de educación secundaria inferior.</w:t>
      </w:r>
    </w:p>
    <w:p w:rsidR="00BE473A" w:rsidRPr="0037509B" w:rsidRDefault="00BE473A" w:rsidP="00BE473A">
      <w:pPr>
        <w:pStyle w:val="NormalWeb"/>
        <w:shd w:val="clear" w:color="auto" w:fill="FFFFFF"/>
        <w:spacing w:before="0" w:beforeAutospacing="0" w:after="0" w:afterAutospacing="0"/>
        <w:jc w:val="both"/>
        <w:rPr>
          <w:b/>
          <w:bCs/>
          <w:color w:val="333333"/>
        </w:rPr>
      </w:pPr>
    </w:p>
    <w:p w:rsidR="00BE473A" w:rsidRPr="0037509B" w:rsidRDefault="00BE473A" w:rsidP="00BE473A">
      <w:pPr>
        <w:shd w:val="clear" w:color="auto" w:fill="FFFFFF"/>
        <w:spacing w:line="240" w:lineRule="auto"/>
        <w:jc w:val="both"/>
        <w:rPr>
          <w:rFonts w:ascii="Times New Roman" w:hAnsi="Times New Roman" w:cs="Times New Roman"/>
          <w:color w:val="333333"/>
          <w:sz w:val="24"/>
          <w:szCs w:val="24"/>
          <w:lang/>
        </w:rPr>
      </w:pPr>
      <w:r w:rsidRPr="0037509B">
        <w:rPr>
          <w:rFonts w:ascii="Times New Roman" w:hAnsi="Times New Roman" w:cs="Times New Roman"/>
          <w:noProof/>
          <w:color w:val="0651C1"/>
          <w:sz w:val="24"/>
          <w:szCs w:val="24"/>
          <w:lang w:val="en-GB" w:eastAsia="zh-CN"/>
        </w:rPr>
        <w:drawing>
          <wp:inline distT="0" distB="0" distL="0" distR="0">
            <wp:extent cx="4762500" cy="2660650"/>
            <wp:effectExtent l="0" t="0" r="0" b="6350"/>
            <wp:docPr id="66" name="Imagen 66" descr="https://ec.europa.eu/eurostat/statistics-explained/images/thumb/c/c7/Young_people%2C_by_education_and_employment_status%2C_EU-27%2C_2019_%28%25%29_BYIE20.png/500px-Young_people%2C_by_education_and_employment_status%2C_EU-27%2C_2019_%28%25%29_BYIE20.png">
              <a:hlinkClick xmlns:a="http://schemas.openxmlformats.org/drawingml/2006/main" r:id="rId8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ec.europa.eu/eurostat/statistics-explained/images/thumb/c/c7/Young_people%2C_by_education_and_employment_status%2C_EU-27%2C_2019_%28%25%29_BYIE20.png/500px-Young_people%2C_by_education_and_employment_status%2C_EU-27%2C_2019_%28%25%29_BYIE20.png">
                      <a:hlinkClick r:id="rId80"/>
                    </pic:cNvPr>
                    <pic:cNvPicPr>
                      <a:picLocks noChangeAspect="1" noChangeArrowheads="1"/>
                    </pic:cNvPicPr>
                  </pic:nvPicPr>
                  <pic:blipFill>
                    <a:blip r:embed="rId8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762500" cy="2660650"/>
                    </a:xfrm>
                    <a:prstGeom prst="rect">
                      <a:avLst/>
                    </a:prstGeom>
                    <a:noFill/>
                    <a:ln>
                      <a:noFill/>
                    </a:ln>
                  </pic:spPr>
                </pic:pic>
              </a:graphicData>
            </a:graphic>
          </wp:inline>
        </w:drawing>
      </w:r>
    </w:p>
    <w:p w:rsidR="00BE473A" w:rsidRDefault="00BE473A" w:rsidP="00BE473A">
      <w:pPr>
        <w:shd w:val="clear" w:color="auto" w:fill="FFFFFF"/>
        <w:spacing w:line="240" w:lineRule="auto"/>
        <w:jc w:val="both"/>
        <w:rPr>
          <w:rFonts w:ascii="Times New Roman" w:hAnsi="Times New Roman" w:cs="Times New Roman"/>
          <w:color w:val="333333"/>
          <w:sz w:val="24"/>
          <w:szCs w:val="24"/>
        </w:rPr>
      </w:pPr>
      <w:r>
        <w:rPr>
          <w:rFonts w:ascii="Times New Roman" w:hAnsi="Times New Roman" w:cs="Times New Roman"/>
          <w:color w:val="333333"/>
          <w:sz w:val="24"/>
          <w:szCs w:val="24"/>
        </w:rPr>
        <w:t xml:space="preserve">Figura 1: </w:t>
      </w:r>
      <w:r w:rsidRPr="0037509B">
        <w:rPr>
          <w:rFonts w:ascii="Times New Roman" w:hAnsi="Times New Roman" w:cs="Times New Roman"/>
          <w:color w:val="333333"/>
          <w:sz w:val="24"/>
          <w:szCs w:val="24"/>
        </w:rPr>
        <w:t>Jóvenes, por educación y situación laboral, UE-27, 2019</w:t>
      </w:r>
      <w:r>
        <w:rPr>
          <w:rFonts w:ascii="Times New Roman" w:hAnsi="Times New Roman" w:cs="Times New Roman"/>
          <w:color w:val="333333"/>
          <w:sz w:val="24"/>
          <w:szCs w:val="24"/>
        </w:rPr>
        <w:t xml:space="preserve"> (%)</w:t>
      </w:r>
    </w:p>
    <w:p w:rsidR="00BE473A" w:rsidRPr="00B1167D" w:rsidRDefault="00BE473A" w:rsidP="00BE473A">
      <w:pPr>
        <w:shd w:val="clear" w:color="auto" w:fill="FFFFFF"/>
        <w:spacing w:line="240" w:lineRule="auto"/>
        <w:jc w:val="both"/>
        <w:rPr>
          <w:rFonts w:ascii="Times New Roman" w:hAnsi="Times New Roman" w:cs="Times New Roman"/>
          <w:color w:val="333333"/>
          <w:sz w:val="24"/>
          <w:szCs w:val="24"/>
        </w:rPr>
      </w:pPr>
      <w:r w:rsidRPr="0037509B">
        <w:rPr>
          <w:rFonts w:ascii="Times New Roman" w:hAnsi="Times New Roman" w:cs="Times New Roman"/>
          <w:color w:val="333333"/>
          <w:sz w:val="24"/>
          <w:szCs w:val="24"/>
        </w:rPr>
        <w:br/>
      </w:r>
      <w:r w:rsidRPr="00B1167D">
        <w:rPr>
          <w:rFonts w:ascii="Times New Roman" w:hAnsi="Times New Roman" w:cs="Times New Roman"/>
          <w:color w:val="333333"/>
          <w:sz w:val="24"/>
          <w:szCs w:val="24"/>
        </w:rPr>
        <w:t>La figura 1 muestra que los patrones de educación y empleo se diferían considerablemente en la EU-27 según la edad de los jóvenes. En 2019, más de las tres cuartas partes (79,6 %) de los jóvenes de entre 15 y 19 años permanecieron exclusivamente dentro del sistema educativo. mientras que un 11,1 % adicional combinó su educación con el empleo. Proporciones bastante similares de jóvenes de 20 a 24 años estaban exclusivamente en educación (34,0 %) o exclusivamente en empleo (32,7 %), mientras que algo menos de una quinta parte (18,7 %) de este grupo de edad combinaba educación y empleo; una proporción algo menor (14,5 nbsp;%) no estaban ni en el empleo ni en la educación o la formación. Cuando los jóvenes alcanzaban los 25-29 años, era mucho más común encontrar que habían terminado sus estudios y se habían incorporado a la fuerza laboral: en 2019, la mayoría (60. el 1 %) de esta subpoblación tenía un empleo exclusivo. Sin embargo, más de una sexta parte (17,2 %) de los jóvenes de entre 25 y 29 años no tenían ni empleo ni educación ni formación, mientras que el 14,3 % de este grupo de edad combinaba educación y oportunidades laborales y el 8,2 % permanecía exclusivamente en el sistema educativo.</w:t>
      </w:r>
    </w:p>
    <w:p w:rsidR="00BE473A" w:rsidRPr="00B1167D" w:rsidRDefault="00BE473A" w:rsidP="00BE473A">
      <w:pPr>
        <w:pStyle w:val="NormalWeb"/>
        <w:shd w:val="clear" w:color="auto" w:fill="FFFFFF"/>
        <w:spacing w:before="0" w:beforeAutospacing="0" w:after="105" w:afterAutospacing="0"/>
        <w:jc w:val="both"/>
        <w:rPr>
          <w:color w:val="333333"/>
        </w:rPr>
      </w:pPr>
      <w:r w:rsidRPr="00B1167D">
        <w:rPr>
          <w:color w:val="333333"/>
        </w:rPr>
        <w:lastRenderedPageBreak/>
        <w:t>El gráfico 2 presenta la situación educativa y laboral de los jóvenes de 20 a 24 años en 2016. En la UE-27, aproximadamente la mitad (52,8 %) de esta subpoblación permanecía en el sistema educativo (exclusivamente o en combinación con el empleo). Observar los Estados miembros de la UE revela que hubo 16 donde la mayoría de los jóvenes de 20 a 24 años continuaron con la educación (exclusivamente o en combinación con el empleo); este porcentaje alcanzó un máximo del 66,2 % en los Países Bajos, mientras que Luxemburgo, Dinamarca, Grecia y Suecia registraron cada uno porcentajes dentro del rango del 61-65 %. Por el contrario, entre el 40 % y el 42 % de los jóvenes de entre 20 y 24 años de Malta y Rumanía siguieron recibiendo algún tipo de educación, porcentaje que fue aún menor en Chipre (38,9 %).</w:t>
      </w:r>
    </w:p>
    <w:p w:rsidR="00BE473A" w:rsidRPr="00B1167D" w:rsidRDefault="00BE473A" w:rsidP="00BE473A">
      <w:pPr>
        <w:pStyle w:val="NormalWeb"/>
        <w:shd w:val="clear" w:color="auto" w:fill="FFFFFF"/>
        <w:spacing w:before="0" w:beforeAutospacing="0" w:after="105" w:afterAutospacing="0"/>
        <w:jc w:val="both"/>
        <w:rPr>
          <w:color w:val="333333"/>
        </w:rPr>
      </w:pPr>
      <w:r w:rsidRPr="00B1167D">
        <w:rPr>
          <w:color w:val="333333"/>
        </w:rPr>
        <w:t>En 2019, Grecia (53,8 %) fue el único Estado miembro de la UE que informó que más de la mitad de sus jóvenes de entre 20 y 24 años permanecían exclusivamente en el sistema educativo (es decir, no compaginaban la educación con el empleo). En el otro extremo de la escala, esta proporción oscilaba entre un quinto y un cuarto en siete Estados miembros: Alemania, Estonia, Dinamarca, los Países Bajos, Austria, Irlanda y Malta; la participación del 20,8 % en Malta fue la más baja. Las proporciones relativamente bajas pueden reflejar, al menos hasta cierto punto, las diferencias en el tiempo necesario para completar la educación terciaria y/o diferentes proporciones de jóvenes que combinan su educación con el empleo.</w:t>
      </w:r>
    </w:p>
    <w:p w:rsidR="00BE473A" w:rsidRPr="00B1167D" w:rsidRDefault="00BE473A" w:rsidP="00BE473A">
      <w:pPr>
        <w:pStyle w:val="NormalWeb"/>
        <w:shd w:val="clear" w:color="auto" w:fill="FFFFFF"/>
        <w:spacing w:before="0" w:beforeAutospacing="0" w:after="105" w:afterAutospacing="0"/>
        <w:jc w:val="both"/>
        <w:rPr>
          <w:color w:val="333333"/>
        </w:rPr>
      </w:pPr>
      <w:r w:rsidRPr="00B1167D">
        <w:rPr>
          <w:color w:val="333333"/>
        </w:rPr>
        <w:t>Casi un tercio (32,7 %) de todos los jóvenes de entre 20 y 24 años en la EU-27 tenían un empleo exclusivo en 2019. Esta proporción superó el 40,0 % en Chequia, Croacia, Hungría, Polonia, Austria y Chipre y superó el 50 % en Malta, que registró la mayor proporción entre los Estados miembros de la UE, con un 52,9 %. En el otro extremo de la escala, Grecia (20,4 %) fue el único Estado miembro donde menos de una cuarta parte de todos los jóvenes de entre 20 y 24 años tenían un empleo exclusivo.</w:t>
      </w:r>
    </w:p>
    <w:p w:rsidR="00BE473A" w:rsidRDefault="00BE473A" w:rsidP="00BE473A">
      <w:pPr>
        <w:pStyle w:val="NormalWeb"/>
        <w:shd w:val="clear" w:color="auto" w:fill="FFFFFF"/>
        <w:spacing w:before="0" w:beforeAutospacing="0" w:after="105" w:afterAutospacing="0"/>
        <w:rPr>
          <w:rFonts w:ascii="Arial" w:hAnsi="Arial" w:cs="Arial"/>
          <w:color w:val="333333"/>
          <w:sz w:val="21"/>
          <w:szCs w:val="21"/>
        </w:rPr>
      </w:pPr>
      <w:r w:rsidRPr="00B1167D">
        <w:rPr>
          <w:rFonts w:ascii="Arial" w:hAnsi="Arial" w:cs="Arial"/>
          <w:noProof/>
          <w:color w:val="333333"/>
          <w:sz w:val="21"/>
          <w:szCs w:val="21"/>
          <w:lang w:val="en-GB" w:eastAsia="zh-CN"/>
        </w:rPr>
        <w:drawing>
          <wp:inline distT="0" distB="0" distL="0" distR="0">
            <wp:extent cx="5727700" cy="3213100"/>
            <wp:effectExtent l="0" t="0" r="6350" b="6350"/>
            <wp:docPr id="69" name="Imagen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2"/>
                    <a:stretch>
                      <a:fillRect/>
                    </a:stretch>
                  </pic:blipFill>
                  <pic:spPr>
                    <a:xfrm>
                      <a:off x="0" y="0"/>
                      <a:ext cx="5731510" cy="3215237"/>
                    </a:xfrm>
                    <a:prstGeom prst="rect">
                      <a:avLst/>
                    </a:prstGeom>
                  </pic:spPr>
                </pic:pic>
              </a:graphicData>
            </a:graphic>
          </wp:inline>
        </w:drawing>
      </w:r>
    </w:p>
    <w:p w:rsidR="00BE473A" w:rsidRDefault="00BE473A" w:rsidP="00BE473A">
      <w:pPr>
        <w:shd w:val="clear" w:color="auto" w:fill="FFFFFF"/>
        <w:jc w:val="both"/>
        <w:rPr>
          <w:rFonts w:ascii="Times New Roman" w:hAnsi="Times New Roman" w:cs="Times New Roman"/>
          <w:color w:val="333333"/>
          <w:sz w:val="24"/>
          <w:szCs w:val="24"/>
        </w:rPr>
      </w:pPr>
      <w:r w:rsidRPr="00EC32F9">
        <w:rPr>
          <w:rFonts w:ascii="Times New Roman" w:hAnsi="Times New Roman" w:cs="Times New Roman"/>
          <w:color w:val="333333"/>
          <w:sz w:val="24"/>
          <w:szCs w:val="24"/>
        </w:rPr>
        <w:t>Figura 2: Jóvenes de 20 a 24 años, por educación y situación laboral, 2019</w:t>
      </w:r>
      <w:r>
        <w:rPr>
          <w:rFonts w:ascii="Times New Roman" w:hAnsi="Times New Roman" w:cs="Times New Roman"/>
          <w:color w:val="333333"/>
          <w:sz w:val="24"/>
          <w:szCs w:val="24"/>
        </w:rPr>
        <w:t xml:space="preserve"> (%)</w:t>
      </w:r>
    </w:p>
    <w:p w:rsidR="00BE473A" w:rsidRPr="00BE473A" w:rsidRDefault="00BE473A" w:rsidP="00BE473A">
      <w:pPr>
        <w:shd w:val="clear" w:color="auto" w:fill="FFFFFF"/>
        <w:jc w:val="both"/>
        <w:rPr>
          <w:rFonts w:ascii="Times New Roman" w:hAnsi="Times New Roman" w:cs="Times New Roman"/>
          <w:sz w:val="24"/>
          <w:szCs w:val="24"/>
        </w:rPr>
      </w:pPr>
      <w:r w:rsidRPr="00EC32F9">
        <w:rPr>
          <w:rFonts w:ascii="Times New Roman" w:hAnsi="Times New Roman" w:cs="Times New Roman"/>
          <w:i/>
          <w:iCs/>
          <w:color w:val="333333"/>
          <w:sz w:val="24"/>
          <w:szCs w:val="24"/>
        </w:rPr>
        <w:t>Fuente:</w:t>
      </w:r>
      <w:r w:rsidRPr="00EC32F9">
        <w:rPr>
          <w:rFonts w:ascii="Times New Roman" w:hAnsi="Times New Roman" w:cs="Times New Roman"/>
          <w:color w:val="333333"/>
          <w:sz w:val="24"/>
          <w:szCs w:val="24"/>
        </w:rPr>
        <w:t> Eurostat </w:t>
      </w:r>
      <w:hyperlink r:id="rId83" w:tgtFrame="_blank" w:history="1">
        <w:r w:rsidRPr="00BE473A">
          <w:rPr>
            <w:rStyle w:val="Hipervnculo"/>
            <w:rFonts w:ascii="Times New Roman" w:hAnsi="Times New Roman" w:cs="Times New Roman"/>
            <w:color w:val="auto"/>
            <w:sz w:val="24"/>
            <w:szCs w:val="24"/>
          </w:rPr>
          <w:t>(edat_lfse_18)</w:t>
        </w:r>
      </w:hyperlink>
    </w:p>
    <w:p w:rsidR="00BE473A" w:rsidRPr="00EC32F9" w:rsidRDefault="00BE473A" w:rsidP="00BE473A">
      <w:pPr>
        <w:pStyle w:val="NormalWeb"/>
        <w:shd w:val="clear" w:color="auto" w:fill="FFFFFF"/>
        <w:spacing w:before="0" w:beforeAutospacing="0" w:after="105" w:afterAutospacing="0"/>
        <w:jc w:val="both"/>
        <w:rPr>
          <w:color w:val="333333"/>
        </w:rPr>
      </w:pPr>
      <w:r w:rsidRPr="00EC32F9">
        <w:rPr>
          <w:color w:val="333333"/>
        </w:rPr>
        <w:t xml:space="preserve">La Figura 3 presenta un conjunto similar de información pero para jóvenes de 25 a 29 años; como era de esperar, muestra que una proporción mucho mayor de esta subpoblación </w:t>
      </w:r>
      <w:r w:rsidRPr="00EC32F9">
        <w:rPr>
          <w:color w:val="333333"/>
        </w:rPr>
        <w:lastRenderedPageBreak/>
        <w:t>en la UE-27 había completado la transición de la educación al mercado laboral. Como se ha señalado anteriormente, en 2019, el 60,2 % de los jóvenes europeos de este grupo de edad trabajaban exclusivamente, mientras que un 14,3 % adicional combinaba educación y empleo. La mayoría (17,2 %) de los jóvenes restantes de entre 25 y 29 años no trabajaba ni estudiaba ni se formaba, lo que deja al 8,2 % exclusivamente en educación.</w:t>
      </w:r>
    </w:p>
    <w:p w:rsidR="00BE473A" w:rsidRPr="00EC32F9" w:rsidRDefault="00BE473A" w:rsidP="00BE473A">
      <w:pPr>
        <w:pStyle w:val="NormalWeb"/>
        <w:shd w:val="clear" w:color="auto" w:fill="FFFFFF"/>
        <w:spacing w:before="0" w:beforeAutospacing="0" w:after="105" w:afterAutospacing="0"/>
        <w:jc w:val="both"/>
        <w:rPr>
          <w:color w:val="333333"/>
        </w:rPr>
      </w:pPr>
      <w:r w:rsidRPr="00EC32F9">
        <w:rPr>
          <w:color w:val="333333"/>
        </w:rPr>
        <w:t>En 2019, la proporción de jóvenes de 25 a 29 años que tenían un empleo exclusivo alcanzó un máximo del 73,9 % en Rumanía, mientras que también se registraron porcentajes superiores al 70,0 % en Malta, Lituania, Polonia, Chipre, Hungría, Letonia y Eslovaquia. En otros lugares, el empleo exclusivo afectó a la mayoría de los jóvenes de entre 25 y 29 años en todos los Estados miembros de la UE excepto cuatro en 2019: Italia y los tres </w:t>
      </w:r>
      <w:r>
        <w:rPr>
          <w:color w:val="333333"/>
        </w:rPr>
        <w:t xml:space="preserve">Estados miembros nórdicos, </w:t>
      </w:r>
      <w:r w:rsidRPr="00EC32F9">
        <w:rPr>
          <w:color w:val="333333"/>
        </w:rPr>
        <w:t>fueron las únicas excepciones. Esto podría explicarse, hasta cierto punto, por la proporción relativamente alta (de dos dígitos) de jóvenes de entre 24 y 29 años en Italia y los Estados miembros nórdicos que permanecieron exclusivamente en la educación; España y Grecia fueron los únicos otros Estados miembros que registraron más del 10 % de jóvenes de entre 25 y 29 años exclusivamente en la educación. Sin embargo, en los Estados miembros nórdicos, la proporción relativamente baja de jóvenes de entre 25 y 29 años que tienen un empleo exclusivo también podría atribuirse a una alta proporción de esta subpoblación que combina educación con oportunidades de empleo (entre una cuarta parte y un tercio). Por el contrario, en Italia, casi tres décimas (29,8 %) de todos los jóvenes de entre 25 y 29 años no trabajaban ni estudiaban o formaban, que era la proporción más alta entre los Estados miembros.</w:t>
      </w:r>
    </w:p>
    <w:p w:rsidR="00BE473A" w:rsidRDefault="00BE473A" w:rsidP="00BE473A">
      <w:pPr>
        <w:pStyle w:val="NormalWeb"/>
        <w:shd w:val="clear" w:color="auto" w:fill="FFFFFF"/>
        <w:spacing w:before="0" w:beforeAutospacing="0" w:after="105" w:afterAutospacing="0"/>
        <w:rPr>
          <w:rFonts w:ascii="Arial" w:hAnsi="Arial" w:cs="Arial"/>
          <w:color w:val="333333"/>
          <w:sz w:val="21"/>
          <w:szCs w:val="21"/>
        </w:rPr>
      </w:pPr>
      <w:r w:rsidRPr="00B1167D">
        <w:rPr>
          <w:rFonts w:ascii="Arial" w:hAnsi="Arial" w:cs="Arial"/>
          <w:noProof/>
          <w:color w:val="333333"/>
          <w:sz w:val="21"/>
          <w:szCs w:val="21"/>
          <w:lang w:val="en-GB" w:eastAsia="zh-CN"/>
        </w:rPr>
        <w:drawing>
          <wp:inline distT="0" distB="0" distL="0" distR="0">
            <wp:extent cx="5734050" cy="3619500"/>
            <wp:effectExtent l="0" t="0" r="0" b="0"/>
            <wp:docPr id="68" name="Imagen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4"/>
                    <a:stretch>
                      <a:fillRect/>
                    </a:stretch>
                  </pic:blipFill>
                  <pic:spPr>
                    <a:xfrm>
                      <a:off x="0" y="0"/>
                      <a:ext cx="5731510" cy="3617897"/>
                    </a:xfrm>
                    <a:prstGeom prst="rect">
                      <a:avLst/>
                    </a:prstGeom>
                  </pic:spPr>
                </pic:pic>
              </a:graphicData>
            </a:graphic>
          </wp:inline>
        </w:drawing>
      </w:r>
    </w:p>
    <w:p w:rsidR="00BE473A" w:rsidRPr="00BE473A" w:rsidRDefault="00BE473A" w:rsidP="00BE473A">
      <w:pPr>
        <w:shd w:val="clear" w:color="auto" w:fill="FFFFFF"/>
        <w:jc w:val="both"/>
        <w:rPr>
          <w:rFonts w:ascii="Times New Roman" w:hAnsi="Times New Roman" w:cs="Times New Roman"/>
          <w:sz w:val="24"/>
          <w:szCs w:val="24"/>
        </w:rPr>
      </w:pPr>
      <w:r w:rsidRPr="00EC32F9">
        <w:rPr>
          <w:rFonts w:ascii="Times New Roman" w:hAnsi="Times New Roman" w:cs="Times New Roman"/>
          <w:color w:val="333333"/>
          <w:sz w:val="24"/>
          <w:szCs w:val="24"/>
        </w:rPr>
        <w:t>Figura 3: Jóvenes de 25 a 29 años, por educación y situación laboral, 2019</w:t>
      </w:r>
      <w:r w:rsidRPr="00EC32F9">
        <w:rPr>
          <w:rFonts w:ascii="Times New Roman" w:hAnsi="Times New Roman" w:cs="Times New Roman"/>
          <w:color w:val="333333"/>
          <w:sz w:val="24"/>
          <w:szCs w:val="24"/>
        </w:rPr>
        <w:br/>
        <w:t>(%)</w:t>
      </w:r>
      <w:r w:rsidRPr="00EC32F9">
        <w:rPr>
          <w:rFonts w:ascii="Times New Roman" w:hAnsi="Times New Roman" w:cs="Times New Roman"/>
          <w:color w:val="333333"/>
          <w:sz w:val="24"/>
          <w:szCs w:val="24"/>
        </w:rPr>
        <w:br/>
      </w:r>
      <w:r w:rsidRPr="00EC32F9">
        <w:rPr>
          <w:rFonts w:ascii="Times New Roman" w:hAnsi="Times New Roman" w:cs="Times New Roman"/>
          <w:i/>
          <w:iCs/>
          <w:color w:val="333333"/>
          <w:sz w:val="24"/>
          <w:szCs w:val="24"/>
        </w:rPr>
        <w:t>Fuente:</w:t>
      </w:r>
      <w:r w:rsidRPr="00EC32F9">
        <w:rPr>
          <w:rFonts w:ascii="Times New Roman" w:hAnsi="Times New Roman" w:cs="Times New Roman"/>
          <w:color w:val="333333"/>
          <w:sz w:val="24"/>
          <w:szCs w:val="24"/>
        </w:rPr>
        <w:t> Eurostat </w:t>
      </w:r>
      <w:hyperlink r:id="rId85" w:tgtFrame="_blank" w:history="1">
        <w:r w:rsidRPr="00BE473A">
          <w:rPr>
            <w:rStyle w:val="Hipervnculo"/>
            <w:rFonts w:ascii="Times New Roman" w:hAnsi="Times New Roman" w:cs="Times New Roman"/>
            <w:color w:val="auto"/>
            <w:sz w:val="24"/>
            <w:szCs w:val="24"/>
          </w:rPr>
          <w:t>(edat_lfse_18)</w:t>
        </w:r>
      </w:hyperlink>
    </w:p>
    <w:p w:rsidR="00BE473A" w:rsidRPr="00EC32F9" w:rsidRDefault="00BE473A" w:rsidP="00BE473A">
      <w:pPr>
        <w:pStyle w:val="NormalWeb"/>
        <w:shd w:val="clear" w:color="auto" w:fill="FFFFFF"/>
        <w:spacing w:before="0" w:beforeAutospacing="0" w:after="105" w:afterAutospacing="0"/>
        <w:jc w:val="both"/>
        <w:rPr>
          <w:color w:val="333333"/>
        </w:rPr>
      </w:pPr>
      <w:r w:rsidRPr="00EC32F9">
        <w:rPr>
          <w:color w:val="333333"/>
        </w:rPr>
        <w:t xml:space="preserve">La organización de los sistemas educativos dentro de cada Estado miembro de la UE puede explicar, hasta cierto punto, las diferencias observadas al observar la transición de los jóvenes de la educación al mercado laboral. Como se ha señalado anteriormente, algunas de estas </w:t>
      </w:r>
      <w:r w:rsidRPr="00EC32F9">
        <w:rPr>
          <w:color w:val="333333"/>
        </w:rPr>
        <w:lastRenderedPageBreak/>
        <w:t>diferencias pueden estar relacionadas con la duración media de los estudios de grado: un título de grado puede tener una duración excepcional de dos años, pero más a menudo de tres o cuatro años, mientras que algunos másteres pueden durar un año y otros dos; para algunas materias, por ejemplo, medicina o arquitectura, los estudios suelen durar mucho más que el tiempo habitual para una licenciatura; algunos cursos incluyen pasantías, prácticas o estudios en el extranjero. Estas diferencias en la duración de los cursos influyen en la proporción de estudiantes en educación, ya sea exclusivamente o en combinación con el empleo.</w:t>
      </w:r>
    </w:p>
    <w:p w:rsidR="00BE473A" w:rsidRDefault="00BE473A" w:rsidP="00BE473A">
      <w:pPr>
        <w:pStyle w:val="NormalWeb"/>
        <w:shd w:val="clear" w:color="auto" w:fill="FFFFFF"/>
        <w:spacing w:before="0" w:beforeAutospacing="0" w:after="105" w:afterAutospacing="0"/>
        <w:jc w:val="both"/>
        <w:rPr>
          <w:color w:val="333333"/>
        </w:rPr>
      </w:pPr>
      <w:r w:rsidRPr="00EC32F9">
        <w:rPr>
          <w:color w:val="333333"/>
        </w:rPr>
        <w:t>La figura 4 muestra la evolución durante el período 2009-2019 de la situación educativa y laboral de los jóvenes de 20 a 24 años en la UE-27. Nótese que el período cubierto comienza inmediatamente después de la crisis financiera y económica mundial, lo cual es evidente en la medida en que la educación y la inactividad sustituyeron al empleo durante el período 2009-2013: la falta de oportunidades de empleo durante la crisis puede haber llevado a algunos jóvenes a diferir su entrada en el mercado laboral, buscando en su lugar una educación superior o superior o una formación para mejorar su empleabilidad, o incluso para volver a la educación. A partir de 2013, hubo signos de inversión en estos patrones, ya que aumentó la proporción de jóvenes de 20 a 24 años que trabajaban exclusivamente, mientras que disminuyó la proporción de jóvenes que no trabajaban ni estudiaban ni formaban.</w:t>
      </w:r>
    </w:p>
    <w:p w:rsidR="00BE473A" w:rsidRPr="00EC32F9" w:rsidRDefault="00BE473A" w:rsidP="00BE473A">
      <w:pPr>
        <w:pStyle w:val="NormalWeb"/>
        <w:shd w:val="clear" w:color="auto" w:fill="FFFFFF"/>
        <w:spacing w:before="0" w:beforeAutospacing="0" w:after="105" w:afterAutospacing="0"/>
        <w:jc w:val="both"/>
        <w:rPr>
          <w:color w:val="333333"/>
        </w:rPr>
      </w:pPr>
      <w:r w:rsidRPr="00EC32F9">
        <w:rPr>
          <w:noProof/>
          <w:color w:val="333333"/>
          <w:lang w:val="en-GB" w:eastAsia="zh-CN"/>
        </w:rPr>
        <w:drawing>
          <wp:inline distT="0" distB="0" distL="0" distR="0">
            <wp:extent cx="5732728" cy="2927350"/>
            <wp:effectExtent l="0" t="0" r="1905" b="6350"/>
            <wp:docPr id="70" name="Imagen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6"/>
                    <a:stretch>
                      <a:fillRect/>
                    </a:stretch>
                  </pic:blipFill>
                  <pic:spPr>
                    <a:xfrm>
                      <a:off x="0" y="0"/>
                      <a:ext cx="5731510" cy="2926728"/>
                    </a:xfrm>
                    <a:prstGeom prst="rect">
                      <a:avLst/>
                    </a:prstGeom>
                  </pic:spPr>
                </pic:pic>
              </a:graphicData>
            </a:graphic>
          </wp:inline>
        </w:drawing>
      </w:r>
    </w:p>
    <w:p w:rsidR="00BE473A" w:rsidRPr="00BE473A" w:rsidRDefault="00BE473A" w:rsidP="00BE473A">
      <w:pPr>
        <w:shd w:val="clear" w:color="auto" w:fill="FFFFFF"/>
        <w:jc w:val="both"/>
        <w:rPr>
          <w:rFonts w:ascii="Times New Roman" w:hAnsi="Times New Roman" w:cs="Times New Roman"/>
          <w:sz w:val="24"/>
          <w:szCs w:val="24"/>
        </w:rPr>
      </w:pPr>
      <w:r w:rsidRPr="00EC32F9">
        <w:rPr>
          <w:rFonts w:ascii="Times New Roman" w:hAnsi="Times New Roman" w:cs="Times New Roman"/>
          <w:color w:val="333333"/>
          <w:sz w:val="24"/>
          <w:szCs w:val="24"/>
        </w:rPr>
        <w:t>Gráfico 4: Jóvenes de 20 a 24 años, por educación y situación laboral, EU-27, 2009-2019</w:t>
      </w:r>
      <w:r w:rsidRPr="00EC32F9">
        <w:rPr>
          <w:rFonts w:ascii="Times New Roman" w:hAnsi="Times New Roman" w:cs="Times New Roman"/>
          <w:color w:val="333333"/>
          <w:sz w:val="24"/>
          <w:szCs w:val="24"/>
        </w:rPr>
        <w:br/>
        <w:t>(%)</w:t>
      </w:r>
      <w:r w:rsidRPr="00EC32F9">
        <w:rPr>
          <w:rFonts w:ascii="Times New Roman" w:hAnsi="Times New Roman" w:cs="Times New Roman"/>
          <w:color w:val="333333"/>
          <w:sz w:val="24"/>
          <w:szCs w:val="24"/>
        </w:rPr>
        <w:br/>
      </w:r>
      <w:r w:rsidRPr="00EC32F9">
        <w:rPr>
          <w:rFonts w:ascii="Times New Roman" w:hAnsi="Times New Roman" w:cs="Times New Roman"/>
          <w:i/>
          <w:iCs/>
          <w:color w:val="333333"/>
          <w:sz w:val="24"/>
          <w:szCs w:val="24"/>
        </w:rPr>
        <w:t>Fuente:</w:t>
      </w:r>
      <w:r w:rsidRPr="00EC32F9">
        <w:rPr>
          <w:rFonts w:ascii="Times New Roman" w:hAnsi="Times New Roman" w:cs="Times New Roman"/>
          <w:color w:val="333333"/>
          <w:sz w:val="24"/>
          <w:szCs w:val="24"/>
        </w:rPr>
        <w:t> </w:t>
      </w:r>
      <w:r w:rsidRPr="00BE473A">
        <w:rPr>
          <w:rFonts w:ascii="Times New Roman" w:hAnsi="Times New Roman" w:cs="Times New Roman"/>
          <w:sz w:val="24"/>
          <w:szCs w:val="24"/>
        </w:rPr>
        <w:t>Eurostat </w:t>
      </w:r>
      <w:hyperlink r:id="rId87" w:tgtFrame="_blank" w:history="1">
        <w:r w:rsidRPr="00BE473A">
          <w:rPr>
            <w:rStyle w:val="Hipervnculo"/>
            <w:rFonts w:ascii="Times New Roman" w:hAnsi="Times New Roman" w:cs="Times New Roman"/>
            <w:color w:val="auto"/>
            <w:sz w:val="24"/>
            <w:szCs w:val="24"/>
          </w:rPr>
          <w:t>(edat_lfse_18)</w:t>
        </w:r>
      </w:hyperlink>
    </w:p>
    <w:p w:rsidR="00BE473A" w:rsidRPr="00EC32F9" w:rsidRDefault="00BE473A" w:rsidP="00BE473A">
      <w:pPr>
        <w:pStyle w:val="NormalWeb"/>
        <w:shd w:val="clear" w:color="auto" w:fill="FFFFFF"/>
        <w:spacing w:before="0" w:beforeAutospacing="0" w:after="105" w:afterAutospacing="0"/>
        <w:jc w:val="both"/>
        <w:rPr>
          <w:color w:val="333333"/>
        </w:rPr>
      </w:pPr>
      <w:r w:rsidRPr="00EC32F9">
        <w:rPr>
          <w:b/>
          <w:bCs/>
          <w:color w:val="333333"/>
        </w:rPr>
        <w:t>Jóvenes que no trabajan ni estudian ni reciben formación</w:t>
      </w:r>
    </w:p>
    <w:p w:rsidR="00BE473A" w:rsidRPr="00EC32F9" w:rsidRDefault="00BE473A" w:rsidP="00BE473A">
      <w:pPr>
        <w:pStyle w:val="NormalWeb"/>
        <w:shd w:val="clear" w:color="auto" w:fill="FFFFFF"/>
        <w:spacing w:before="0" w:beforeAutospacing="0" w:after="105" w:afterAutospacing="0"/>
        <w:jc w:val="both"/>
        <w:rPr>
          <w:color w:val="333333"/>
        </w:rPr>
      </w:pPr>
      <w:r w:rsidRPr="00EC32F9">
        <w:rPr>
          <w:b/>
          <w:bCs/>
          <w:iCs/>
          <w:color w:val="333333"/>
        </w:rPr>
        <w:t>Los jóvenes que no trabajaban ni estudiaban eran más numerosos en el grupo de edad de 25 a 29 años (que en los grupos de edad más jóvenes) y era más probable que fueran mujeres que hombres</w:t>
      </w:r>
    </w:p>
    <w:p w:rsidR="00BE473A" w:rsidRPr="00EC32F9" w:rsidRDefault="00BE473A" w:rsidP="00BE473A">
      <w:pPr>
        <w:pStyle w:val="NormalWeb"/>
        <w:shd w:val="clear" w:color="auto" w:fill="FFFFFF"/>
        <w:spacing w:before="0" w:beforeAutospacing="0" w:after="105" w:afterAutospacing="0"/>
        <w:jc w:val="both"/>
        <w:rPr>
          <w:color w:val="333333"/>
        </w:rPr>
      </w:pPr>
      <w:r w:rsidRPr="00EC32F9">
        <w:rPr>
          <w:color w:val="333333"/>
        </w:rPr>
        <w:t>La educación o la formación, ya sea formal o no formal, debería mejorar potencialmente las habilidades y la empleabilidad. Las personas que no tienen empleo ni educación ni formación a menudo están desconectadas del mercado laboral y corren un mayor riesgo de no encontrar trabajo, lo que puede conducir a un mayor riesgo de pobreza y/o exclusión social.</w:t>
      </w:r>
    </w:p>
    <w:p w:rsidR="00BE473A" w:rsidRDefault="00BE473A" w:rsidP="00BE473A">
      <w:pPr>
        <w:pStyle w:val="NormalWeb"/>
        <w:shd w:val="clear" w:color="auto" w:fill="FFFFFF"/>
        <w:spacing w:before="0" w:beforeAutospacing="0" w:after="105" w:afterAutospacing="0"/>
        <w:jc w:val="both"/>
        <w:rPr>
          <w:color w:val="333333"/>
        </w:rPr>
      </w:pPr>
      <w:r w:rsidRPr="00EC32F9">
        <w:rPr>
          <w:color w:val="333333"/>
        </w:rPr>
        <w:t xml:space="preserve">La escolarización obligatoria finaliza a los 15 años en algunos de los Estados miembros de la UE. No obstante, es habitual que los jóvenes de la UE-27 permanezcan más tiempo en el </w:t>
      </w:r>
      <w:r w:rsidRPr="00EC32F9">
        <w:rPr>
          <w:color w:val="333333"/>
        </w:rPr>
        <w:lastRenderedPageBreak/>
        <w:t>sistema educativo a medida que intentan adquirir más cualificaciones. Entre otros beneficios, esto puede ayudarlos a encontrar un trabajo más interesante o mejor pagado cuando eventualmente hagan la transición de la educación al mercado laboral. Como ya se ha señalado, en los grupos de edad de 15 a 19 años y de 20 a 24 años, era más común encontrar una mayor proporción de jóvenes en la UE-27 que permanecían en el sistema educativo que los que estaban empleados o económicamente inactivos. Esta sección analiza con más detalle la proporción de jóvenes que no tienen empleo ni estudian ni reciben formación.</w:t>
      </w:r>
    </w:p>
    <w:p w:rsidR="00BE473A" w:rsidRPr="00EC32F9" w:rsidRDefault="00BE473A" w:rsidP="00BE473A">
      <w:pPr>
        <w:pStyle w:val="NormalWeb"/>
        <w:shd w:val="clear" w:color="auto" w:fill="FFFFFF"/>
        <w:spacing w:after="105"/>
        <w:jc w:val="both"/>
        <w:rPr>
          <w:color w:val="333333"/>
        </w:rPr>
      </w:pPr>
      <w:r w:rsidRPr="00EC32F9">
        <w:rPr>
          <w:color w:val="333333"/>
        </w:rPr>
        <w:t>En 2019, el 10,1 % de las personas de 15 a 24 años y el 17,2 % de las personas de 25 a 29 años en la UE-27 no trabajaban ni estudiaban ni formaban. Las proporciones más bajas de personas de 15 a 24 años que no trabajan ni estudian ni reciben formación se registraron en los Países Bajos (4,3 %), Suecia (5,5 %), Luxemburgo (5,6 %), Chequia y Alemania (ambos 5,7 %). En el otro extremo del rango, los porcentajes más altos se registraron en Italia (18,1 %), Rumania (14,7 %), Bu</w:t>
      </w:r>
      <w:r>
        <w:rPr>
          <w:color w:val="333333"/>
        </w:rPr>
        <w:t>lgaria y Chipre (ambos 13,7 %).</w:t>
      </w:r>
    </w:p>
    <w:p w:rsidR="00BE473A" w:rsidRDefault="00BE473A" w:rsidP="00BE473A">
      <w:pPr>
        <w:pStyle w:val="NormalWeb"/>
        <w:shd w:val="clear" w:color="auto" w:fill="FFFFFF"/>
        <w:spacing w:after="105"/>
        <w:jc w:val="both"/>
        <w:rPr>
          <w:color w:val="333333"/>
        </w:rPr>
      </w:pPr>
      <w:r w:rsidRPr="00EC32F9">
        <w:rPr>
          <w:color w:val="333333"/>
        </w:rPr>
        <w:t>Comparando 2009 con 2019, hubo una reducción en la proporción de jóvenes de 15 a 24 años en la UE-27 que no tenían empleo ni estudiaban ni formaban; esta participación cayó 2,2 puntos porcentualesdurante el período considerado (ver Figura 5). La proporción de jóvenes que no trabajan ni estudian ni reciben formación disminuyó entre 2009 y 2019 en la mayoría de los Estados miembros de la UE. Las mayores reducciones se registraron en Letonia (9,6 puntos menos), Irlanda (8,2 puntos menos; tenga en cuenta que hay una ruptura en la serie) y Estonia (7,6 puntos menos). Como resultado de estas caídas considerables, los tres Estados miembros registraron una tasa de ninis en 2019 igual o inferior a la tasa de la EU-27. Por el contrario, hubo cinco Estados miembros en los que la proporción de jóvenes de entre 15 y 24 años que no trabajaban ni estudiaban ni formaban aumentó entre 2009 y 2019. Estos aumentos fueron de una magnitud relativamente modesta, con un aumento de 3,8 puntos en Chipre es el más alto registrado.</w:t>
      </w:r>
    </w:p>
    <w:p w:rsidR="00BE473A" w:rsidRDefault="00BE473A" w:rsidP="00BE473A">
      <w:pPr>
        <w:pStyle w:val="NormalWeb"/>
        <w:shd w:val="clear" w:color="auto" w:fill="FFFFFF"/>
        <w:spacing w:after="105"/>
        <w:jc w:val="both"/>
        <w:rPr>
          <w:color w:val="333333"/>
        </w:rPr>
      </w:pPr>
      <w:r w:rsidRPr="00EC32F9">
        <w:rPr>
          <w:noProof/>
          <w:color w:val="333333"/>
          <w:lang w:val="en-GB" w:eastAsia="zh-CN"/>
        </w:rPr>
        <w:drawing>
          <wp:inline distT="0" distB="0" distL="0" distR="0">
            <wp:extent cx="5733580" cy="2813050"/>
            <wp:effectExtent l="0" t="0" r="635" b="6350"/>
            <wp:docPr id="71" name="Imagen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8"/>
                    <a:stretch>
                      <a:fillRect/>
                    </a:stretch>
                  </pic:blipFill>
                  <pic:spPr>
                    <a:xfrm>
                      <a:off x="0" y="0"/>
                      <a:ext cx="5733580" cy="2813050"/>
                    </a:xfrm>
                    <a:prstGeom prst="rect">
                      <a:avLst/>
                    </a:prstGeom>
                  </pic:spPr>
                </pic:pic>
              </a:graphicData>
            </a:graphic>
          </wp:inline>
        </w:drawing>
      </w:r>
      <w:r w:rsidRPr="00EC32F9">
        <w:rPr>
          <w:color w:val="333333"/>
        </w:rPr>
        <w:t>Gráfico 5: Jóvenes de 15 a 24 años que no trabajan, ni estudian ni reciben formación, 2009 y 2019</w:t>
      </w:r>
      <w:r>
        <w:rPr>
          <w:color w:val="333333"/>
        </w:rPr>
        <w:t xml:space="preserve"> (%)</w:t>
      </w:r>
    </w:p>
    <w:p w:rsidR="00BE473A" w:rsidRPr="00BE473A" w:rsidRDefault="00BE473A" w:rsidP="00BE473A">
      <w:pPr>
        <w:pStyle w:val="NormalWeb"/>
        <w:shd w:val="clear" w:color="auto" w:fill="FFFFFF"/>
        <w:spacing w:after="105"/>
        <w:jc w:val="both"/>
        <w:rPr>
          <w:color w:val="333333"/>
        </w:rPr>
      </w:pPr>
      <w:r w:rsidRPr="00EC32F9">
        <w:rPr>
          <w:i/>
          <w:iCs/>
          <w:color w:val="333333"/>
        </w:rPr>
        <w:t>Fuente:</w:t>
      </w:r>
      <w:r w:rsidRPr="00EC32F9">
        <w:rPr>
          <w:color w:val="333333"/>
        </w:rPr>
        <w:t> Eurostat </w:t>
      </w:r>
      <w:hyperlink r:id="rId89" w:tgtFrame="_blank" w:history="1">
        <w:r w:rsidRPr="00BE473A">
          <w:rPr>
            <w:rStyle w:val="Hipervnculo"/>
            <w:color w:val="auto"/>
          </w:rPr>
          <w:t>(yth_empl_150)</w:t>
        </w:r>
      </w:hyperlink>
    </w:p>
    <w:p w:rsidR="00BE473A" w:rsidRPr="00EC32F9" w:rsidRDefault="00BE473A" w:rsidP="00BE473A">
      <w:pPr>
        <w:pStyle w:val="NormalWeb"/>
        <w:shd w:val="clear" w:color="auto" w:fill="FFFFFF"/>
        <w:spacing w:before="0" w:beforeAutospacing="0" w:after="105" w:afterAutospacing="0"/>
        <w:jc w:val="both"/>
        <w:rPr>
          <w:color w:val="333333"/>
        </w:rPr>
      </w:pPr>
      <w:r w:rsidRPr="00EC32F9">
        <w:rPr>
          <w:color w:val="333333"/>
        </w:rPr>
        <w:lastRenderedPageBreak/>
        <w:t>Información similar para los jóvenes de 25 a 29 años revela que en 2019 casi tres décimas partes (29,7 %) de esta subpoblación en Italia no trabajaba ni estudiaba ni se formaba; Grecia registró una proporción similar (27,3 %). En el otro extremo del rango, menos de 1 de cada 10 jóvenes de entre 25 y 29 años en los Países Bajos, Luxemburgo, Suecia y Malta no tenían empleo ni estudiaban ni recibían formación.</w:t>
      </w:r>
    </w:p>
    <w:p w:rsidR="00BE473A" w:rsidRDefault="00BE473A" w:rsidP="00BE473A">
      <w:pPr>
        <w:pStyle w:val="NormalWeb"/>
        <w:shd w:val="clear" w:color="auto" w:fill="FFFFFF"/>
        <w:spacing w:before="0" w:beforeAutospacing="0" w:after="105" w:afterAutospacing="0"/>
        <w:jc w:val="both"/>
        <w:rPr>
          <w:color w:val="333333"/>
        </w:rPr>
      </w:pPr>
      <w:r w:rsidRPr="00EC32F9">
        <w:rPr>
          <w:color w:val="333333"/>
        </w:rPr>
        <w:t>La proporción de jóvenes de entre 25 y 29 años en la UE-27 que no trabajan ni estudian ni reciben formación se redujo en 2,1 puntos porcentuales entre 2009 y 2019. Este cambio se compone de algunas fluctuaciones mucho mayores entre los distintos Estados miembros de la UE, con aumentos considerables en la tasa de ninis para jóvenes de 25 a 29 años en Grecia (6,1 puntos), Italia (4,2 puntos) y Dinamarca (3,4 puntos); tenga en cuenta que hay rupturas en las series para Grecia y Dinamarca. Hubo 19 Estados miembros de la UE en los que la proporción de jóvenes de 25 a 29 años que no trabajaban ni estudiaban ni formaban cayó entre 2009 y 2019. Las mayores caídas (superiores a 10,0 puntos) se registra</w:t>
      </w:r>
      <w:r>
        <w:rPr>
          <w:color w:val="333333"/>
        </w:rPr>
        <w:t>ron en Letonia, Estonia y Malta,</w:t>
      </w:r>
      <w:r w:rsidRPr="00EC32F9">
        <w:rPr>
          <w:color w:val="333333"/>
        </w:rPr>
        <w:t xml:space="preserve"> mientras que Irlanda, Hungría, Lituania, Alemania y Eslovaquia registraron disminuciones dentro del rango de 5.1-9.</w:t>
      </w:r>
    </w:p>
    <w:p w:rsidR="00BE473A" w:rsidRPr="00EC32F9" w:rsidRDefault="00BE473A" w:rsidP="00BE473A">
      <w:pPr>
        <w:pStyle w:val="NormalWeb"/>
        <w:shd w:val="clear" w:color="auto" w:fill="FFFFFF"/>
        <w:spacing w:before="0" w:beforeAutospacing="0" w:after="105" w:afterAutospacing="0"/>
        <w:jc w:val="both"/>
        <w:rPr>
          <w:color w:val="333333"/>
        </w:rPr>
      </w:pPr>
      <w:r w:rsidRPr="004A32E8">
        <w:rPr>
          <w:noProof/>
          <w:color w:val="333333"/>
          <w:lang w:val="en-GB" w:eastAsia="zh-CN"/>
        </w:rPr>
        <w:drawing>
          <wp:inline distT="0" distB="0" distL="0" distR="0">
            <wp:extent cx="5733579" cy="2584450"/>
            <wp:effectExtent l="0" t="0" r="635" b="6350"/>
            <wp:docPr id="73" name="Imagen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0"/>
                    <a:stretch>
                      <a:fillRect/>
                    </a:stretch>
                  </pic:blipFill>
                  <pic:spPr>
                    <a:xfrm>
                      <a:off x="0" y="0"/>
                      <a:ext cx="5731510" cy="2583517"/>
                    </a:xfrm>
                    <a:prstGeom prst="rect">
                      <a:avLst/>
                    </a:prstGeom>
                  </pic:spPr>
                </pic:pic>
              </a:graphicData>
            </a:graphic>
          </wp:inline>
        </w:drawing>
      </w:r>
    </w:p>
    <w:p w:rsidR="00BE473A" w:rsidRDefault="00BE473A" w:rsidP="00BE473A">
      <w:pPr>
        <w:shd w:val="clear" w:color="auto" w:fill="FFFFFF"/>
        <w:spacing w:line="240" w:lineRule="auto"/>
        <w:jc w:val="both"/>
        <w:rPr>
          <w:rFonts w:ascii="Times New Roman" w:hAnsi="Times New Roman" w:cs="Times New Roman"/>
          <w:color w:val="333333"/>
          <w:sz w:val="24"/>
          <w:szCs w:val="24"/>
        </w:rPr>
      </w:pPr>
      <w:r w:rsidRPr="00EC32F9">
        <w:rPr>
          <w:rFonts w:ascii="Times New Roman" w:hAnsi="Times New Roman" w:cs="Times New Roman"/>
          <w:color w:val="333333"/>
          <w:sz w:val="24"/>
          <w:szCs w:val="24"/>
        </w:rPr>
        <w:t>Gráfico 6: Jóvenes de 25 a 29 años que no trabajan, ni estudian ni</w:t>
      </w:r>
      <w:r>
        <w:rPr>
          <w:rFonts w:ascii="Times New Roman" w:hAnsi="Times New Roman" w:cs="Times New Roman"/>
          <w:color w:val="333333"/>
          <w:sz w:val="24"/>
          <w:szCs w:val="24"/>
        </w:rPr>
        <w:t xml:space="preserve"> reciben formación, 2009 y 2019 </w:t>
      </w:r>
      <w:r w:rsidRPr="00EC32F9">
        <w:rPr>
          <w:rFonts w:ascii="Times New Roman" w:hAnsi="Times New Roman" w:cs="Times New Roman"/>
          <w:color w:val="333333"/>
          <w:sz w:val="24"/>
          <w:szCs w:val="24"/>
        </w:rPr>
        <w:t>(%)</w:t>
      </w:r>
    </w:p>
    <w:p w:rsidR="00BE473A" w:rsidRPr="00BE473A" w:rsidRDefault="00BE473A" w:rsidP="00BE473A">
      <w:pPr>
        <w:shd w:val="clear" w:color="auto" w:fill="FFFFFF"/>
        <w:spacing w:line="240" w:lineRule="auto"/>
        <w:jc w:val="both"/>
        <w:rPr>
          <w:rFonts w:ascii="Times New Roman" w:hAnsi="Times New Roman" w:cs="Times New Roman"/>
          <w:i/>
          <w:iCs/>
          <w:color w:val="333333"/>
          <w:sz w:val="24"/>
          <w:szCs w:val="24"/>
        </w:rPr>
      </w:pPr>
      <w:r w:rsidRPr="00EC32F9">
        <w:rPr>
          <w:rFonts w:ascii="Times New Roman" w:hAnsi="Times New Roman" w:cs="Times New Roman"/>
          <w:i/>
          <w:iCs/>
          <w:color w:val="333333"/>
          <w:sz w:val="24"/>
          <w:szCs w:val="24"/>
        </w:rPr>
        <w:t>Fuente:</w:t>
      </w:r>
      <w:r w:rsidRPr="00EC32F9">
        <w:rPr>
          <w:rFonts w:ascii="Times New Roman" w:hAnsi="Times New Roman" w:cs="Times New Roman"/>
          <w:color w:val="333333"/>
          <w:sz w:val="24"/>
          <w:szCs w:val="24"/>
        </w:rPr>
        <w:t> Eurostat </w:t>
      </w:r>
      <w:hyperlink r:id="rId91" w:tgtFrame="_blank" w:history="1">
        <w:r w:rsidRPr="00BE473A">
          <w:rPr>
            <w:rStyle w:val="Hipervnculo"/>
            <w:rFonts w:ascii="Times New Roman" w:hAnsi="Times New Roman" w:cs="Times New Roman"/>
            <w:color w:val="auto"/>
            <w:sz w:val="24"/>
            <w:szCs w:val="24"/>
          </w:rPr>
          <w:t>(yth_empl_150)</w:t>
        </w:r>
      </w:hyperlink>
    </w:p>
    <w:p w:rsidR="00BE473A" w:rsidRDefault="00BE473A" w:rsidP="00BE473A">
      <w:pPr>
        <w:pStyle w:val="NormalWeb"/>
        <w:shd w:val="clear" w:color="auto" w:fill="FFFFFF"/>
        <w:spacing w:before="0" w:beforeAutospacing="0" w:after="105" w:afterAutospacing="0"/>
        <w:jc w:val="both"/>
        <w:rPr>
          <w:color w:val="333333"/>
        </w:rPr>
      </w:pPr>
      <w:r w:rsidRPr="00EC32F9">
        <w:rPr>
          <w:color w:val="333333"/>
        </w:rPr>
        <w:t>El gráfico 7 ofrece una visión general de la evolución de la proporción de jóvenes en la UE-27 que no trabajan ni estudian ni reciben formación durante el período 2009-2019. En los años previos a la crisis financiera y económica mundial, esta proporción estaba disminuyendo a un ritmo modesto para los dos grupos de edad que se presentan. Tras el inicio de la crisis, la proporción de jóvenes que no trabajaban ni estudiaban ni recibían formación empezó a aumentar, alcanzando un máximo del 13,1 % para los jóvenes de 15 a 24 años en 2012 y un máximo del 21,6 % para los jóvenes de 25 años. -29 años un año después (cuando se registró la mayor brecha entre estas dos participaciones, con 8,6 puntos porcentuales). </w:t>
      </w:r>
    </w:p>
    <w:p w:rsidR="00BE473A" w:rsidRDefault="00BE473A" w:rsidP="00BE473A">
      <w:pPr>
        <w:pStyle w:val="NormalWeb"/>
        <w:shd w:val="clear" w:color="auto" w:fill="FFFFFF"/>
        <w:spacing w:before="0" w:beforeAutospacing="0" w:after="105" w:afterAutospacing="0"/>
        <w:jc w:val="both"/>
        <w:rPr>
          <w:color w:val="333333"/>
        </w:rPr>
      </w:pPr>
      <w:r w:rsidRPr="00EC32F9">
        <w:rPr>
          <w:color w:val="333333"/>
        </w:rPr>
        <w:t>Posteriormente, ambas proporciones disminuyeron y, en 2019, la proporción de jóvenes de 15 a 24 años que no trabajaban ni estudiaban ni recibían formación era del 10,1 %, un 7 %.</w:t>
      </w:r>
    </w:p>
    <w:p w:rsidR="00BE473A" w:rsidRPr="00EC32F9" w:rsidRDefault="00BE473A" w:rsidP="00BE473A">
      <w:pPr>
        <w:pStyle w:val="NormalWeb"/>
        <w:shd w:val="clear" w:color="auto" w:fill="FFFFFF"/>
        <w:spacing w:before="0" w:beforeAutospacing="0" w:after="105" w:afterAutospacing="0"/>
        <w:jc w:val="both"/>
        <w:rPr>
          <w:color w:val="333333"/>
        </w:rPr>
      </w:pPr>
      <w:r w:rsidRPr="004A32E8">
        <w:rPr>
          <w:noProof/>
          <w:color w:val="333333"/>
          <w:lang w:val="en-GB" w:eastAsia="zh-CN"/>
        </w:rPr>
        <w:lastRenderedPageBreak/>
        <w:drawing>
          <wp:inline distT="0" distB="0" distL="0" distR="0">
            <wp:extent cx="5725439" cy="2190750"/>
            <wp:effectExtent l="0" t="0" r="8890" b="0"/>
            <wp:docPr id="74" name="Imagen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2"/>
                    <a:stretch>
                      <a:fillRect/>
                    </a:stretch>
                  </pic:blipFill>
                  <pic:spPr>
                    <a:xfrm>
                      <a:off x="0" y="0"/>
                      <a:ext cx="5731510" cy="2193073"/>
                    </a:xfrm>
                    <a:prstGeom prst="rect">
                      <a:avLst/>
                    </a:prstGeom>
                  </pic:spPr>
                </pic:pic>
              </a:graphicData>
            </a:graphic>
          </wp:inline>
        </w:drawing>
      </w:r>
    </w:p>
    <w:p w:rsidR="00BE473A" w:rsidRPr="003A236B" w:rsidRDefault="00BE473A" w:rsidP="00BE473A">
      <w:pPr>
        <w:shd w:val="clear" w:color="auto" w:fill="FFFFFF"/>
        <w:spacing w:line="240" w:lineRule="auto"/>
        <w:jc w:val="both"/>
        <w:rPr>
          <w:rFonts w:ascii="Times New Roman" w:hAnsi="Times New Roman" w:cs="Times New Roman"/>
          <w:sz w:val="24"/>
          <w:szCs w:val="24"/>
        </w:rPr>
      </w:pPr>
      <w:r w:rsidRPr="00EC32F9">
        <w:rPr>
          <w:rFonts w:ascii="Times New Roman" w:hAnsi="Times New Roman" w:cs="Times New Roman"/>
          <w:color w:val="333333"/>
          <w:sz w:val="24"/>
          <w:szCs w:val="24"/>
        </w:rPr>
        <w:t>Figura 7: Jóvenes sin empleo, educación o formación, por edad, EU-27, 2009-2019</w:t>
      </w:r>
      <w:r w:rsidRPr="00EC32F9">
        <w:rPr>
          <w:rFonts w:ascii="Times New Roman" w:hAnsi="Times New Roman" w:cs="Times New Roman"/>
          <w:color w:val="333333"/>
          <w:sz w:val="24"/>
          <w:szCs w:val="24"/>
        </w:rPr>
        <w:br/>
        <w:t>(%)</w:t>
      </w:r>
      <w:r w:rsidRPr="00EC32F9">
        <w:rPr>
          <w:rFonts w:ascii="Times New Roman" w:hAnsi="Times New Roman" w:cs="Times New Roman"/>
          <w:color w:val="333333"/>
          <w:sz w:val="24"/>
          <w:szCs w:val="24"/>
        </w:rPr>
        <w:br/>
      </w:r>
      <w:r w:rsidRPr="00EC32F9">
        <w:rPr>
          <w:rFonts w:ascii="Times New Roman" w:hAnsi="Times New Roman" w:cs="Times New Roman"/>
          <w:i/>
          <w:iCs/>
          <w:color w:val="333333"/>
          <w:sz w:val="24"/>
          <w:szCs w:val="24"/>
        </w:rPr>
        <w:t>Fuente:</w:t>
      </w:r>
      <w:r w:rsidRPr="00EC32F9">
        <w:rPr>
          <w:rFonts w:ascii="Times New Roman" w:hAnsi="Times New Roman" w:cs="Times New Roman"/>
          <w:color w:val="333333"/>
          <w:sz w:val="24"/>
          <w:szCs w:val="24"/>
        </w:rPr>
        <w:t> Eurostat </w:t>
      </w:r>
      <w:hyperlink r:id="rId93" w:tgtFrame="_blank" w:history="1">
        <w:r w:rsidRPr="00BE473A">
          <w:rPr>
            <w:rStyle w:val="Hipervnculo"/>
            <w:rFonts w:ascii="Times New Roman" w:hAnsi="Times New Roman" w:cs="Times New Roman"/>
            <w:color w:val="auto"/>
            <w:sz w:val="24"/>
            <w:szCs w:val="24"/>
          </w:rPr>
          <w:t>(yth_empl_150)</w:t>
        </w:r>
      </w:hyperlink>
    </w:p>
    <w:p w:rsidR="00BE473A" w:rsidRDefault="00BE473A" w:rsidP="00BE473A">
      <w:pPr>
        <w:pStyle w:val="NormalWeb"/>
        <w:shd w:val="clear" w:color="auto" w:fill="FFFFFF"/>
        <w:spacing w:before="0" w:beforeAutospacing="0" w:after="105" w:afterAutospacing="0"/>
        <w:jc w:val="both"/>
        <w:rPr>
          <w:color w:val="333333"/>
        </w:rPr>
      </w:pPr>
      <w:r w:rsidRPr="00EC32F9">
        <w:rPr>
          <w:color w:val="333333"/>
        </w:rPr>
        <w:t>El gráfico 8 presenta la proporción de jóvenes de 25 a 29 años que no trabajan ni estudian ni reciben formación, por sexo. En 2019, hubo una brecha de 9,3 puntos porcentuales entre los sexos en toda la UE-27, con una proporción menor para los hombres jóvenes. Este patrón se repitió en todos menos uno de los Estados miembros de la UE con la brecha de género aumentando a 22,2 puntos en Chequia y 20,5 puntos en la vecina Eslovaquia; estas diferencias entre los sexos a menudo se atribuyen a una mayor proporción de mujeres que dedican tiempo a la crianza de los hijos oa responsabilidades de cuidado más amplias dentro de las familias. En el otro extremo del rango, había siete Estados miembros donde la brecha entre los sexos (con una mayor proporción de mujeres) para la proporción de jóvenes de 25 a 29 años que no trabajaban ni estudiaban o formaban era inferior a 5,0 puntos; las diferencias más pequeñas se registraron en los Países Bajos (1,9 puntos), Suecia (1,7 puntos) y Dinamarca (1,2 puntos). Luxemburgo fue el único Estado miembro que notificó una mayor proporción de hombres jóvenes de entre 25 y 29 años que no trabajaban ni estudiaban ni recibían formación (9,1 % en comparación con el 6,5 % de mujeres jóvenes).</w:t>
      </w:r>
    </w:p>
    <w:p w:rsidR="00BE473A" w:rsidRPr="00EC32F9" w:rsidRDefault="00BE473A" w:rsidP="00BE473A">
      <w:pPr>
        <w:pStyle w:val="NormalWeb"/>
        <w:shd w:val="clear" w:color="auto" w:fill="FFFFFF"/>
        <w:spacing w:before="0" w:beforeAutospacing="0" w:after="105" w:afterAutospacing="0"/>
        <w:jc w:val="both"/>
        <w:rPr>
          <w:color w:val="333333"/>
        </w:rPr>
      </w:pPr>
      <w:r w:rsidRPr="004A32E8">
        <w:rPr>
          <w:noProof/>
          <w:color w:val="333333"/>
          <w:lang w:val="en-GB" w:eastAsia="zh-CN"/>
        </w:rPr>
        <w:drawing>
          <wp:inline distT="0" distB="0" distL="0" distR="0">
            <wp:extent cx="5730312" cy="2698750"/>
            <wp:effectExtent l="0" t="0" r="3810" b="6350"/>
            <wp:docPr id="76" name="Imagen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4"/>
                    <a:stretch>
                      <a:fillRect/>
                    </a:stretch>
                  </pic:blipFill>
                  <pic:spPr>
                    <a:xfrm>
                      <a:off x="0" y="0"/>
                      <a:ext cx="5731510" cy="2699314"/>
                    </a:xfrm>
                    <a:prstGeom prst="rect">
                      <a:avLst/>
                    </a:prstGeom>
                  </pic:spPr>
                </pic:pic>
              </a:graphicData>
            </a:graphic>
          </wp:inline>
        </w:drawing>
      </w:r>
    </w:p>
    <w:p w:rsidR="00BE473A" w:rsidRDefault="00BE473A" w:rsidP="00BE473A">
      <w:pPr>
        <w:shd w:val="clear" w:color="auto" w:fill="FFFFFF"/>
        <w:spacing w:line="240" w:lineRule="auto"/>
        <w:jc w:val="both"/>
        <w:rPr>
          <w:rFonts w:ascii="Times New Roman" w:hAnsi="Times New Roman" w:cs="Times New Roman"/>
          <w:color w:val="333333"/>
          <w:sz w:val="24"/>
          <w:szCs w:val="24"/>
        </w:rPr>
      </w:pPr>
      <w:r w:rsidRPr="00EC32F9">
        <w:rPr>
          <w:rFonts w:ascii="Times New Roman" w:hAnsi="Times New Roman" w:cs="Times New Roman"/>
          <w:color w:val="333333"/>
          <w:sz w:val="24"/>
          <w:szCs w:val="24"/>
        </w:rPr>
        <w:t>Figura 8: Jóvenes de 25 a 29 años sin empleo, educación o formación, por sexo, 2019</w:t>
      </w:r>
      <w:r w:rsidRPr="00EC32F9">
        <w:rPr>
          <w:rFonts w:ascii="Times New Roman" w:hAnsi="Times New Roman" w:cs="Times New Roman"/>
          <w:color w:val="333333"/>
          <w:sz w:val="24"/>
          <w:szCs w:val="24"/>
        </w:rPr>
        <w:br/>
        <w:t>(% de hombres jóvenes/mujeres jóvenes)</w:t>
      </w:r>
    </w:p>
    <w:p w:rsidR="00BE473A" w:rsidRPr="00BE473A" w:rsidRDefault="00BE473A" w:rsidP="00BE473A">
      <w:pPr>
        <w:shd w:val="clear" w:color="auto" w:fill="FFFFFF"/>
        <w:spacing w:line="240" w:lineRule="auto"/>
        <w:jc w:val="both"/>
        <w:rPr>
          <w:rFonts w:ascii="Times New Roman" w:hAnsi="Times New Roman" w:cs="Times New Roman"/>
          <w:sz w:val="24"/>
          <w:szCs w:val="24"/>
        </w:rPr>
      </w:pPr>
      <w:r w:rsidRPr="00EC32F9">
        <w:rPr>
          <w:rFonts w:ascii="Times New Roman" w:hAnsi="Times New Roman" w:cs="Times New Roman"/>
          <w:i/>
          <w:iCs/>
          <w:color w:val="333333"/>
          <w:sz w:val="24"/>
          <w:szCs w:val="24"/>
        </w:rPr>
        <w:t>Fuente:</w:t>
      </w:r>
      <w:r w:rsidRPr="00EC32F9">
        <w:rPr>
          <w:rFonts w:ascii="Times New Roman" w:hAnsi="Times New Roman" w:cs="Times New Roman"/>
          <w:color w:val="333333"/>
          <w:sz w:val="24"/>
          <w:szCs w:val="24"/>
        </w:rPr>
        <w:t> Eurostat </w:t>
      </w:r>
      <w:hyperlink r:id="rId95" w:tgtFrame="_blank" w:history="1">
        <w:r w:rsidRPr="00BE473A">
          <w:rPr>
            <w:rStyle w:val="Hipervnculo"/>
            <w:rFonts w:ascii="Times New Roman" w:hAnsi="Times New Roman" w:cs="Times New Roman"/>
            <w:color w:val="auto"/>
            <w:sz w:val="24"/>
            <w:szCs w:val="24"/>
          </w:rPr>
          <w:t>(yth_empl_150)</w:t>
        </w:r>
      </w:hyperlink>
    </w:p>
    <w:p w:rsidR="00BE473A" w:rsidRPr="00EC32F9" w:rsidRDefault="00BE473A" w:rsidP="00BE473A">
      <w:pPr>
        <w:pStyle w:val="NormalWeb"/>
        <w:shd w:val="clear" w:color="auto" w:fill="FFFFFF"/>
        <w:spacing w:before="0" w:beforeAutospacing="0" w:after="105" w:afterAutospacing="0"/>
        <w:jc w:val="both"/>
        <w:rPr>
          <w:color w:val="333333"/>
        </w:rPr>
      </w:pPr>
      <w:r w:rsidRPr="00EC32F9">
        <w:rPr>
          <w:b/>
          <w:bCs/>
          <w:color w:val="333333"/>
        </w:rPr>
        <w:lastRenderedPageBreak/>
        <w:t>Tasas de empleo después de dejar la educación formal</w:t>
      </w:r>
    </w:p>
    <w:p w:rsidR="00BE473A" w:rsidRPr="00EC32F9" w:rsidRDefault="00BE473A" w:rsidP="00BE473A">
      <w:pPr>
        <w:pStyle w:val="NormalWeb"/>
        <w:shd w:val="clear" w:color="auto" w:fill="FFFFFF"/>
        <w:spacing w:before="0" w:beforeAutospacing="0" w:after="105" w:afterAutospacing="0"/>
        <w:jc w:val="both"/>
        <w:rPr>
          <w:color w:val="333333"/>
        </w:rPr>
      </w:pPr>
      <w:r w:rsidRPr="00EC32F9">
        <w:rPr>
          <w:color w:val="333333"/>
        </w:rPr>
        <w:t>Un paso importante durante el viaje hacia la edad adulta es la transición de la educación a la vida laboral. Como se señaló anteriormente, la organización de los sistemas educativos puede desempeñar un papel a la hora de determinar si esta transición es abrupta o no, cuando los jóvenes terminan sus estudios y comienzan a trabajar, o si se extiende durante un período de tiempo más largo cuando los jóvenes experimentan prácticas laborales, pasantías o pasantías mientras continúan estudiando, o después de un período de inactividad. Una forma de interpretar el éxito (o no) de estos diferentes tipos de transición es observar las tasas de empleo entre los jóvenes que abandonaron recientemente la educación. La información que se presenta a continuación se centra en las personas que abandonaron la educación durante los cinco años anteriores a la encuesta de la que se derivan los datos. En 2019, la tasa de empleo de la UE-27 para los jóvenes de 15 a 34 años que habían abandonado la educación durante los cinco años anteriores era del 75,9 %. La tasa de empleo fue considerablemente más alta (84,9 %) entre los jóvenes con un nivel educativo terciario, mientras que fue mucho más baja (40,5 %) entre los jóvenes que tenían como máximo un nivel educativo secundario inferior (ver Figura 9).</w:t>
      </w:r>
    </w:p>
    <w:p w:rsidR="00BE473A" w:rsidRPr="004A32E8" w:rsidRDefault="00BE473A" w:rsidP="00BE473A">
      <w:pPr>
        <w:pStyle w:val="NormalWeb"/>
        <w:shd w:val="clear" w:color="auto" w:fill="FFFFFF"/>
        <w:spacing w:before="0" w:beforeAutospacing="0" w:after="105" w:afterAutospacing="0"/>
        <w:jc w:val="both"/>
        <w:rPr>
          <w:color w:val="333333"/>
        </w:rPr>
      </w:pPr>
      <w:r w:rsidRPr="004A32E8">
        <w:rPr>
          <w:noProof/>
          <w:color w:val="333333"/>
          <w:lang w:val="en-GB" w:eastAsia="zh-CN"/>
        </w:rPr>
        <w:drawing>
          <wp:inline distT="0" distB="0" distL="0" distR="0">
            <wp:extent cx="5731510" cy="3891123"/>
            <wp:effectExtent l="0" t="0" r="2540" b="0"/>
            <wp:docPr id="77" name="Imagen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6"/>
                    <a:stretch>
                      <a:fillRect/>
                    </a:stretch>
                  </pic:blipFill>
                  <pic:spPr>
                    <a:xfrm>
                      <a:off x="0" y="0"/>
                      <a:ext cx="5731510" cy="3891123"/>
                    </a:xfrm>
                    <a:prstGeom prst="rect">
                      <a:avLst/>
                    </a:prstGeom>
                  </pic:spPr>
                </pic:pic>
              </a:graphicData>
            </a:graphic>
          </wp:inline>
        </w:drawing>
      </w:r>
    </w:p>
    <w:p w:rsidR="00BE473A" w:rsidRDefault="00BE473A" w:rsidP="00BE473A">
      <w:pPr>
        <w:shd w:val="clear" w:color="auto" w:fill="FFFFFF"/>
        <w:spacing w:line="240" w:lineRule="auto"/>
        <w:jc w:val="both"/>
        <w:rPr>
          <w:rFonts w:ascii="Times New Roman" w:hAnsi="Times New Roman" w:cs="Times New Roman"/>
          <w:color w:val="333333"/>
          <w:sz w:val="24"/>
          <w:szCs w:val="24"/>
        </w:rPr>
      </w:pPr>
      <w:r w:rsidRPr="004A32E8">
        <w:rPr>
          <w:rFonts w:ascii="Times New Roman" w:hAnsi="Times New Roman" w:cs="Times New Roman"/>
          <w:color w:val="333333"/>
          <w:sz w:val="24"/>
          <w:szCs w:val="24"/>
        </w:rPr>
        <w:t>Figura 9: Tasa de empleo de los jóvenes de 15 a 34 años que abandonaron la educación en los últimos cinco años, por nivel educativo más alto, 2019</w:t>
      </w:r>
      <w:r>
        <w:rPr>
          <w:rFonts w:ascii="Times New Roman" w:hAnsi="Times New Roman" w:cs="Times New Roman"/>
          <w:color w:val="333333"/>
          <w:sz w:val="24"/>
          <w:szCs w:val="24"/>
        </w:rPr>
        <w:t xml:space="preserve"> (%)</w:t>
      </w:r>
    </w:p>
    <w:p w:rsidR="00BE473A" w:rsidRPr="00BE473A" w:rsidRDefault="00BE473A" w:rsidP="00BE473A">
      <w:pPr>
        <w:shd w:val="clear" w:color="auto" w:fill="FFFFFF"/>
        <w:spacing w:line="240" w:lineRule="auto"/>
        <w:jc w:val="both"/>
        <w:rPr>
          <w:rFonts w:ascii="Times New Roman" w:hAnsi="Times New Roman" w:cs="Times New Roman"/>
          <w:sz w:val="24"/>
          <w:szCs w:val="24"/>
        </w:rPr>
      </w:pPr>
      <w:r w:rsidRPr="004A32E8">
        <w:rPr>
          <w:rFonts w:ascii="Times New Roman" w:hAnsi="Times New Roman" w:cs="Times New Roman"/>
          <w:i/>
          <w:iCs/>
          <w:color w:val="333333"/>
          <w:sz w:val="24"/>
          <w:szCs w:val="24"/>
        </w:rPr>
        <w:t>Fuente:</w:t>
      </w:r>
      <w:r w:rsidRPr="004A32E8">
        <w:rPr>
          <w:rFonts w:ascii="Times New Roman" w:hAnsi="Times New Roman" w:cs="Times New Roman"/>
          <w:color w:val="333333"/>
          <w:sz w:val="24"/>
          <w:szCs w:val="24"/>
        </w:rPr>
        <w:t> Eurostat </w:t>
      </w:r>
      <w:hyperlink r:id="rId97" w:tgtFrame="_blank" w:history="1">
        <w:r w:rsidRPr="00BE473A">
          <w:rPr>
            <w:rStyle w:val="Hipervnculo"/>
            <w:rFonts w:ascii="Times New Roman" w:hAnsi="Times New Roman" w:cs="Times New Roman"/>
            <w:color w:val="auto"/>
            <w:sz w:val="24"/>
            <w:szCs w:val="24"/>
          </w:rPr>
          <w:t>(edat_lfse_24)</w:t>
        </w:r>
      </w:hyperlink>
    </w:p>
    <w:p w:rsidR="00BE473A" w:rsidRPr="004A32E8" w:rsidRDefault="00BE473A" w:rsidP="00BE473A">
      <w:pPr>
        <w:pStyle w:val="NormalWeb"/>
        <w:shd w:val="clear" w:color="auto" w:fill="FFFFFF"/>
        <w:spacing w:before="0" w:beforeAutospacing="0" w:after="105" w:afterAutospacing="0"/>
        <w:jc w:val="both"/>
        <w:rPr>
          <w:color w:val="333333"/>
        </w:rPr>
      </w:pPr>
      <w:r w:rsidRPr="004A32E8">
        <w:rPr>
          <w:color w:val="333333"/>
          <w:sz w:val="21"/>
          <w:szCs w:val="21"/>
        </w:rPr>
        <w:t xml:space="preserve">En casi todos los Estados miembros de la UE, se observó un patrón similar al de la UE-27 en su </w:t>
      </w:r>
      <w:r w:rsidRPr="004A32E8">
        <w:rPr>
          <w:color w:val="333333"/>
        </w:rPr>
        <w:t xml:space="preserve">conjunto al observar más de cerca los datos por nivel de educación: los niveles más altos de educación fueron generalmente beneficiosos para mejorar las oportunidades de empleo de gente joven. Cabe señalar que estas cifras no brindan información sobre el tipo de empleo que se está desempeñando y puede darse el caso de que algunos jóvenes con nivel educativo terciario estén sobrecalificados para el puesto que ocupan. Chequia y Eslovaquia fueron las </w:t>
      </w:r>
      <w:r w:rsidRPr="004A32E8">
        <w:rPr>
          <w:color w:val="333333"/>
        </w:rPr>
        <w:lastRenderedPageBreak/>
        <w:t xml:space="preserve">únicas excepciones donde las tasas de empleo más altas para los jóvenes que abandonaron la educación en los cinco años anteriores se registraron entre las personas con un nivel de educación secundaria superior o postsecundaria no terciaria (en lugar de </w:t>
      </w:r>
      <w:r>
        <w:rPr>
          <w:color w:val="333333"/>
        </w:rPr>
        <w:t>un nivel de educación terciaria</w:t>
      </w:r>
      <w:r w:rsidRPr="004A32E8">
        <w:rPr>
          <w:color w:val="333333"/>
        </w:rPr>
        <w:t>.</w:t>
      </w:r>
    </w:p>
    <w:p w:rsidR="00BE473A" w:rsidRDefault="00BE473A" w:rsidP="00BE473A">
      <w:pPr>
        <w:pStyle w:val="NormalWeb"/>
        <w:shd w:val="clear" w:color="auto" w:fill="FFFFFF"/>
        <w:spacing w:before="0" w:beforeAutospacing="0" w:after="105" w:afterAutospacing="0"/>
        <w:jc w:val="both"/>
        <w:rPr>
          <w:color w:val="333333"/>
        </w:rPr>
      </w:pPr>
      <w:r w:rsidRPr="004A32E8">
        <w:rPr>
          <w:color w:val="333333"/>
        </w:rPr>
        <w:t>En 2019, las tasas de empleo de los jóvenes de 15 a 34 años que abandonaron la educación en los cinco años anteriores y estaban en posesión de un nivel educativo terciario fue del 90,0 % o más en Malta, Alemania, Luxemburgo, los Países Bajos, Letonia y Suecia. . Por el contrario, las tasas de empleo de los jóvenes recién graduados con un nivel de educación terciaria estaban justo por debajo del 70,0 % en Grecia e Italia.</w:t>
      </w:r>
    </w:p>
    <w:p w:rsidR="00BE473A" w:rsidRDefault="00BE473A" w:rsidP="00BE473A">
      <w:pPr>
        <w:shd w:val="clear" w:color="auto" w:fill="FFFFFF"/>
        <w:spacing w:line="240" w:lineRule="auto"/>
        <w:jc w:val="both"/>
        <w:rPr>
          <w:rFonts w:ascii="Times New Roman" w:hAnsi="Times New Roman" w:cs="Times New Roman"/>
          <w:b/>
          <w:color w:val="333333"/>
          <w:sz w:val="24"/>
          <w:szCs w:val="24"/>
        </w:rPr>
      </w:pPr>
      <w:r w:rsidRPr="004A32E8">
        <w:rPr>
          <w:rFonts w:ascii="Times New Roman" w:hAnsi="Times New Roman" w:cs="Times New Roman"/>
          <w:b/>
          <w:color w:val="333333"/>
          <w:sz w:val="24"/>
          <w:szCs w:val="24"/>
        </w:rPr>
        <w:t>Tasas de empleo juvenil por edad</w:t>
      </w:r>
    </w:p>
    <w:p w:rsidR="00BE473A" w:rsidRPr="004A32E8" w:rsidRDefault="00BE473A" w:rsidP="00BE473A">
      <w:pPr>
        <w:pStyle w:val="NormalWeb"/>
        <w:shd w:val="clear" w:color="auto" w:fill="FFFFFF"/>
        <w:spacing w:before="0" w:beforeAutospacing="0" w:after="105" w:afterAutospacing="0"/>
        <w:jc w:val="both"/>
        <w:rPr>
          <w:color w:val="333333"/>
        </w:rPr>
      </w:pPr>
      <w:r w:rsidRPr="004A32E8">
        <w:rPr>
          <w:color w:val="333333"/>
        </w:rPr>
        <w:t>En 2019, hubo una gran disparidad entre las tasas de empleo de la EU-27 para jóvenes de 15 a 24 años (33,4 %) y jóvenes de 25 a 29 años (74,6 %). Las tasas de empleo más altas para los jóvenes de 15 a 24 años se registraron en los Países Bajos (65,3 %), seguidos de Dinamarca (55,0 %), Austria (51,6 %) y Malta (50,9 %); todos los Estados miembros restantes registraron tasas por debajo del 50,0 %, con Italia y Grecia registrando tasas por debajo del 20,0 % (véase la figura 10).</w:t>
      </w:r>
    </w:p>
    <w:p w:rsidR="00BE473A" w:rsidRPr="004A32E8" w:rsidRDefault="00BE473A" w:rsidP="00BE473A">
      <w:pPr>
        <w:shd w:val="clear" w:color="auto" w:fill="FFFFFF"/>
        <w:spacing w:line="240" w:lineRule="auto"/>
        <w:jc w:val="both"/>
        <w:rPr>
          <w:rFonts w:ascii="Times New Roman" w:hAnsi="Times New Roman" w:cs="Times New Roman"/>
          <w:color w:val="333333"/>
          <w:sz w:val="24"/>
          <w:szCs w:val="24"/>
        </w:rPr>
      </w:pPr>
      <w:r w:rsidRPr="004A32E8">
        <w:rPr>
          <w:rFonts w:ascii="Times New Roman" w:hAnsi="Times New Roman" w:cs="Times New Roman"/>
          <w:noProof/>
          <w:color w:val="0651C1"/>
          <w:sz w:val="24"/>
          <w:szCs w:val="24"/>
          <w:lang w:val="en-GB" w:eastAsia="zh-CN"/>
        </w:rPr>
        <w:drawing>
          <wp:inline distT="0" distB="0" distL="0" distR="0">
            <wp:extent cx="4762500" cy="2863850"/>
            <wp:effectExtent l="0" t="0" r="0" b="0"/>
            <wp:docPr id="116" name="Imagen 116" descr="https://ec.europa.eu/eurostat/statistics-explained/images/thumb/1/1a/Employment_rate_for_young_people_aged_15-24_years%2C_2009_and_2019_%28%25%29_BYIE20.png/500px-Employment_rate_for_young_people_aged_15-24_years%2C_2009_and_2019_%28%25%29_BYIE20.png">
              <a:hlinkClick xmlns:a="http://schemas.openxmlformats.org/drawingml/2006/main" r:id="rId9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ec.europa.eu/eurostat/statistics-explained/images/thumb/1/1a/Employment_rate_for_young_people_aged_15-24_years%2C_2009_and_2019_%28%25%29_BYIE20.png/500px-Employment_rate_for_young_people_aged_15-24_years%2C_2009_and_2019_%28%25%29_BYIE20.png">
                      <a:hlinkClick r:id="rId98"/>
                    </pic:cNvPr>
                    <pic:cNvPicPr>
                      <a:picLocks noChangeAspect="1" noChangeArrowheads="1"/>
                    </pic:cNvPicPr>
                  </pic:nvPicPr>
                  <pic:blipFill>
                    <a:blip r:embed="rId9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762500" cy="2863850"/>
                    </a:xfrm>
                    <a:prstGeom prst="rect">
                      <a:avLst/>
                    </a:prstGeom>
                    <a:noFill/>
                    <a:ln>
                      <a:noFill/>
                    </a:ln>
                  </pic:spPr>
                </pic:pic>
              </a:graphicData>
            </a:graphic>
          </wp:inline>
        </w:drawing>
      </w:r>
    </w:p>
    <w:p w:rsidR="00BE473A" w:rsidRDefault="00BE473A" w:rsidP="00BE473A">
      <w:pPr>
        <w:shd w:val="clear" w:color="auto" w:fill="FFFFFF"/>
        <w:spacing w:line="240" w:lineRule="auto"/>
        <w:jc w:val="both"/>
        <w:rPr>
          <w:rFonts w:ascii="Times New Roman" w:hAnsi="Times New Roman" w:cs="Times New Roman"/>
          <w:color w:val="333333"/>
          <w:sz w:val="24"/>
          <w:szCs w:val="24"/>
        </w:rPr>
      </w:pPr>
      <w:r w:rsidRPr="004A32E8">
        <w:rPr>
          <w:rFonts w:ascii="Times New Roman" w:hAnsi="Times New Roman" w:cs="Times New Roman"/>
          <w:color w:val="333333"/>
          <w:sz w:val="24"/>
          <w:szCs w:val="24"/>
        </w:rPr>
        <w:t>Figura 10: Tasa de empleo de jóvenes de 15 a 24 años, 2009 y 2019</w:t>
      </w:r>
      <w:r>
        <w:rPr>
          <w:rFonts w:ascii="Times New Roman" w:hAnsi="Times New Roman" w:cs="Times New Roman"/>
          <w:color w:val="333333"/>
          <w:sz w:val="24"/>
          <w:szCs w:val="24"/>
        </w:rPr>
        <w:t xml:space="preserve"> (%)</w:t>
      </w:r>
    </w:p>
    <w:p w:rsidR="00BE473A" w:rsidRPr="00BE473A" w:rsidRDefault="00BE473A" w:rsidP="00BE473A">
      <w:pPr>
        <w:shd w:val="clear" w:color="auto" w:fill="FFFFFF"/>
        <w:spacing w:line="240" w:lineRule="auto"/>
        <w:jc w:val="both"/>
        <w:rPr>
          <w:rFonts w:ascii="Times New Roman" w:hAnsi="Times New Roman" w:cs="Times New Roman"/>
          <w:sz w:val="24"/>
          <w:szCs w:val="24"/>
        </w:rPr>
      </w:pPr>
      <w:r w:rsidRPr="004A32E8">
        <w:rPr>
          <w:rFonts w:ascii="Times New Roman" w:hAnsi="Times New Roman" w:cs="Times New Roman"/>
          <w:i/>
          <w:iCs/>
          <w:color w:val="333333"/>
          <w:sz w:val="24"/>
          <w:szCs w:val="24"/>
        </w:rPr>
        <w:t>Fuente:</w:t>
      </w:r>
      <w:r w:rsidRPr="004A32E8">
        <w:rPr>
          <w:rFonts w:ascii="Times New Roman" w:hAnsi="Times New Roman" w:cs="Times New Roman"/>
          <w:color w:val="333333"/>
          <w:sz w:val="24"/>
          <w:szCs w:val="24"/>
        </w:rPr>
        <w:t> Eurostat </w:t>
      </w:r>
      <w:hyperlink r:id="rId100" w:tgtFrame="_blank" w:history="1">
        <w:r w:rsidRPr="00BE473A">
          <w:rPr>
            <w:rStyle w:val="Hipervnculo"/>
            <w:rFonts w:ascii="Times New Roman" w:hAnsi="Times New Roman" w:cs="Times New Roman"/>
            <w:color w:val="auto"/>
            <w:sz w:val="24"/>
            <w:szCs w:val="24"/>
          </w:rPr>
          <w:t>(yth_empl_010)</w:t>
        </w:r>
      </w:hyperlink>
    </w:p>
    <w:p w:rsidR="00BE473A" w:rsidRPr="004A32E8" w:rsidRDefault="00BE473A" w:rsidP="00BE473A">
      <w:pPr>
        <w:pStyle w:val="NormalWeb"/>
        <w:shd w:val="clear" w:color="auto" w:fill="FFFFFF"/>
        <w:spacing w:before="0" w:beforeAutospacing="0" w:after="105" w:afterAutospacing="0"/>
        <w:jc w:val="both"/>
        <w:rPr>
          <w:color w:val="333333"/>
        </w:rPr>
      </w:pPr>
      <w:r w:rsidRPr="004A32E8">
        <w:rPr>
          <w:color w:val="333333"/>
        </w:rPr>
        <w:t>En 2019, la proporción de jóvenes de 25 a 29 años con empleo superaba cuatro de cada cinco en Malta (89,2 %), Países Bajos (85,1 %), Luxemburgo (83,9 %), Lituania (82,3 %), así como como en Austria, Eslovenia, Letonia, Chipre, Portugal, Alemania y Estonia (todos los cuales registraron tasas de empleo dentro del rango de 80,3-81,8 %). Por el contrario, las tasas más bajas se registraron de nuevo en Grecia (62,2 %) e Italia (56,3 %) (véase la figura 11).</w:t>
      </w:r>
    </w:p>
    <w:p w:rsidR="00BE473A" w:rsidRPr="004A32E8" w:rsidRDefault="00BE473A" w:rsidP="00BE473A">
      <w:pPr>
        <w:shd w:val="clear" w:color="auto" w:fill="FFFFFF"/>
        <w:spacing w:line="240" w:lineRule="auto"/>
        <w:jc w:val="both"/>
        <w:rPr>
          <w:rFonts w:ascii="Times New Roman" w:hAnsi="Times New Roman" w:cs="Times New Roman"/>
          <w:color w:val="333333"/>
          <w:sz w:val="24"/>
          <w:szCs w:val="24"/>
        </w:rPr>
      </w:pPr>
      <w:r w:rsidRPr="004A32E8">
        <w:rPr>
          <w:rFonts w:ascii="Times New Roman" w:hAnsi="Times New Roman" w:cs="Times New Roman"/>
          <w:noProof/>
          <w:color w:val="0651C1"/>
          <w:sz w:val="24"/>
          <w:szCs w:val="24"/>
          <w:lang w:val="en-GB" w:eastAsia="zh-CN"/>
        </w:rPr>
        <w:lastRenderedPageBreak/>
        <w:drawing>
          <wp:inline distT="0" distB="0" distL="0" distR="0">
            <wp:extent cx="4762500" cy="2863850"/>
            <wp:effectExtent l="0" t="0" r="0" b="0"/>
            <wp:docPr id="80" name="Imagen 80" descr="https://ec.europa.eu/eurostat/statistics-explained/images/thumb/b/b9/Employment_rate_for_young_people_aged_25-29_years%2C_2009_and_2019_%28%25%29_BYIE20.png/500px-Employment_rate_for_young_people_aged_25-29_years%2C_2009_and_2019_%28%25%29_BYIE20.png">
              <a:hlinkClick xmlns:a="http://schemas.openxmlformats.org/drawingml/2006/main" r:id="rId10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ec.europa.eu/eurostat/statistics-explained/images/thumb/b/b9/Employment_rate_for_young_people_aged_25-29_years%2C_2009_and_2019_%28%25%29_BYIE20.png/500px-Employment_rate_for_young_people_aged_25-29_years%2C_2009_and_2019_%28%25%29_BYIE20.png">
                      <a:hlinkClick r:id="rId101"/>
                    </pic:cNvPr>
                    <pic:cNvPicPr>
                      <a:picLocks noChangeAspect="1" noChangeArrowheads="1"/>
                    </pic:cNvPicPr>
                  </pic:nvPicPr>
                  <pic:blipFill>
                    <a:blip r:embed="rId10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762500" cy="2863850"/>
                    </a:xfrm>
                    <a:prstGeom prst="rect">
                      <a:avLst/>
                    </a:prstGeom>
                    <a:noFill/>
                    <a:ln>
                      <a:noFill/>
                    </a:ln>
                  </pic:spPr>
                </pic:pic>
              </a:graphicData>
            </a:graphic>
          </wp:inline>
        </w:drawing>
      </w:r>
    </w:p>
    <w:p w:rsidR="00BE473A" w:rsidRDefault="00BE473A" w:rsidP="00BE473A">
      <w:pPr>
        <w:shd w:val="clear" w:color="auto" w:fill="FFFFFF"/>
        <w:spacing w:line="240" w:lineRule="auto"/>
        <w:jc w:val="both"/>
        <w:rPr>
          <w:rFonts w:ascii="Times New Roman" w:hAnsi="Times New Roman" w:cs="Times New Roman"/>
          <w:color w:val="333333"/>
          <w:sz w:val="24"/>
          <w:szCs w:val="24"/>
        </w:rPr>
      </w:pPr>
      <w:r w:rsidRPr="004A32E8">
        <w:rPr>
          <w:rFonts w:ascii="Times New Roman" w:hAnsi="Times New Roman" w:cs="Times New Roman"/>
          <w:color w:val="333333"/>
          <w:sz w:val="24"/>
          <w:szCs w:val="24"/>
        </w:rPr>
        <w:t>Figura 11: Tasa de empleo de jóvenes de 25 a 29 años, 2009 y 2019</w:t>
      </w:r>
      <w:r>
        <w:rPr>
          <w:rFonts w:ascii="Times New Roman" w:hAnsi="Times New Roman" w:cs="Times New Roman"/>
          <w:color w:val="333333"/>
          <w:sz w:val="24"/>
          <w:szCs w:val="24"/>
        </w:rPr>
        <w:t xml:space="preserve"> (%)</w:t>
      </w:r>
    </w:p>
    <w:p w:rsidR="00BE473A" w:rsidRPr="00BE473A" w:rsidRDefault="00BE473A" w:rsidP="00BE473A">
      <w:pPr>
        <w:shd w:val="clear" w:color="auto" w:fill="FFFFFF"/>
        <w:spacing w:line="240" w:lineRule="auto"/>
        <w:jc w:val="both"/>
        <w:rPr>
          <w:rFonts w:ascii="Times New Roman" w:hAnsi="Times New Roman" w:cs="Times New Roman"/>
          <w:sz w:val="24"/>
          <w:szCs w:val="24"/>
        </w:rPr>
      </w:pPr>
      <w:r w:rsidRPr="004A32E8">
        <w:rPr>
          <w:rFonts w:ascii="Times New Roman" w:hAnsi="Times New Roman" w:cs="Times New Roman"/>
          <w:i/>
          <w:iCs/>
          <w:color w:val="333333"/>
          <w:sz w:val="24"/>
          <w:szCs w:val="24"/>
        </w:rPr>
        <w:t>Fuente:</w:t>
      </w:r>
      <w:r w:rsidRPr="004A32E8">
        <w:rPr>
          <w:rFonts w:ascii="Times New Roman" w:hAnsi="Times New Roman" w:cs="Times New Roman"/>
          <w:color w:val="333333"/>
          <w:sz w:val="24"/>
          <w:szCs w:val="24"/>
        </w:rPr>
        <w:t> Eurostat </w:t>
      </w:r>
      <w:hyperlink r:id="rId103" w:tgtFrame="_blank" w:history="1">
        <w:r w:rsidRPr="00BE473A">
          <w:rPr>
            <w:rStyle w:val="Hipervnculo"/>
            <w:rFonts w:ascii="Times New Roman" w:hAnsi="Times New Roman" w:cs="Times New Roman"/>
            <w:color w:val="auto"/>
            <w:sz w:val="24"/>
            <w:szCs w:val="24"/>
          </w:rPr>
          <w:t>(yth_empl_010)</w:t>
        </w:r>
      </w:hyperlink>
    </w:p>
    <w:p w:rsidR="00BE473A" w:rsidRPr="004A32E8" w:rsidRDefault="00BE473A" w:rsidP="00BE473A">
      <w:pPr>
        <w:pStyle w:val="NormalWeb"/>
        <w:shd w:val="clear" w:color="auto" w:fill="FFFFFF"/>
        <w:spacing w:before="0" w:beforeAutospacing="0" w:after="105" w:afterAutospacing="0"/>
        <w:jc w:val="both"/>
        <w:rPr>
          <w:color w:val="333333"/>
        </w:rPr>
      </w:pPr>
      <w:r w:rsidRPr="004A32E8">
        <w:rPr>
          <w:color w:val="333333"/>
        </w:rPr>
        <w:t>La figura 12 ilustra la evolución de las tasas de empleo de los jóvenes en la UE-27 durante la década más reciente de la que se dispone de datos. Aunque había una diferencia considerable en el nivel de las tasas de empleo de los jóvenes (las tasas de los jóvenes de 25 a 29 años eran unos 39,5 a 41,2 puntos porcentuales más altas que las de los jóvenes de 15 a 24 años), la evolución global de ambas tasas era muy similar. Habiendo alcanzado su punto máximo en 2008 antes de la crisis financiera y económica mundial, las tasas de empleo de los jóvenes de la UE-27 cayeron constantemente hasta 2013, después de lo cual hubo una modesta recuperación en 2014 y 2015, acelerándose a partir de entonces; tenga en cuenta que las últimas tasas de empleo (datos de 2019) se mantuvieron por debajo de los niveles registrados antes de la crisis en 2008.</w:t>
      </w:r>
    </w:p>
    <w:p w:rsidR="00BE473A" w:rsidRPr="004A32E8" w:rsidRDefault="00BE473A" w:rsidP="00BE473A">
      <w:pPr>
        <w:shd w:val="clear" w:color="auto" w:fill="FFFFFF"/>
        <w:spacing w:line="240" w:lineRule="auto"/>
        <w:jc w:val="both"/>
        <w:rPr>
          <w:rFonts w:ascii="Times New Roman" w:hAnsi="Times New Roman" w:cs="Times New Roman"/>
          <w:color w:val="333333"/>
          <w:sz w:val="24"/>
          <w:szCs w:val="24"/>
        </w:rPr>
      </w:pPr>
      <w:r w:rsidRPr="004A32E8">
        <w:rPr>
          <w:rFonts w:ascii="Times New Roman" w:hAnsi="Times New Roman" w:cs="Times New Roman"/>
          <w:noProof/>
          <w:color w:val="0651C1"/>
          <w:sz w:val="24"/>
          <w:szCs w:val="24"/>
          <w:lang w:val="en-GB" w:eastAsia="zh-CN"/>
        </w:rPr>
        <w:drawing>
          <wp:inline distT="0" distB="0" distL="0" distR="0">
            <wp:extent cx="4762500" cy="2495550"/>
            <wp:effectExtent l="0" t="0" r="0" b="0"/>
            <wp:docPr id="117" name="Imagen 117" descr="https://ec.europa.eu/eurostat/statistics-explained/images/thumb/8/8a/Employment_rate_for_young_people%2C_by_age%2C_EU-27%2C_2009-2019_%28%25%29_BYIE20.png/500px-Employment_rate_for_young_people%2C_by_age%2C_EU-27%2C_2009-2019_%28%25%29_BYIE20.png">
              <a:hlinkClick xmlns:a="http://schemas.openxmlformats.org/drawingml/2006/main" r:id="rId10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ec.europa.eu/eurostat/statistics-explained/images/thumb/8/8a/Employment_rate_for_young_people%2C_by_age%2C_EU-27%2C_2009-2019_%28%25%29_BYIE20.png/500px-Employment_rate_for_young_people%2C_by_age%2C_EU-27%2C_2009-2019_%28%25%29_BYIE20.png">
                      <a:hlinkClick r:id="rId104"/>
                    </pic:cNvPr>
                    <pic:cNvPicPr>
                      <a:picLocks noChangeAspect="1" noChangeArrowheads="1"/>
                    </pic:cNvPicPr>
                  </pic:nvPicPr>
                  <pic:blipFill>
                    <a:blip r:embed="rId10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762500" cy="2495550"/>
                    </a:xfrm>
                    <a:prstGeom prst="rect">
                      <a:avLst/>
                    </a:prstGeom>
                    <a:noFill/>
                    <a:ln>
                      <a:noFill/>
                    </a:ln>
                  </pic:spPr>
                </pic:pic>
              </a:graphicData>
            </a:graphic>
          </wp:inline>
        </w:drawing>
      </w:r>
    </w:p>
    <w:p w:rsidR="00BE473A" w:rsidRDefault="00BE473A" w:rsidP="00BE473A">
      <w:pPr>
        <w:shd w:val="clear" w:color="auto" w:fill="FFFFFF"/>
        <w:spacing w:line="240" w:lineRule="auto"/>
        <w:jc w:val="both"/>
        <w:rPr>
          <w:rFonts w:ascii="Times New Roman" w:hAnsi="Times New Roman" w:cs="Times New Roman"/>
          <w:color w:val="333333"/>
          <w:sz w:val="24"/>
          <w:szCs w:val="24"/>
        </w:rPr>
      </w:pPr>
      <w:r w:rsidRPr="004A32E8">
        <w:rPr>
          <w:rFonts w:ascii="Times New Roman" w:hAnsi="Times New Roman" w:cs="Times New Roman"/>
          <w:color w:val="333333"/>
          <w:sz w:val="24"/>
          <w:szCs w:val="24"/>
        </w:rPr>
        <w:t>Figura 12: Tasa de empleo de los jóvenes, por edad, EU-27, 2009-2019</w:t>
      </w:r>
      <w:r>
        <w:rPr>
          <w:rFonts w:ascii="Times New Roman" w:hAnsi="Times New Roman" w:cs="Times New Roman"/>
          <w:color w:val="333333"/>
          <w:sz w:val="24"/>
          <w:szCs w:val="24"/>
        </w:rPr>
        <w:t xml:space="preserve"> (%)</w:t>
      </w:r>
    </w:p>
    <w:p w:rsidR="00BE473A" w:rsidRPr="00BE473A" w:rsidRDefault="00BE473A" w:rsidP="00BE473A">
      <w:pPr>
        <w:shd w:val="clear" w:color="auto" w:fill="FFFFFF"/>
        <w:spacing w:line="240" w:lineRule="auto"/>
        <w:jc w:val="both"/>
        <w:rPr>
          <w:rFonts w:ascii="Times New Roman" w:hAnsi="Times New Roman" w:cs="Times New Roman"/>
          <w:sz w:val="24"/>
          <w:szCs w:val="24"/>
        </w:rPr>
      </w:pPr>
      <w:r w:rsidRPr="004A32E8">
        <w:rPr>
          <w:rFonts w:ascii="Times New Roman" w:hAnsi="Times New Roman" w:cs="Times New Roman"/>
          <w:i/>
          <w:iCs/>
          <w:color w:val="333333"/>
          <w:sz w:val="24"/>
          <w:szCs w:val="24"/>
        </w:rPr>
        <w:t>Fuente:</w:t>
      </w:r>
      <w:r w:rsidRPr="004A32E8">
        <w:rPr>
          <w:rFonts w:ascii="Times New Roman" w:hAnsi="Times New Roman" w:cs="Times New Roman"/>
          <w:color w:val="333333"/>
          <w:sz w:val="24"/>
          <w:szCs w:val="24"/>
        </w:rPr>
        <w:t> Eurostat </w:t>
      </w:r>
      <w:hyperlink r:id="rId106" w:tgtFrame="_blank" w:history="1">
        <w:r w:rsidRPr="00BE473A">
          <w:rPr>
            <w:rStyle w:val="Hipervnculo"/>
            <w:rFonts w:ascii="Times New Roman" w:hAnsi="Times New Roman" w:cs="Times New Roman"/>
            <w:color w:val="auto"/>
            <w:sz w:val="24"/>
            <w:szCs w:val="24"/>
          </w:rPr>
          <w:t>(yth_empl_010)</w:t>
        </w:r>
      </w:hyperlink>
    </w:p>
    <w:p w:rsidR="00BE473A" w:rsidRPr="004A32E8" w:rsidRDefault="00BE473A" w:rsidP="00BE473A">
      <w:pPr>
        <w:pStyle w:val="NormalWeb"/>
        <w:shd w:val="clear" w:color="auto" w:fill="FFFFFF"/>
        <w:spacing w:before="0" w:beforeAutospacing="0" w:after="105" w:afterAutospacing="0"/>
        <w:jc w:val="both"/>
        <w:rPr>
          <w:color w:val="333333"/>
        </w:rPr>
      </w:pPr>
      <w:r w:rsidRPr="004A32E8">
        <w:rPr>
          <w:color w:val="333333"/>
        </w:rPr>
        <w:lastRenderedPageBreak/>
        <w:t>Las tasas de empleo fueron generalmente más bajas entre las mujeres jóvenes que entre los hombres jóvenes (ver Figura 13). En 2019, la tasa de empleo de los jóvenes de 15 a 29 años en la UE-27 se situó en el 51,3 % para los hombres y en el 44,9 % para las mujeres. Con una sola excepción, los Países Bajos, este patrón se repitió en cada uno de los Estados miembros de la UE, aunque en diferentes grados. Las tasas de empleo de los hombres jóvenes fueron considerablemente más altas que las de las mujeres jóvenes en Eslovaquia (diferencia de 17,0 puntos porcentuales), Chequia (diferencia de 13,7 puntos) y Rumania (diferencia de 13,3 puntos), mientras que Polonia, Estonia, Hungría, Croacia y Bulgaria también</w:t>
      </w:r>
      <w:r>
        <w:rPr>
          <w:color w:val="333333"/>
        </w:rPr>
        <w:t xml:space="preserve"> registraron el doble de empleo.</w:t>
      </w:r>
    </w:p>
    <w:p w:rsidR="00BE473A" w:rsidRPr="004A32E8" w:rsidRDefault="00BE473A" w:rsidP="00BE473A">
      <w:pPr>
        <w:shd w:val="clear" w:color="auto" w:fill="FFFFFF"/>
        <w:spacing w:line="240" w:lineRule="auto"/>
        <w:jc w:val="both"/>
        <w:rPr>
          <w:rFonts w:ascii="Times New Roman" w:hAnsi="Times New Roman" w:cs="Times New Roman"/>
          <w:color w:val="333333"/>
          <w:sz w:val="24"/>
          <w:szCs w:val="24"/>
        </w:rPr>
      </w:pPr>
      <w:r w:rsidRPr="004A32E8">
        <w:rPr>
          <w:rFonts w:ascii="Times New Roman" w:hAnsi="Times New Roman" w:cs="Times New Roman"/>
          <w:noProof/>
          <w:color w:val="0651C1"/>
          <w:sz w:val="24"/>
          <w:szCs w:val="24"/>
          <w:lang w:val="en-GB" w:eastAsia="zh-CN"/>
        </w:rPr>
        <w:drawing>
          <wp:inline distT="0" distB="0" distL="0" distR="0">
            <wp:extent cx="4762500" cy="2857500"/>
            <wp:effectExtent l="0" t="0" r="0" b="0"/>
            <wp:docPr id="118" name="Imagen 118" descr="https://ec.europa.eu/eurostat/statistics-explained/images/thumb/5/5e/Employment_rate_for_young_people_aged_15-29_years%2C_by_sex%2C_2019_%28%25%29_BYIE20.png/500px-Employment_rate_for_young_people_aged_15-29_years%2C_by_sex%2C_2019_%28%25%29_BYIE20.png">
              <a:hlinkClick xmlns:a="http://schemas.openxmlformats.org/drawingml/2006/main" r:id="rId10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ec.europa.eu/eurostat/statistics-explained/images/thumb/5/5e/Employment_rate_for_young_people_aged_15-29_years%2C_by_sex%2C_2019_%28%25%29_BYIE20.png/500px-Employment_rate_for_young_people_aged_15-29_years%2C_by_sex%2C_2019_%28%25%29_BYIE20.png">
                      <a:hlinkClick r:id="rId107"/>
                    </pic:cNvPr>
                    <pic:cNvPicPr>
                      <a:picLocks noChangeAspect="1" noChangeArrowheads="1"/>
                    </pic:cNvPicPr>
                  </pic:nvPicPr>
                  <pic:blipFill>
                    <a:blip r:embed="rId10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762500" cy="2857500"/>
                    </a:xfrm>
                    <a:prstGeom prst="rect">
                      <a:avLst/>
                    </a:prstGeom>
                    <a:noFill/>
                    <a:ln>
                      <a:noFill/>
                    </a:ln>
                  </pic:spPr>
                </pic:pic>
              </a:graphicData>
            </a:graphic>
          </wp:inline>
        </w:drawing>
      </w:r>
    </w:p>
    <w:p w:rsidR="00BE473A" w:rsidRDefault="00BE473A" w:rsidP="00BE473A">
      <w:pPr>
        <w:shd w:val="clear" w:color="auto" w:fill="FFFFFF"/>
        <w:spacing w:line="240" w:lineRule="auto"/>
        <w:jc w:val="both"/>
        <w:rPr>
          <w:rFonts w:ascii="Times New Roman" w:hAnsi="Times New Roman" w:cs="Times New Roman"/>
          <w:color w:val="333333"/>
          <w:sz w:val="24"/>
          <w:szCs w:val="24"/>
        </w:rPr>
      </w:pPr>
      <w:r w:rsidRPr="004A32E8">
        <w:rPr>
          <w:rFonts w:ascii="Times New Roman" w:hAnsi="Times New Roman" w:cs="Times New Roman"/>
          <w:color w:val="333333"/>
          <w:sz w:val="24"/>
          <w:szCs w:val="24"/>
        </w:rPr>
        <w:t>Figura 13: Tasa de empleo de jóvenes de 15 a 29 años, por sexo, 2019</w:t>
      </w:r>
      <w:r>
        <w:rPr>
          <w:rFonts w:ascii="Times New Roman" w:hAnsi="Times New Roman" w:cs="Times New Roman"/>
          <w:color w:val="333333"/>
          <w:sz w:val="24"/>
          <w:szCs w:val="24"/>
        </w:rPr>
        <w:t xml:space="preserve"> (%)</w:t>
      </w:r>
    </w:p>
    <w:p w:rsidR="00BE473A" w:rsidRPr="00BE473A" w:rsidRDefault="00BE473A" w:rsidP="00BE473A">
      <w:pPr>
        <w:shd w:val="clear" w:color="auto" w:fill="FFFFFF"/>
        <w:spacing w:line="240" w:lineRule="auto"/>
        <w:jc w:val="both"/>
        <w:rPr>
          <w:rFonts w:ascii="Times New Roman" w:hAnsi="Times New Roman" w:cs="Times New Roman"/>
          <w:sz w:val="24"/>
          <w:szCs w:val="24"/>
        </w:rPr>
      </w:pPr>
      <w:r w:rsidRPr="004A32E8">
        <w:rPr>
          <w:rFonts w:ascii="Times New Roman" w:hAnsi="Times New Roman" w:cs="Times New Roman"/>
          <w:i/>
          <w:iCs/>
          <w:color w:val="333333"/>
          <w:sz w:val="24"/>
          <w:szCs w:val="24"/>
        </w:rPr>
        <w:t>Fuente:</w:t>
      </w:r>
      <w:r w:rsidRPr="004A32E8">
        <w:rPr>
          <w:rFonts w:ascii="Times New Roman" w:hAnsi="Times New Roman" w:cs="Times New Roman"/>
          <w:color w:val="333333"/>
          <w:sz w:val="24"/>
          <w:szCs w:val="24"/>
        </w:rPr>
        <w:t> Eurostat </w:t>
      </w:r>
      <w:hyperlink r:id="rId109" w:tgtFrame="_blank" w:history="1">
        <w:r w:rsidRPr="00BE473A">
          <w:rPr>
            <w:rStyle w:val="Hipervnculo"/>
            <w:rFonts w:ascii="Times New Roman" w:hAnsi="Times New Roman" w:cs="Times New Roman"/>
            <w:color w:val="auto"/>
            <w:sz w:val="24"/>
            <w:szCs w:val="24"/>
          </w:rPr>
          <w:t>(yth_empl_010)</w:t>
        </w:r>
      </w:hyperlink>
    </w:p>
    <w:p w:rsidR="00BE473A" w:rsidRDefault="00BE473A" w:rsidP="00BE473A">
      <w:pPr>
        <w:pStyle w:val="NormalWeb"/>
        <w:shd w:val="clear" w:color="auto" w:fill="FFFFFF"/>
        <w:spacing w:before="0" w:beforeAutospacing="0" w:after="105" w:afterAutospacing="0"/>
        <w:jc w:val="both"/>
        <w:rPr>
          <w:color w:val="333333"/>
        </w:rPr>
      </w:pPr>
      <w:r w:rsidRPr="004A32E8">
        <w:rPr>
          <w:color w:val="333333"/>
        </w:rPr>
        <w:t>Las tasas de empleo entre los jóvenes variaron considerablemente en función de su nivel educativo (véase la figura 14): la tasa de empleo de la UE-27 de los jóvenes de entre 15 y 29 años que habían completado la educación terciaria fue del 74,3 % en 2019, más del triple que alta como la tasa de empleo de los jóvenes que no habían superado las cualificaciones primarias o secundarias inferiores (23,9 %). La tasa de empleo de la EU-27 para los jóvenes con cualificaciones de educación secundaria superior o postsecundaria no terciaria como máximo se situó en el 56,7 %.</w:t>
      </w:r>
    </w:p>
    <w:p w:rsidR="00BE473A" w:rsidRPr="004A32E8" w:rsidRDefault="00BE473A" w:rsidP="00BE473A">
      <w:pPr>
        <w:pStyle w:val="NormalWeb"/>
        <w:shd w:val="clear" w:color="auto" w:fill="FFFFFF"/>
        <w:spacing w:before="0" w:beforeAutospacing="0" w:after="105" w:afterAutospacing="0"/>
        <w:jc w:val="both"/>
        <w:rPr>
          <w:color w:val="333333"/>
        </w:rPr>
      </w:pPr>
      <w:r w:rsidRPr="00F7545C">
        <w:rPr>
          <w:noProof/>
          <w:color w:val="333333"/>
          <w:lang w:val="en-GB" w:eastAsia="zh-CN"/>
        </w:rPr>
        <w:lastRenderedPageBreak/>
        <w:drawing>
          <wp:inline distT="0" distB="0" distL="0" distR="0">
            <wp:extent cx="5731510" cy="3863258"/>
            <wp:effectExtent l="0" t="0" r="2540" b="4445"/>
            <wp:docPr id="83" name="Imagen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0"/>
                    <a:stretch>
                      <a:fillRect/>
                    </a:stretch>
                  </pic:blipFill>
                  <pic:spPr>
                    <a:xfrm>
                      <a:off x="0" y="0"/>
                      <a:ext cx="5731510" cy="3863258"/>
                    </a:xfrm>
                    <a:prstGeom prst="rect">
                      <a:avLst/>
                    </a:prstGeom>
                  </pic:spPr>
                </pic:pic>
              </a:graphicData>
            </a:graphic>
          </wp:inline>
        </w:drawing>
      </w:r>
    </w:p>
    <w:p w:rsidR="00BE473A" w:rsidRDefault="00BE473A" w:rsidP="00BE473A">
      <w:pPr>
        <w:shd w:val="clear" w:color="auto" w:fill="FFFFFF"/>
        <w:spacing w:line="240" w:lineRule="auto"/>
        <w:jc w:val="both"/>
        <w:rPr>
          <w:rFonts w:ascii="Times New Roman" w:hAnsi="Times New Roman" w:cs="Times New Roman"/>
          <w:color w:val="333333"/>
          <w:sz w:val="24"/>
          <w:szCs w:val="24"/>
        </w:rPr>
      </w:pPr>
      <w:r w:rsidRPr="004A32E8">
        <w:rPr>
          <w:rFonts w:ascii="Times New Roman" w:hAnsi="Times New Roman" w:cs="Times New Roman"/>
          <w:color w:val="333333"/>
          <w:sz w:val="24"/>
          <w:szCs w:val="24"/>
        </w:rPr>
        <w:t>Figura 14: Tasa de empleo para jóvenes de 15 a 29 años, por nivel educativo más alto, 2019</w:t>
      </w:r>
      <w:r w:rsidRPr="004A32E8">
        <w:rPr>
          <w:rFonts w:ascii="Times New Roman" w:hAnsi="Times New Roman" w:cs="Times New Roman"/>
          <w:color w:val="333333"/>
          <w:sz w:val="24"/>
          <w:szCs w:val="24"/>
        </w:rPr>
        <w:br/>
        <w:t>(%)</w:t>
      </w:r>
    </w:p>
    <w:p w:rsidR="00BE473A" w:rsidRPr="00BE473A" w:rsidRDefault="00BE473A" w:rsidP="00BE473A">
      <w:pPr>
        <w:shd w:val="clear" w:color="auto" w:fill="FFFFFF"/>
        <w:spacing w:line="240" w:lineRule="auto"/>
        <w:jc w:val="both"/>
        <w:rPr>
          <w:rFonts w:ascii="Times New Roman" w:hAnsi="Times New Roman" w:cs="Times New Roman"/>
          <w:sz w:val="24"/>
          <w:szCs w:val="24"/>
        </w:rPr>
      </w:pPr>
      <w:r w:rsidRPr="004A32E8">
        <w:rPr>
          <w:rFonts w:ascii="Times New Roman" w:hAnsi="Times New Roman" w:cs="Times New Roman"/>
          <w:i/>
          <w:iCs/>
          <w:color w:val="333333"/>
          <w:sz w:val="24"/>
          <w:szCs w:val="24"/>
        </w:rPr>
        <w:t>Fuente:</w:t>
      </w:r>
      <w:r w:rsidRPr="004A32E8">
        <w:rPr>
          <w:rFonts w:ascii="Times New Roman" w:hAnsi="Times New Roman" w:cs="Times New Roman"/>
          <w:color w:val="333333"/>
          <w:sz w:val="24"/>
          <w:szCs w:val="24"/>
        </w:rPr>
        <w:t> Eurostat </w:t>
      </w:r>
      <w:hyperlink r:id="rId111" w:tgtFrame="_blank" w:history="1">
        <w:r w:rsidRPr="00BE473A">
          <w:rPr>
            <w:rStyle w:val="Hipervnculo"/>
            <w:rFonts w:ascii="Times New Roman" w:hAnsi="Times New Roman" w:cs="Times New Roman"/>
            <w:color w:val="auto"/>
            <w:sz w:val="24"/>
            <w:szCs w:val="24"/>
          </w:rPr>
          <w:t>(yth_empl_010)</w:t>
        </w:r>
      </w:hyperlink>
    </w:p>
    <w:p w:rsidR="00BE473A" w:rsidRPr="004A32E8" w:rsidRDefault="00BE473A" w:rsidP="00BE473A">
      <w:pPr>
        <w:pStyle w:val="NormalWeb"/>
        <w:shd w:val="clear" w:color="auto" w:fill="FFFFFF"/>
        <w:spacing w:before="0" w:beforeAutospacing="0" w:after="105" w:afterAutospacing="0"/>
        <w:jc w:val="both"/>
        <w:rPr>
          <w:color w:val="333333"/>
        </w:rPr>
      </w:pPr>
      <w:r w:rsidRPr="004A32E8">
        <w:rPr>
          <w:b/>
          <w:bCs/>
          <w:color w:val="333333"/>
        </w:rPr>
        <w:t>Contratos de trabajo temporales</w:t>
      </w:r>
      <w:r>
        <w:rPr>
          <w:b/>
          <w:bCs/>
          <w:color w:val="333333"/>
        </w:rPr>
        <w:t>,</w:t>
      </w:r>
      <w:r w:rsidRPr="004A32E8">
        <w:rPr>
          <w:b/>
          <w:bCs/>
          <w:color w:val="333333"/>
        </w:rPr>
        <w:t xml:space="preserve"> y a tiempo parcial</w:t>
      </w:r>
    </w:p>
    <w:p w:rsidR="00BE473A" w:rsidRPr="004A32E8" w:rsidRDefault="00BE473A" w:rsidP="00BE473A">
      <w:pPr>
        <w:pStyle w:val="NormalWeb"/>
        <w:shd w:val="clear" w:color="auto" w:fill="FFFFFF"/>
        <w:spacing w:before="0" w:beforeAutospacing="0" w:after="105" w:afterAutospacing="0"/>
        <w:jc w:val="both"/>
        <w:rPr>
          <w:color w:val="333333"/>
        </w:rPr>
      </w:pPr>
      <w:r w:rsidRPr="004A32E8">
        <w:rPr>
          <w:color w:val="333333"/>
        </w:rPr>
        <w:t>Los contratos de trabajo temporal son bastante comunes entre los jóvenes que ingresan al mercado laboral. Estos tipos de contrato, que a menudo incluyen empleo estacional, permiten a los empleadores adaptarse a los cambios en sus necesidades de mano de obra. Hay alguna evidencia que sugiere que los jóvenes que no tienen trabajo tienen más probabilidades de aceptar este tipo de contrato. Además, los empleadores pueden utilizar contratos de trabajo temporal para evaluar las capacidades de los nuevos empleados antes de ofrecerles un puesto permanente.</w:t>
      </w:r>
    </w:p>
    <w:p w:rsidR="00BE473A" w:rsidRPr="004A32E8" w:rsidRDefault="00BE473A" w:rsidP="00BE473A">
      <w:pPr>
        <w:pStyle w:val="NormalWeb"/>
        <w:shd w:val="clear" w:color="auto" w:fill="FFFFFF"/>
        <w:spacing w:before="0" w:beforeAutospacing="0" w:after="105" w:afterAutospacing="0"/>
        <w:jc w:val="both"/>
        <w:rPr>
          <w:color w:val="333333"/>
        </w:rPr>
      </w:pPr>
      <w:r w:rsidRPr="004A32E8">
        <w:rPr>
          <w:color w:val="333333"/>
        </w:rPr>
        <w:t>Como se muestra en el gráfico 15, una proporción relativamente alta de jóvenes trabajaba con un contrato de trabajo temporal: en 2019, casi la mitad (49,8 %) de los empleados jóvenes de entre 15 y 24 años en la EU-27 tenían dicho contrato, que era aproximadamente el doble de la proporción correspondiente (24,6 %) entre los jóvenes de 25 a 29 años. Este patrón de una mayor proporción de empleados temporales para el grupo de edad más joven se repitió en cada uno de los Estados miembros de la UE para los que se dispone de datos.</w:t>
      </w:r>
    </w:p>
    <w:p w:rsidR="00BE473A" w:rsidRPr="004A32E8" w:rsidRDefault="00BE473A" w:rsidP="00BE473A">
      <w:pPr>
        <w:pStyle w:val="NormalWeb"/>
        <w:shd w:val="clear" w:color="auto" w:fill="FFFFFF"/>
        <w:spacing w:before="0" w:beforeAutospacing="0" w:after="105" w:afterAutospacing="0"/>
        <w:jc w:val="both"/>
        <w:rPr>
          <w:color w:val="333333"/>
        </w:rPr>
      </w:pPr>
      <w:r w:rsidRPr="004A32E8">
        <w:rPr>
          <w:color w:val="333333"/>
        </w:rPr>
        <w:t xml:space="preserve">Sin embargo, hubo diferencias sustanciales entre los Estados miembros de la UE: las tasas de empleados jóvenes (ambos grupos de edad) que trabajaron con contratos de trabajo temporales en 2019 fueron más altas en España, Portugal, Italia, Polonia, los Países Bajos, Croacia y Eslovenia. España tenía la tasa más alta para ambos grupos de edad, ya que el 69,5 % de los empleados jóvenes de 15 a 24 años tenían un contrato temporal, mientras que la proporción entre los empleados jóvenes de 25 a 29 años estaba justo por debajo de la mitad (46,7 %). En el otro extremo del espectro, Hungría, Bulgaria, Rumanía y los Estados miembros bálticos se encontraban entre los Estados miembros con las tasas de empleo </w:t>
      </w:r>
      <w:r w:rsidRPr="004A32E8">
        <w:rPr>
          <w:color w:val="333333"/>
        </w:rPr>
        <w:lastRenderedPageBreak/>
        <w:t>temporal más bajas en ambos grupos de edad (tenga en cuenta que no hay información disponible para Lituania para empleado</w:t>
      </w:r>
      <w:r>
        <w:rPr>
          <w:color w:val="333333"/>
        </w:rPr>
        <w:t>s jóvenes de 25 a 29 años</w:t>
      </w:r>
      <w:r w:rsidRPr="004A32E8">
        <w:rPr>
          <w:color w:val="333333"/>
        </w:rPr>
        <w:t>). En Rumanía, solo el 5,6 % de los empleados de 15 a 24 años y el 2,8 % de los empleados de 25 a 29 años tenían un contrato temporal.</w:t>
      </w:r>
    </w:p>
    <w:p w:rsidR="00BE473A" w:rsidRPr="004A32E8" w:rsidRDefault="00BE473A" w:rsidP="00BE473A">
      <w:pPr>
        <w:shd w:val="clear" w:color="auto" w:fill="FFFFFF"/>
        <w:spacing w:line="240" w:lineRule="auto"/>
        <w:jc w:val="both"/>
        <w:rPr>
          <w:rFonts w:ascii="Times New Roman" w:hAnsi="Times New Roman" w:cs="Times New Roman"/>
          <w:color w:val="333333"/>
          <w:sz w:val="24"/>
          <w:szCs w:val="24"/>
        </w:rPr>
      </w:pPr>
      <w:r w:rsidRPr="004A32E8">
        <w:rPr>
          <w:rFonts w:ascii="Times New Roman" w:hAnsi="Times New Roman" w:cs="Times New Roman"/>
          <w:noProof/>
          <w:color w:val="0651C1"/>
          <w:sz w:val="24"/>
          <w:szCs w:val="24"/>
          <w:lang w:val="en-GB" w:eastAsia="zh-CN"/>
        </w:rPr>
        <w:drawing>
          <wp:inline distT="0" distB="0" distL="0" distR="0">
            <wp:extent cx="4762500" cy="2857500"/>
            <wp:effectExtent l="0" t="0" r="0" b="0"/>
            <wp:docPr id="119" name="Imagen 119" descr="https://ec.europa.eu/eurostat/statistics-explained/images/thumb/2/27/Young_employees_who_had_a_temporary_contract%2C_by_age%2C_2019_%28%25%29_BYIE20.png/500px-Young_employees_who_had_a_temporary_contract%2C_by_age%2C_2019_%28%25%29_BYIE20.png">
              <a:hlinkClick xmlns:a="http://schemas.openxmlformats.org/drawingml/2006/main" r:id="rId11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ec.europa.eu/eurostat/statistics-explained/images/thumb/2/27/Young_employees_who_had_a_temporary_contract%2C_by_age%2C_2019_%28%25%29_BYIE20.png/500px-Young_employees_who_had_a_temporary_contract%2C_by_age%2C_2019_%28%25%29_BYIE20.png">
                      <a:hlinkClick r:id="rId112"/>
                    </pic:cNvPr>
                    <pic:cNvPicPr>
                      <a:picLocks noChangeAspect="1" noChangeArrowheads="1"/>
                    </pic:cNvPicPr>
                  </pic:nvPicPr>
                  <pic:blipFill>
                    <a:blip r:embed="rId11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762500" cy="2857500"/>
                    </a:xfrm>
                    <a:prstGeom prst="rect">
                      <a:avLst/>
                    </a:prstGeom>
                    <a:noFill/>
                    <a:ln>
                      <a:noFill/>
                    </a:ln>
                  </pic:spPr>
                </pic:pic>
              </a:graphicData>
            </a:graphic>
          </wp:inline>
        </w:drawing>
      </w:r>
    </w:p>
    <w:p w:rsidR="00BE473A" w:rsidRDefault="00BE473A" w:rsidP="00BE473A">
      <w:pPr>
        <w:shd w:val="clear" w:color="auto" w:fill="FFFFFF"/>
        <w:spacing w:line="240" w:lineRule="auto"/>
        <w:jc w:val="both"/>
        <w:rPr>
          <w:rFonts w:ascii="Times New Roman" w:hAnsi="Times New Roman" w:cs="Times New Roman"/>
          <w:color w:val="333333"/>
          <w:sz w:val="24"/>
          <w:szCs w:val="24"/>
        </w:rPr>
      </w:pPr>
      <w:r w:rsidRPr="004A32E8">
        <w:rPr>
          <w:rFonts w:ascii="Times New Roman" w:hAnsi="Times New Roman" w:cs="Times New Roman"/>
          <w:color w:val="333333"/>
          <w:sz w:val="24"/>
          <w:szCs w:val="24"/>
        </w:rPr>
        <w:t>Gráfico 15: Empleados jóvenes que tenían contrato temporal, por edad, 2019</w:t>
      </w:r>
      <w:r>
        <w:rPr>
          <w:rFonts w:ascii="Times New Roman" w:hAnsi="Times New Roman" w:cs="Times New Roman"/>
          <w:color w:val="333333"/>
          <w:sz w:val="24"/>
          <w:szCs w:val="24"/>
        </w:rPr>
        <w:t xml:space="preserve"> (%)</w:t>
      </w:r>
    </w:p>
    <w:p w:rsidR="00BE473A" w:rsidRPr="00BE473A" w:rsidRDefault="00BE473A" w:rsidP="00BE473A">
      <w:pPr>
        <w:shd w:val="clear" w:color="auto" w:fill="FFFFFF"/>
        <w:spacing w:line="240" w:lineRule="auto"/>
        <w:jc w:val="both"/>
        <w:rPr>
          <w:rFonts w:ascii="Times New Roman" w:hAnsi="Times New Roman" w:cs="Times New Roman"/>
          <w:sz w:val="24"/>
          <w:szCs w:val="24"/>
        </w:rPr>
      </w:pPr>
      <w:r w:rsidRPr="004A32E8">
        <w:rPr>
          <w:rFonts w:ascii="Times New Roman" w:hAnsi="Times New Roman" w:cs="Times New Roman"/>
          <w:i/>
          <w:iCs/>
          <w:color w:val="333333"/>
          <w:sz w:val="24"/>
          <w:szCs w:val="24"/>
        </w:rPr>
        <w:t>Fuente:</w:t>
      </w:r>
      <w:r w:rsidRPr="004A32E8">
        <w:rPr>
          <w:rFonts w:ascii="Times New Roman" w:hAnsi="Times New Roman" w:cs="Times New Roman"/>
          <w:color w:val="333333"/>
          <w:sz w:val="24"/>
          <w:szCs w:val="24"/>
        </w:rPr>
        <w:t> Eurostat </w:t>
      </w:r>
      <w:hyperlink r:id="rId114" w:tgtFrame="_blank" w:history="1">
        <w:r w:rsidRPr="00BE473A">
          <w:rPr>
            <w:rStyle w:val="Hipervnculo"/>
            <w:rFonts w:ascii="Times New Roman" w:hAnsi="Times New Roman" w:cs="Times New Roman"/>
            <w:color w:val="auto"/>
            <w:sz w:val="24"/>
            <w:szCs w:val="24"/>
          </w:rPr>
          <w:t>(yth_empl_050)</w:t>
        </w:r>
      </w:hyperlink>
    </w:p>
    <w:p w:rsidR="00BE473A" w:rsidRDefault="00BE473A" w:rsidP="00BE473A">
      <w:pPr>
        <w:pStyle w:val="NormalWeb"/>
        <w:shd w:val="clear" w:color="auto" w:fill="FFFFFF"/>
        <w:spacing w:before="0" w:beforeAutospacing="0" w:after="105" w:afterAutospacing="0"/>
        <w:jc w:val="both"/>
        <w:rPr>
          <w:color w:val="333333"/>
        </w:rPr>
      </w:pPr>
      <w:r w:rsidRPr="004A32E8">
        <w:rPr>
          <w:color w:val="333333"/>
        </w:rPr>
        <w:t>Para muchos jóvenes, el trabajo a tiempo parcial puede ser una buena forma de combinar educación y empleo; sin embargo, el trabajo a tiempo parcial también puede ser utilizado por jóvenes que deseen encontrar un equilibrio entre el trabajo y la vida privada (especialmente para aquellos que están formando una familia). Al igual que ocurre con el trabajo temporal, el trabajo a tiempo parcial estaba más generalizado entre los grupos de edad más jóvenes. El porcentaje de jóvenes de entre 15 y 24 años que trabajan a tiempo parcial en la UE-27 aumentó casi todos los años durante el último período de 10 años del que se dispone de datos (véase la figura 16). La proporción de jóvenes de 15 a 24 años que trabajan a tiempo parcial aumentó a un ritmo relativamente rápido durante la crisis financiera y económica mundial y luego siguió aumentando, pero a un ritmo más lento. En 2019, la proporción de jóvenes empleados de entre 15 y 24 años que trabajaban a tiempo parcial en la EU-27 se situó en algo menos de un tercio (31,6 %). Para los jóvenes empleados de 25 a 29 años, se observó un desarrollo similar entre 2009 y 2012, con un aumento relativamente rápido en la proporción de empleo a tiempo parcial que continuó durante tres años más, para alcanzar un máximo del 17,1 % en 2015. Desde luego, la participación ha disminuido cada año, alcanzando el 16,1 % en 2019.</w:t>
      </w:r>
    </w:p>
    <w:p w:rsidR="00BE473A" w:rsidRPr="004A32E8" w:rsidRDefault="00BE473A" w:rsidP="00BE473A">
      <w:pPr>
        <w:pStyle w:val="NormalWeb"/>
        <w:shd w:val="clear" w:color="auto" w:fill="FFFFFF"/>
        <w:spacing w:before="0" w:beforeAutospacing="0" w:after="105" w:afterAutospacing="0"/>
        <w:jc w:val="both"/>
        <w:rPr>
          <w:color w:val="333333"/>
        </w:rPr>
      </w:pPr>
      <w:r w:rsidRPr="00F7545C">
        <w:rPr>
          <w:noProof/>
          <w:color w:val="333333"/>
          <w:lang w:val="en-GB" w:eastAsia="zh-CN"/>
        </w:rPr>
        <w:lastRenderedPageBreak/>
        <w:drawing>
          <wp:inline distT="0" distB="0" distL="0" distR="0">
            <wp:extent cx="5734050" cy="2432050"/>
            <wp:effectExtent l="0" t="0" r="0" b="6350"/>
            <wp:docPr id="84" name="Imagen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5"/>
                    <a:stretch>
                      <a:fillRect/>
                    </a:stretch>
                  </pic:blipFill>
                  <pic:spPr>
                    <a:xfrm>
                      <a:off x="0" y="0"/>
                      <a:ext cx="5731510" cy="2430973"/>
                    </a:xfrm>
                    <a:prstGeom prst="rect">
                      <a:avLst/>
                    </a:prstGeom>
                  </pic:spPr>
                </pic:pic>
              </a:graphicData>
            </a:graphic>
          </wp:inline>
        </w:drawing>
      </w:r>
    </w:p>
    <w:p w:rsidR="00BE473A" w:rsidRDefault="00BE473A" w:rsidP="00BE473A">
      <w:pPr>
        <w:shd w:val="clear" w:color="auto" w:fill="FFFFFF"/>
        <w:spacing w:line="240" w:lineRule="auto"/>
        <w:jc w:val="both"/>
        <w:rPr>
          <w:rFonts w:ascii="Times New Roman" w:hAnsi="Times New Roman" w:cs="Times New Roman"/>
          <w:color w:val="333333"/>
          <w:sz w:val="24"/>
          <w:szCs w:val="24"/>
        </w:rPr>
      </w:pPr>
      <w:r w:rsidRPr="004A32E8">
        <w:rPr>
          <w:rFonts w:ascii="Times New Roman" w:hAnsi="Times New Roman" w:cs="Times New Roman"/>
          <w:color w:val="333333"/>
          <w:sz w:val="24"/>
          <w:szCs w:val="24"/>
        </w:rPr>
        <w:t>Gráfico 16: Jóvenes que trabajaban a tiempo parcial, por edad, EU-27, 2009-2019</w:t>
      </w:r>
      <w:r w:rsidRPr="004A32E8">
        <w:rPr>
          <w:rFonts w:ascii="Times New Roman" w:hAnsi="Times New Roman" w:cs="Times New Roman"/>
          <w:color w:val="333333"/>
          <w:sz w:val="24"/>
          <w:szCs w:val="24"/>
        </w:rPr>
        <w:br/>
        <w:t>(% de participación en el empleo total para cada grupo de edad)</w:t>
      </w:r>
    </w:p>
    <w:p w:rsidR="00BE473A" w:rsidRPr="00BE473A" w:rsidRDefault="00BE473A" w:rsidP="00BE473A">
      <w:pPr>
        <w:shd w:val="clear" w:color="auto" w:fill="FFFFFF"/>
        <w:spacing w:line="240" w:lineRule="auto"/>
        <w:jc w:val="both"/>
        <w:rPr>
          <w:rFonts w:ascii="Times New Roman" w:hAnsi="Times New Roman" w:cs="Times New Roman"/>
          <w:sz w:val="24"/>
          <w:szCs w:val="24"/>
        </w:rPr>
      </w:pPr>
      <w:r w:rsidRPr="004A32E8">
        <w:rPr>
          <w:rFonts w:ascii="Times New Roman" w:hAnsi="Times New Roman" w:cs="Times New Roman"/>
          <w:i/>
          <w:iCs/>
          <w:color w:val="333333"/>
          <w:sz w:val="24"/>
          <w:szCs w:val="24"/>
        </w:rPr>
        <w:t>Fuente:</w:t>
      </w:r>
      <w:r w:rsidRPr="004A32E8">
        <w:rPr>
          <w:rFonts w:ascii="Times New Roman" w:hAnsi="Times New Roman" w:cs="Times New Roman"/>
          <w:color w:val="333333"/>
          <w:sz w:val="24"/>
          <w:szCs w:val="24"/>
        </w:rPr>
        <w:t> Eurostat </w:t>
      </w:r>
      <w:hyperlink r:id="rId116" w:tgtFrame="_blank" w:history="1">
        <w:r w:rsidRPr="00BE473A">
          <w:rPr>
            <w:rStyle w:val="Hipervnculo"/>
            <w:rFonts w:ascii="Times New Roman" w:hAnsi="Times New Roman" w:cs="Times New Roman"/>
            <w:color w:val="auto"/>
            <w:sz w:val="24"/>
            <w:szCs w:val="24"/>
          </w:rPr>
          <w:t>(yth_empl_060)</w:t>
        </w:r>
      </w:hyperlink>
    </w:p>
    <w:p w:rsidR="00BE473A" w:rsidRDefault="00BE473A" w:rsidP="00BE473A">
      <w:pPr>
        <w:pStyle w:val="NormalWeb"/>
        <w:shd w:val="clear" w:color="auto" w:fill="FFFFFF"/>
        <w:spacing w:before="0" w:beforeAutospacing="0" w:after="105" w:afterAutospacing="0"/>
        <w:jc w:val="both"/>
        <w:rPr>
          <w:color w:val="333333"/>
        </w:rPr>
      </w:pPr>
      <w:r w:rsidRPr="004A32E8">
        <w:rPr>
          <w:color w:val="333333"/>
        </w:rPr>
        <w:t>En 2019, las tasas de empleo a tiempo parcial más altas para el grupo de edad de 15 a 24 años se registraron en los Países Bajos (79,7 %) y Dinamarca (63,6 %), mientras que Croacia, Bulgaria, Hungría y Eslovaquia fueron los únicos Estados miembros de la UE que registraron acciones que estaban por debajo del 10,0 % (ver Figura 17). Se observó una situación similar para los jóvenes de 25 a 29 años, ya que las tasas de empleo a tiempo parcial más altas se registraron nuevamente en los Países Bajos (41,6 %) y Dinamarca (23,5 %), aunque también se registraron tasas bastante altas en Austria (23,2 %). ), Italia (22,8 %), Alemania (20,9 %) y Suecia (20,8 %). En el otro extremo de la escala, había 14 Estados miembros en los que menos del 10,0 % de todos los jóvenes de entre 25 y 29 años trabajaban a tiempo parcial; esta proporción fue inferior al 5,0 % en Polonia, Ruma</w:t>
      </w:r>
      <w:r>
        <w:rPr>
          <w:color w:val="333333"/>
        </w:rPr>
        <w:t>nía, Lituania, Croacia, Hungría.</w:t>
      </w:r>
    </w:p>
    <w:p w:rsidR="00BE473A" w:rsidRDefault="00BE473A" w:rsidP="00BE473A">
      <w:pPr>
        <w:pStyle w:val="NormalWeb"/>
        <w:shd w:val="clear" w:color="auto" w:fill="FFFFFF"/>
        <w:spacing w:before="0" w:beforeAutospacing="0" w:after="105" w:afterAutospacing="0"/>
        <w:jc w:val="both"/>
        <w:rPr>
          <w:color w:val="333333"/>
        </w:rPr>
      </w:pPr>
      <w:r w:rsidRPr="00F7545C">
        <w:rPr>
          <w:noProof/>
          <w:color w:val="333333"/>
          <w:lang w:val="en-GB" w:eastAsia="zh-CN"/>
        </w:rPr>
        <w:drawing>
          <wp:inline distT="0" distB="0" distL="0" distR="0">
            <wp:extent cx="5732009" cy="2940050"/>
            <wp:effectExtent l="0" t="0" r="2540" b="0"/>
            <wp:docPr id="120" name="Imagen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7"/>
                    <a:stretch>
                      <a:fillRect/>
                    </a:stretch>
                  </pic:blipFill>
                  <pic:spPr>
                    <a:xfrm>
                      <a:off x="0" y="0"/>
                      <a:ext cx="5731510" cy="2939794"/>
                    </a:xfrm>
                    <a:prstGeom prst="rect">
                      <a:avLst/>
                    </a:prstGeom>
                  </pic:spPr>
                </pic:pic>
              </a:graphicData>
            </a:graphic>
          </wp:inline>
        </w:drawing>
      </w:r>
    </w:p>
    <w:p w:rsidR="00BE473A" w:rsidRDefault="00BE473A" w:rsidP="00BE473A">
      <w:pPr>
        <w:shd w:val="clear" w:color="auto" w:fill="FFFFFF"/>
        <w:spacing w:line="240" w:lineRule="auto"/>
        <w:jc w:val="both"/>
        <w:rPr>
          <w:rFonts w:ascii="Times New Roman" w:hAnsi="Times New Roman" w:cs="Times New Roman"/>
          <w:color w:val="333333"/>
          <w:sz w:val="24"/>
          <w:szCs w:val="24"/>
        </w:rPr>
      </w:pPr>
      <w:r w:rsidRPr="004A32E8">
        <w:rPr>
          <w:rFonts w:ascii="Times New Roman" w:hAnsi="Times New Roman" w:cs="Times New Roman"/>
          <w:color w:val="333333"/>
          <w:sz w:val="24"/>
          <w:szCs w:val="24"/>
        </w:rPr>
        <w:t>Gráfico 17: Jóvenes que trabajaban a tiempo parcial, por edad, 2019</w:t>
      </w:r>
      <w:r w:rsidRPr="004A32E8">
        <w:rPr>
          <w:rFonts w:ascii="Times New Roman" w:hAnsi="Times New Roman" w:cs="Times New Roman"/>
          <w:color w:val="333333"/>
          <w:sz w:val="24"/>
          <w:szCs w:val="24"/>
        </w:rPr>
        <w:br/>
        <w:t>(% de participación en el empleo total para cada grupo de edad)</w:t>
      </w:r>
    </w:p>
    <w:p w:rsidR="00BE473A" w:rsidRPr="00BE473A" w:rsidRDefault="00BE473A" w:rsidP="00BE473A">
      <w:pPr>
        <w:shd w:val="clear" w:color="auto" w:fill="FFFFFF"/>
        <w:spacing w:line="240" w:lineRule="auto"/>
        <w:jc w:val="both"/>
        <w:rPr>
          <w:rFonts w:ascii="Times New Roman" w:hAnsi="Times New Roman" w:cs="Times New Roman"/>
          <w:sz w:val="24"/>
          <w:szCs w:val="24"/>
        </w:rPr>
      </w:pPr>
      <w:r w:rsidRPr="004A32E8">
        <w:rPr>
          <w:rFonts w:ascii="Times New Roman" w:hAnsi="Times New Roman" w:cs="Times New Roman"/>
          <w:i/>
          <w:iCs/>
          <w:color w:val="333333"/>
          <w:sz w:val="24"/>
          <w:szCs w:val="24"/>
        </w:rPr>
        <w:t>Fuente:</w:t>
      </w:r>
      <w:r w:rsidRPr="004A32E8">
        <w:rPr>
          <w:rFonts w:ascii="Times New Roman" w:hAnsi="Times New Roman" w:cs="Times New Roman"/>
          <w:color w:val="333333"/>
          <w:sz w:val="24"/>
          <w:szCs w:val="24"/>
        </w:rPr>
        <w:t> Eurostat </w:t>
      </w:r>
      <w:hyperlink r:id="rId118" w:tgtFrame="_blank" w:history="1">
        <w:r w:rsidRPr="00BE473A">
          <w:rPr>
            <w:rStyle w:val="Hipervnculo"/>
            <w:rFonts w:ascii="Times New Roman" w:hAnsi="Times New Roman" w:cs="Times New Roman"/>
            <w:color w:val="auto"/>
            <w:sz w:val="24"/>
            <w:szCs w:val="24"/>
          </w:rPr>
          <w:t>(yth_empl_060)</w:t>
        </w:r>
      </w:hyperlink>
    </w:p>
    <w:p w:rsidR="00BE473A" w:rsidRDefault="00BE473A" w:rsidP="00BE473A">
      <w:pPr>
        <w:pStyle w:val="NormalWeb"/>
        <w:shd w:val="clear" w:color="auto" w:fill="FFFFFF"/>
        <w:spacing w:before="0" w:beforeAutospacing="0" w:after="105" w:afterAutospacing="0"/>
        <w:jc w:val="both"/>
        <w:rPr>
          <w:color w:val="333333"/>
        </w:rPr>
      </w:pPr>
      <w:r w:rsidRPr="004A32E8">
        <w:rPr>
          <w:color w:val="333333"/>
        </w:rPr>
        <w:lastRenderedPageBreak/>
        <w:t>De 2009 a 2019, la proporción de jóvenes de 15 a 29 años con empleo a tiempo parcial en la EU-27 que tenían un empleo a tiempo parcial involuntario disminuyó del 31,9 % al 27,0 % (véase la figura 18). La proporción de empleo a tiempo parcial involuntario cayó por un margen considerable (más de 20,0 puntos porcentuales) en Lituania (2010-2019), Croacia y Hungría, mientras que hubo reducciones de dos dígitos en otros siete Estados miembros. Por el contrario, los mayores aumentos en el empleo a tiempo parcial involuntario se registraron en algunos de los Estados miembros de la UE donde el impacto de la crisis financiera y económica mundial y la posterior crisis de la deuda soberana fue particularmente fuerte, por ejemplo</w:t>
      </w:r>
      <w:r>
        <w:rPr>
          <w:color w:val="333333"/>
        </w:rPr>
        <w:t>, en Italia (hasta 15,9 puntos)</w:t>
      </w:r>
      <w:r w:rsidRPr="004A32E8">
        <w:rPr>
          <w:color w:val="333333"/>
        </w:rPr>
        <w:t>, Grecia (10,1 puntos), España (9,2 puntos) y Chipre (4,5 puntos).</w:t>
      </w:r>
    </w:p>
    <w:p w:rsidR="00BE473A" w:rsidRPr="004A32E8" w:rsidRDefault="00BE473A" w:rsidP="00BE473A">
      <w:pPr>
        <w:pStyle w:val="NormalWeb"/>
        <w:shd w:val="clear" w:color="auto" w:fill="FFFFFF"/>
        <w:spacing w:before="0" w:beforeAutospacing="0" w:after="105" w:afterAutospacing="0"/>
        <w:jc w:val="both"/>
        <w:rPr>
          <w:color w:val="333333"/>
        </w:rPr>
      </w:pPr>
      <w:r w:rsidRPr="00F7545C">
        <w:rPr>
          <w:noProof/>
          <w:color w:val="333333"/>
          <w:lang w:val="en-GB" w:eastAsia="zh-CN"/>
        </w:rPr>
        <w:drawing>
          <wp:inline distT="0" distB="0" distL="0" distR="0">
            <wp:extent cx="5727740" cy="2921000"/>
            <wp:effectExtent l="0" t="0" r="6350" b="0"/>
            <wp:docPr id="121" name="Imagen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9"/>
                    <a:stretch>
                      <a:fillRect/>
                    </a:stretch>
                  </pic:blipFill>
                  <pic:spPr>
                    <a:xfrm>
                      <a:off x="0" y="0"/>
                      <a:ext cx="5731510" cy="2922922"/>
                    </a:xfrm>
                    <a:prstGeom prst="rect">
                      <a:avLst/>
                    </a:prstGeom>
                  </pic:spPr>
                </pic:pic>
              </a:graphicData>
            </a:graphic>
          </wp:inline>
        </w:drawing>
      </w:r>
    </w:p>
    <w:p w:rsidR="00BE473A" w:rsidRDefault="00BE473A" w:rsidP="00BE473A">
      <w:pPr>
        <w:shd w:val="clear" w:color="auto" w:fill="FFFFFF"/>
        <w:spacing w:line="240" w:lineRule="auto"/>
        <w:jc w:val="both"/>
        <w:rPr>
          <w:rFonts w:ascii="Times New Roman" w:hAnsi="Times New Roman" w:cs="Times New Roman"/>
          <w:color w:val="333333"/>
          <w:sz w:val="24"/>
          <w:szCs w:val="24"/>
        </w:rPr>
      </w:pPr>
      <w:r w:rsidRPr="004A32E8">
        <w:rPr>
          <w:rFonts w:ascii="Times New Roman" w:hAnsi="Times New Roman" w:cs="Times New Roman"/>
          <w:color w:val="333333"/>
          <w:sz w:val="24"/>
          <w:szCs w:val="24"/>
        </w:rPr>
        <w:t>Figura 18: Jóvenes de 15 a 29 años con empleo a tiempo parcial involuntario, 2009 y 2019</w:t>
      </w:r>
      <w:r w:rsidRPr="004A32E8">
        <w:rPr>
          <w:rFonts w:ascii="Times New Roman" w:hAnsi="Times New Roman" w:cs="Times New Roman"/>
          <w:color w:val="333333"/>
          <w:sz w:val="24"/>
          <w:szCs w:val="24"/>
        </w:rPr>
        <w:br/>
        <w:t>(% de jóvenes con empleo a tiempo parcial)</w:t>
      </w:r>
    </w:p>
    <w:p w:rsidR="00BE473A" w:rsidRPr="00BE473A" w:rsidRDefault="00BE473A" w:rsidP="00BE473A">
      <w:pPr>
        <w:shd w:val="clear" w:color="auto" w:fill="FFFFFF"/>
        <w:spacing w:line="240" w:lineRule="auto"/>
        <w:jc w:val="both"/>
        <w:rPr>
          <w:rFonts w:ascii="Times New Roman" w:hAnsi="Times New Roman" w:cs="Times New Roman"/>
          <w:sz w:val="24"/>
          <w:szCs w:val="24"/>
        </w:rPr>
      </w:pPr>
      <w:r w:rsidRPr="004A32E8">
        <w:rPr>
          <w:rFonts w:ascii="Times New Roman" w:hAnsi="Times New Roman" w:cs="Times New Roman"/>
          <w:i/>
          <w:iCs/>
          <w:color w:val="333333"/>
          <w:sz w:val="24"/>
          <w:szCs w:val="24"/>
        </w:rPr>
        <w:t>Fuente:</w:t>
      </w:r>
      <w:r w:rsidRPr="004A32E8">
        <w:rPr>
          <w:rFonts w:ascii="Times New Roman" w:hAnsi="Times New Roman" w:cs="Times New Roman"/>
          <w:color w:val="333333"/>
          <w:sz w:val="24"/>
          <w:szCs w:val="24"/>
        </w:rPr>
        <w:t> Eurostat </w:t>
      </w:r>
      <w:hyperlink r:id="rId120" w:tgtFrame="_blank" w:history="1">
        <w:r w:rsidRPr="00BE473A">
          <w:rPr>
            <w:rStyle w:val="Hipervnculo"/>
            <w:rFonts w:ascii="Times New Roman" w:hAnsi="Times New Roman" w:cs="Times New Roman"/>
            <w:color w:val="auto"/>
            <w:sz w:val="24"/>
            <w:szCs w:val="24"/>
          </w:rPr>
          <w:t>(yth_empl_080)</w:t>
        </w:r>
      </w:hyperlink>
    </w:p>
    <w:p w:rsidR="00BE473A" w:rsidRPr="004A32E8" w:rsidRDefault="00BE473A" w:rsidP="00BE473A">
      <w:pPr>
        <w:pStyle w:val="NormalWeb"/>
        <w:shd w:val="clear" w:color="auto" w:fill="FFFFFF"/>
        <w:spacing w:before="0" w:beforeAutospacing="0" w:after="105" w:afterAutospacing="0"/>
        <w:jc w:val="both"/>
        <w:rPr>
          <w:color w:val="333333"/>
        </w:rPr>
      </w:pPr>
      <w:r w:rsidRPr="004A32E8">
        <w:rPr>
          <w:color w:val="333333"/>
        </w:rPr>
        <w:t xml:space="preserve">En 2019, las tasas de empleo a tiempo parcial de los jóvenes de 15 a 29 años superaron el 50,0 % en cinco de los Estados miembros de la UE y fueron especialmente altas en los Estados miembros del sur de Italia, Grecia, España </w:t>
      </w:r>
      <w:r>
        <w:rPr>
          <w:color w:val="333333"/>
        </w:rPr>
        <w:t xml:space="preserve">y Chipre, así como en Rumanía. </w:t>
      </w:r>
    </w:p>
    <w:p w:rsidR="00BE473A" w:rsidRDefault="00BE473A" w:rsidP="00BE473A">
      <w:pPr>
        <w:pStyle w:val="NormalWeb"/>
        <w:shd w:val="clear" w:color="auto" w:fill="FFFFFF"/>
        <w:spacing w:before="0" w:beforeAutospacing="0" w:after="105" w:afterAutospacing="0"/>
        <w:jc w:val="both"/>
        <w:rPr>
          <w:color w:val="333333"/>
        </w:rPr>
      </w:pPr>
      <w:r w:rsidRPr="004A32E8">
        <w:rPr>
          <w:color w:val="333333"/>
        </w:rPr>
        <w:t>La prevalencia de contratos de trabajo a tiempo parcial en 2019 fue idéntica en la UE-27 entre hombres y mujeres jóvenes (véase la figura 19): la tasa de empleo a tiempo parcial para hombres y mujeres jóvenes de 15 a 29 años fue del 27,0 %. Sin embargo, hubo algunas grandes diferencias entre los sexos al observar los datos de los Estados miembros individuales de la UE. Por ejemplo, la proporción de hombres jóvenes empleados que trabajan a tiempo parcial fue 26,8 puntos porcentuales más alta que la proporción de mujeres jóvenes en Rumania. Por el contrario, las tasas de empleo a tiempo parcial de las mujeres jóvenes fueron 12,3 y 11,0 puntos más altas que las de los hombres jóvenes en Portugal y Grecia.</w:t>
      </w:r>
    </w:p>
    <w:p w:rsidR="00BE473A" w:rsidRPr="004A32E8" w:rsidRDefault="00BE473A" w:rsidP="00BE473A">
      <w:pPr>
        <w:pStyle w:val="NormalWeb"/>
        <w:shd w:val="clear" w:color="auto" w:fill="FFFFFF"/>
        <w:spacing w:before="0" w:beforeAutospacing="0" w:after="105" w:afterAutospacing="0"/>
        <w:jc w:val="both"/>
        <w:rPr>
          <w:color w:val="333333"/>
        </w:rPr>
      </w:pPr>
      <w:r w:rsidRPr="00F7545C">
        <w:rPr>
          <w:noProof/>
          <w:color w:val="333333"/>
          <w:lang w:val="en-GB" w:eastAsia="zh-CN"/>
        </w:rPr>
        <w:lastRenderedPageBreak/>
        <w:drawing>
          <wp:inline distT="0" distB="0" distL="0" distR="0">
            <wp:extent cx="5731510" cy="3938819"/>
            <wp:effectExtent l="0" t="0" r="2540" b="5080"/>
            <wp:docPr id="122" name="Imagen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1"/>
                    <a:stretch>
                      <a:fillRect/>
                    </a:stretch>
                  </pic:blipFill>
                  <pic:spPr>
                    <a:xfrm>
                      <a:off x="0" y="0"/>
                      <a:ext cx="5731510" cy="3938819"/>
                    </a:xfrm>
                    <a:prstGeom prst="rect">
                      <a:avLst/>
                    </a:prstGeom>
                  </pic:spPr>
                </pic:pic>
              </a:graphicData>
            </a:graphic>
          </wp:inline>
        </w:drawing>
      </w:r>
    </w:p>
    <w:p w:rsidR="00BE473A" w:rsidRDefault="00BE473A" w:rsidP="00BE473A">
      <w:pPr>
        <w:shd w:val="clear" w:color="auto" w:fill="FFFFFF"/>
        <w:spacing w:line="240" w:lineRule="auto"/>
        <w:jc w:val="both"/>
        <w:rPr>
          <w:rFonts w:ascii="Times New Roman" w:hAnsi="Times New Roman" w:cs="Times New Roman"/>
          <w:i/>
          <w:iCs/>
          <w:color w:val="333333"/>
          <w:sz w:val="24"/>
          <w:szCs w:val="24"/>
        </w:rPr>
      </w:pPr>
      <w:r w:rsidRPr="004A32E8">
        <w:rPr>
          <w:rFonts w:ascii="Times New Roman" w:hAnsi="Times New Roman" w:cs="Times New Roman"/>
          <w:color w:val="333333"/>
          <w:sz w:val="24"/>
          <w:szCs w:val="24"/>
        </w:rPr>
        <w:t>Figura 19: Jóvenes de 15 a 29 años que trabajaban a tiempo parcial, por sexo, 2019</w:t>
      </w:r>
      <w:r w:rsidRPr="004A32E8">
        <w:rPr>
          <w:rFonts w:ascii="Times New Roman" w:hAnsi="Times New Roman" w:cs="Times New Roman"/>
          <w:color w:val="333333"/>
          <w:sz w:val="24"/>
          <w:szCs w:val="24"/>
        </w:rPr>
        <w:br/>
        <w:t>(% de participación en el empleo total de hombres jóvenes/mujeres jóvenes/gente joven)</w:t>
      </w:r>
      <w:r w:rsidRPr="004A32E8">
        <w:rPr>
          <w:rFonts w:ascii="Times New Roman" w:hAnsi="Times New Roman" w:cs="Times New Roman"/>
          <w:color w:val="333333"/>
          <w:sz w:val="24"/>
          <w:szCs w:val="24"/>
        </w:rPr>
        <w:br/>
      </w:r>
    </w:p>
    <w:p w:rsidR="00BE473A" w:rsidRPr="00ED2942" w:rsidRDefault="00BE473A" w:rsidP="00BE473A">
      <w:pPr>
        <w:shd w:val="clear" w:color="auto" w:fill="FFFFFF"/>
        <w:spacing w:line="240" w:lineRule="auto"/>
        <w:jc w:val="both"/>
        <w:rPr>
          <w:rFonts w:ascii="Times New Roman" w:hAnsi="Times New Roman" w:cs="Times New Roman"/>
          <w:sz w:val="24"/>
          <w:szCs w:val="24"/>
        </w:rPr>
      </w:pPr>
      <w:r w:rsidRPr="004A32E8">
        <w:rPr>
          <w:rFonts w:ascii="Times New Roman" w:hAnsi="Times New Roman" w:cs="Times New Roman"/>
          <w:i/>
          <w:iCs/>
          <w:color w:val="333333"/>
          <w:sz w:val="24"/>
          <w:szCs w:val="24"/>
        </w:rPr>
        <w:t>Fuente:</w:t>
      </w:r>
      <w:r w:rsidRPr="004A32E8">
        <w:rPr>
          <w:rFonts w:ascii="Times New Roman" w:hAnsi="Times New Roman" w:cs="Times New Roman"/>
          <w:color w:val="333333"/>
          <w:sz w:val="24"/>
          <w:szCs w:val="24"/>
        </w:rPr>
        <w:t> Eurostat </w:t>
      </w:r>
      <w:hyperlink r:id="rId122" w:tgtFrame="_blank" w:history="1">
        <w:r w:rsidRPr="00BE473A">
          <w:rPr>
            <w:rStyle w:val="Hipervnculo"/>
            <w:rFonts w:ascii="Times New Roman" w:hAnsi="Times New Roman" w:cs="Times New Roman"/>
            <w:color w:val="auto"/>
            <w:sz w:val="24"/>
            <w:szCs w:val="24"/>
          </w:rPr>
          <w:t>(yth_empl_060)</w:t>
        </w:r>
      </w:hyperlink>
    </w:p>
    <w:p w:rsidR="00BE473A" w:rsidRDefault="00BE473A" w:rsidP="00BE473A">
      <w:pPr>
        <w:pStyle w:val="NormalWeb"/>
        <w:shd w:val="clear" w:color="auto" w:fill="FFFFFF"/>
        <w:spacing w:before="0" w:beforeAutospacing="0" w:after="105" w:afterAutospacing="0"/>
        <w:jc w:val="both"/>
        <w:rPr>
          <w:color w:val="333333"/>
        </w:rPr>
      </w:pPr>
      <w:r w:rsidRPr="004A32E8">
        <w:rPr>
          <w:color w:val="333333"/>
        </w:rPr>
        <w:t>Algunas de las diferencias entre hombres y mujeres jóvenes con respecto a sus tasas de empleo a tiempo parcial pueden estar relacionadas con una variedad de factores diferentes que se ilustran en la Figura 20. Muestra que en 2019, la razón principal por la que los jóvenes de 15 años 29 años para trabajar a tiempo parcial en la UE-27 era poder combinar la educación y la formación con el empleo, mientras que la segunda razón más importante era no poder encontrar un puesto a tiempo completo. Juntas, estas dos razones fueron aducidas por aproximadamente cuatro de cada cinco (80,9 %) hombres jóvenes con empleo a tiempo parcial, y por siete décimas (70,0 %) de las mujeres jóvenes con empleo a tiempo parcial. Una proporción mucho mayor (10,0 %) de mujeres jóvenes empleadas a tiempo parcial lo hicieron porque estaban cuidando niños o adultos discapacitados (por ejemplo, miembros de la familia); la proporción equivalente para los hombres jóvenes fue del 0,4 %. De manera similar, la proporción de mujeres jóvenes que trabajan a tiempo parcial debido a otras responsabilidades familiares o personales también fue mayor (3,9 % en comparación con el 2,7 % de los hombres jóvenes).</w:t>
      </w:r>
    </w:p>
    <w:p w:rsidR="00BE473A" w:rsidRPr="004A32E8" w:rsidRDefault="00BE473A" w:rsidP="00BE473A">
      <w:pPr>
        <w:pStyle w:val="NormalWeb"/>
        <w:shd w:val="clear" w:color="auto" w:fill="FFFFFF"/>
        <w:spacing w:before="0" w:beforeAutospacing="0" w:after="105" w:afterAutospacing="0"/>
        <w:jc w:val="both"/>
        <w:rPr>
          <w:color w:val="333333"/>
        </w:rPr>
      </w:pPr>
      <w:r w:rsidRPr="00A566EF">
        <w:rPr>
          <w:noProof/>
          <w:color w:val="333333"/>
          <w:lang w:val="en-GB" w:eastAsia="zh-CN"/>
        </w:rPr>
        <w:lastRenderedPageBreak/>
        <w:drawing>
          <wp:inline distT="0" distB="0" distL="0" distR="0">
            <wp:extent cx="5725534" cy="2686050"/>
            <wp:effectExtent l="0" t="0" r="8890" b="0"/>
            <wp:docPr id="89" name="Imagen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3"/>
                    <a:stretch>
                      <a:fillRect/>
                    </a:stretch>
                  </pic:blipFill>
                  <pic:spPr>
                    <a:xfrm>
                      <a:off x="0" y="0"/>
                      <a:ext cx="5731510" cy="2688854"/>
                    </a:xfrm>
                    <a:prstGeom prst="rect">
                      <a:avLst/>
                    </a:prstGeom>
                  </pic:spPr>
                </pic:pic>
              </a:graphicData>
            </a:graphic>
          </wp:inline>
        </w:drawing>
      </w:r>
    </w:p>
    <w:p w:rsidR="00BE473A" w:rsidRDefault="00BE473A" w:rsidP="00BE473A">
      <w:pPr>
        <w:shd w:val="clear" w:color="auto" w:fill="FFFFFF"/>
        <w:spacing w:line="240" w:lineRule="auto"/>
        <w:jc w:val="both"/>
        <w:rPr>
          <w:rFonts w:ascii="Times New Roman" w:hAnsi="Times New Roman" w:cs="Times New Roman"/>
          <w:color w:val="333333"/>
          <w:sz w:val="24"/>
          <w:szCs w:val="24"/>
        </w:rPr>
      </w:pPr>
      <w:r w:rsidRPr="004A32E8">
        <w:rPr>
          <w:rFonts w:ascii="Times New Roman" w:hAnsi="Times New Roman" w:cs="Times New Roman"/>
          <w:color w:val="333333"/>
          <w:sz w:val="24"/>
          <w:szCs w:val="24"/>
        </w:rPr>
        <w:t>Figura 20: Principales motivos por los que los jóvenes de 15 a 29 años tienen un empleo a tiempo parcial, por sexo, EU-27, 2019(% de hombres/mujeres jóvenes con empleo a tiempo parcial)</w:t>
      </w:r>
    </w:p>
    <w:p w:rsidR="00BE473A" w:rsidRPr="00BE473A" w:rsidRDefault="00BE473A" w:rsidP="00BE473A">
      <w:pPr>
        <w:shd w:val="clear" w:color="auto" w:fill="FFFFFF"/>
        <w:spacing w:line="240" w:lineRule="auto"/>
        <w:jc w:val="both"/>
        <w:rPr>
          <w:rFonts w:ascii="Times New Roman" w:hAnsi="Times New Roman" w:cs="Times New Roman"/>
          <w:sz w:val="24"/>
          <w:szCs w:val="24"/>
        </w:rPr>
      </w:pPr>
      <w:r w:rsidRPr="004A32E8">
        <w:rPr>
          <w:rFonts w:ascii="Times New Roman" w:hAnsi="Times New Roman" w:cs="Times New Roman"/>
          <w:i/>
          <w:iCs/>
          <w:color w:val="333333"/>
          <w:sz w:val="24"/>
          <w:szCs w:val="24"/>
        </w:rPr>
        <w:t>Fuente:</w:t>
      </w:r>
      <w:r w:rsidRPr="004A32E8">
        <w:rPr>
          <w:rFonts w:ascii="Times New Roman" w:hAnsi="Times New Roman" w:cs="Times New Roman"/>
          <w:color w:val="333333"/>
          <w:sz w:val="24"/>
          <w:szCs w:val="24"/>
        </w:rPr>
        <w:t> Eurostat </w:t>
      </w:r>
      <w:hyperlink r:id="rId124" w:tgtFrame="_blank" w:history="1">
        <w:r w:rsidRPr="00BE473A">
          <w:rPr>
            <w:rStyle w:val="Hipervnculo"/>
            <w:rFonts w:ascii="Times New Roman" w:hAnsi="Times New Roman" w:cs="Times New Roman"/>
            <w:color w:val="auto"/>
            <w:sz w:val="24"/>
            <w:szCs w:val="24"/>
          </w:rPr>
          <w:t>(yth_empl_070)</w:t>
        </w:r>
      </w:hyperlink>
    </w:p>
    <w:p w:rsidR="00BE473A" w:rsidRDefault="00BE473A" w:rsidP="00BE473A">
      <w:pPr>
        <w:pStyle w:val="NormalWeb"/>
        <w:shd w:val="clear" w:color="auto" w:fill="FFFFFF"/>
        <w:spacing w:before="0" w:beforeAutospacing="0" w:after="105" w:afterAutospacing="0"/>
        <w:jc w:val="both"/>
        <w:rPr>
          <w:color w:val="333333"/>
        </w:rPr>
      </w:pPr>
      <w:r w:rsidRPr="004A32E8">
        <w:rPr>
          <w:color w:val="333333"/>
        </w:rPr>
        <w:t>En cuanto a las principales razones para el empleo a tiempo parcial por grupo de edad, la participación en la educación o la formación (61,7 %) y la incapacidad para encontrar un trabajo a tiempo completo (22,0 %) fueron las dos razones principales por las que los jóvenes de 15 a 24 años en la UE-27 trabajaron a tiempo parcial en 2019 (ver Figura 21). Se observa un patrón algo diferente para los jóvenes de 25 a 29 años, ya que se invierte la importancia relativa de las dos razones principales: la imposibilidad de encontrar un trabajo a tiempo completo fue la principal razón aducida por el 34,7 % de las personas que trabajaban a tiempo parcial. -tiempo, mientras que estaba en la educación y la formación representaron aproximadamente una cuarta parte (24,7 %) del total, por delante de cuidar a niños o adultos discapacitados (14,1 %).</w:t>
      </w:r>
    </w:p>
    <w:p w:rsidR="00BE473A" w:rsidRPr="004A32E8" w:rsidRDefault="00BE473A" w:rsidP="00BE473A">
      <w:pPr>
        <w:pStyle w:val="NormalWeb"/>
        <w:shd w:val="clear" w:color="auto" w:fill="FFFFFF"/>
        <w:spacing w:before="0" w:beforeAutospacing="0" w:after="105" w:afterAutospacing="0"/>
        <w:jc w:val="both"/>
        <w:rPr>
          <w:color w:val="333333"/>
        </w:rPr>
      </w:pPr>
      <w:r w:rsidRPr="00A566EF">
        <w:rPr>
          <w:noProof/>
          <w:color w:val="333333"/>
          <w:lang w:val="en-GB" w:eastAsia="zh-CN"/>
        </w:rPr>
        <w:drawing>
          <wp:inline distT="0" distB="0" distL="0" distR="0">
            <wp:extent cx="5734050" cy="2673350"/>
            <wp:effectExtent l="0" t="0" r="0" b="0"/>
            <wp:docPr id="90" name="Imagen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5"/>
                    <a:stretch>
                      <a:fillRect/>
                    </a:stretch>
                  </pic:blipFill>
                  <pic:spPr>
                    <a:xfrm>
                      <a:off x="0" y="0"/>
                      <a:ext cx="5731510" cy="2672166"/>
                    </a:xfrm>
                    <a:prstGeom prst="rect">
                      <a:avLst/>
                    </a:prstGeom>
                  </pic:spPr>
                </pic:pic>
              </a:graphicData>
            </a:graphic>
          </wp:inline>
        </w:drawing>
      </w:r>
    </w:p>
    <w:p w:rsidR="00BE473A" w:rsidRPr="00BE473A" w:rsidRDefault="00BE473A" w:rsidP="00BE473A">
      <w:pPr>
        <w:shd w:val="clear" w:color="auto" w:fill="FFFFFF"/>
        <w:spacing w:line="240" w:lineRule="auto"/>
        <w:jc w:val="both"/>
        <w:rPr>
          <w:rFonts w:ascii="Times New Roman" w:hAnsi="Times New Roman" w:cs="Times New Roman"/>
          <w:sz w:val="24"/>
          <w:szCs w:val="24"/>
        </w:rPr>
      </w:pPr>
      <w:r w:rsidRPr="004A32E8">
        <w:rPr>
          <w:rFonts w:ascii="Times New Roman" w:hAnsi="Times New Roman" w:cs="Times New Roman"/>
          <w:color w:val="333333"/>
          <w:sz w:val="24"/>
          <w:szCs w:val="24"/>
        </w:rPr>
        <w:t>Figura 21: Principales motivos por los que los jóvenes trabajan a tiempo parcial, por edad, EU-27, 2019(% de jóvenes con empleo a tiempo parcial para cada grupo de edad)</w:t>
      </w:r>
      <w:r w:rsidRPr="004A32E8">
        <w:rPr>
          <w:rFonts w:ascii="Times New Roman" w:hAnsi="Times New Roman" w:cs="Times New Roman"/>
          <w:color w:val="333333"/>
          <w:sz w:val="24"/>
          <w:szCs w:val="24"/>
        </w:rPr>
        <w:br/>
      </w:r>
      <w:r w:rsidRPr="004A32E8">
        <w:rPr>
          <w:rFonts w:ascii="Times New Roman" w:hAnsi="Times New Roman" w:cs="Times New Roman"/>
          <w:i/>
          <w:iCs/>
          <w:color w:val="333333"/>
          <w:sz w:val="24"/>
          <w:szCs w:val="24"/>
        </w:rPr>
        <w:t>Fuente:</w:t>
      </w:r>
      <w:r w:rsidRPr="004A32E8">
        <w:rPr>
          <w:rFonts w:ascii="Times New Roman" w:hAnsi="Times New Roman" w:cs="Times New Roman"/>
          <w:color w:val="333333"/>
          <w:sz w:val="24"/>
          <w:szCs w:val="24"/>
        </w:rPr>
        <w:t> Eurostat </w:t>
      </w:r>
      <w:hyperlink r:id="rId126" w:tgtFrame="_blank" w:history="1">
        <w:r w:rsidRPr="00BE473A">
          <w:rPr>
            <w:rStyle w:val="Hipervnculo"/>
            <w:rFonts w:ascii="Times New Roman" w:hAnsi="Times New Roman" w:cs="Times New Roman"/>
            <w:color w:val="auto"/>
            <w:sz w:val="24"/>
            <w:szCs w:val="24"/>
          </w:rPr>
          <w:t>(yth_empl_070)</w:t>
        </w:r>
      </w:hyperlink>
    </w:p>
    <w:p w:rsidR="00BE473A" w:rsidRPr="00ED2942" w:rsidRDefault="00BE473A" w:rsidP="00BE473A">
      <w:pPr>
        <w:pStyle w:val="Ttulo3"/>
        <w:shd w:val="clear" w:color="auto" w:fill="FFFFFF"/>
        <w:spacing w:before="150" w:line="240" w:lineRule="auto"/>
        <w:jc w:val="both"/>
        <w:rPr>
          <w:rFonts w:ascii="Times New Roman" w:hAnsi="Times New Roman" w:cs="Times New Roman"/>
          <w:bCs w:val="0"/>
          <w:color w:val="auto"/>
          <w:sz w:val="24"/>
          <w:szCs w:val="24"/>
        </w:rPr>
      </w:pPr>
      <w:r w:rsidRPr="00A566EF">
        <w:rPr>
          <w:rStyle w:val="mw-headline"/>
          <w:rFonts w:ascii="Times New Roman" w:hAnsi="Times New Roman" w:cs="Times New Roman"/>
          <w:bCs w:val="0"/>
          <w:color w:val="auto"/>
          <w:sz w:val="24"/>
          <w:szCs w:val="24"/>
        </w:rPr>
        <w:lastRenderedPageBreak/>
        <w:t>Desempleo juvenil</w:t>
      </w:r>
    </w:p>
    <w:p w:rsidR="00BE473A" w:rsidRDefault="00BE473A" w:rsidP="00BE473A">
      <w:pPr>
        <w:pStyle w:val="NormalWeb"/>
        <w:shd w:val="clear" w:color="auto" w:fill="FFFFFF"/>
        <w:spacing w:before="0" w:beforeAutospacing="0" w:after="105" w:afterAutospacing="0"/>
        <w:jc w:val="both"/>
        <w:rPr>
          <w:b/>
          <w:bCs/>
          <w:i/>
          <w:iCs/>
          <w:color w:val="333333"/>
        </w:rPr>
      </w:pPr>
    </w:p>
    <w:p w:rsidR="00BE473A" w:rsidRPr="00A566EF" w:rsidRDefault="00BE473A" w:rsidP="00BE473A">
      <w:pPr>
        <w:pStyle w:val="NormalWeb"/>
        <w:shd w:val="clear" w:color="auto" w:fill="FFFFFF"/>
        <w:spacing w:before="0" w:beforeAutospacing="0" w:after="105" w:afterAutospacing="0"/>
        <w:jc w:val="both"/>
        <w:rPr>
          <w:color w:val="333333"/>
        </w:rPr>
      </w:pPr>
      <w:r w:rsidRPr="00A566EF">
        <w:rPr>
          <w:b/>
          <w:bCs/>
          <w:i/>
          <w:iCs/>
          <w:color w:val="333333"/>
        </w:rPr>
        <w:t>Los jóvenes, especialmente aquellos con calificaciones más bajas, todavía enfrentan dificultades para encontrar trabajo</w:t>
      </w:r>
    </w:p>
    <w:p w:rsidR="00BE473A" w:rsidRPr="00A566EF" w:rsidRDefault="00BE473A" w:rsidP="00BE473A">
      <w:pPr>
        <w:pStyle w:val="NormalWeb"/>
        <w:shd w:val="clear" w:color="auto" w:fill="FFFFFF"/>
        <w:spacing w:before="0" w:beforeAutospacing="0" w:after="105" w:afterAutospacing="0"/>
        <w:jc w:val="both"/>
        <w:rPr>
          <w:color w:val="333333"/>
        </w:rPr>
      </w:pPr>
      <w:r w:rsidRPr="00A566EF">
        <w:rPr>
          <w:color w:val="333333"/>
        </w:rPr>
        <w:t>La tasa de desempleo de los jóvenes aumentó a raíz de la crisis financiera y económica mundial, y las tasas de desempleo de los jóvenes aumentaron a un ritmo más rápido que el de la población en general. El principal indicador del desempleo juvenil se denomina "tasa de desempleo juvenil" y se refiere al grupo de edad de 15 a 24 años.</w:t>
      </w:r>
    </w:p>
    <w:p w:rsidR="00BE473A" w:rsidRPr="00A566EF" w:rsidRDefault="00BE473A" w:rsidP="00BE473A">
      <w:pPr>
        <w:pStyle w:val="NormalWeb"/>
        <w:shd w:val="clear" w:color="auto" w:fill="FFFFFF"/>
        <w:spacing w:before="0" w:beforeAutospacing="0" w:after="105" w:afterAutospacing="0"/>
        <w:jc w:val="both"/>
        <w:rPr>
          <w:color w:val="333333"/>
        </w:rPr>
      </w:pPr>
      <w:r w:rsidRPr="00A566EF">
        <w:rPr>
          <w:color w:val="333333"/>
        </w:rPr>
        <w:t>En 2019, el 15,1 % de la mano de obra de la EU-27 entre los jóvenes de 15 a 24 años y el 9,1 % de su mano de obra del grupo de edad de 25 a 29 años estaban desempleados (véase el gráfico 22). Las tasas de desempleo fueron más altas para el grupo de edad más joven en cada uno de los Estados miembros de la UE.</w:t>
      </w:r>
    </w:p>
    <w:p w:rsidR="00BE473A" w:rsidRPr="00A566EF" w:rsidRDefault="00BE473A" w:rsidP="00BE473A">
      <w:pPr>
        <w:pStyle w:val="NormalWeb"/>
        <w:shd w:val="clear" w:color="auto" w:fill="FFFFFF"/>
        <w:spacing w:before="0" w:beforeAutospacing="0" w:after="105" w:afterAutospacing="0"/>
        <w:jc w:val="both"/>
        <w:rPr>
          <w:color w:val="333333"/>
        </w:rPr>
      </w:pPr>
      <w:r w:rsidRPr="00A566EF">
        <w:rPr>
          <w:color w:val="333333"/>
        </w:rPr>
        <w:t>La situación de desempleo de los jóvenes de 15 a 24 años variaba considerablemente entre los Estados miembros. En 2019, las tasas de desempleo más altas se registraron en Grecia (donde más de un tercio de la población activa de entre 15 y 24 años estaba desempleada; el 35,2 %), España e Italia. Por el contrario, en el otro extremo del rango, las tasas de desempleo más bajas para el grupo de edad de 15 a 24 años se registraron en Chequia (5,6 %) y Alemania (5,8 %).</w:t>
      </w:r>
    </w:p>
    <w:p w:rsidR="00BE473A" w:rsidRDefault="00BE473A" w:rsidP="00BE473A">
      <w:pPr>
        <w:pStyle w:val="NormalWeb"/>
        <w:shd w:val="clear" w:color="auto" w:fill="FFFFFF"/>
        <w:spacing w:before="0" w:beforeAutospacing="0" w:after="105" w:afterAutospacing="0"/>
        <w:jc w:val="both"/>
        <w:rPr>
          <w:color w:val="333333"/>
        </w:rPr>
      </w:pPr>
      <w:r w:rsidRPr="00A566EF">
        <w:rPr>
          <w:color w:val="333333"/>
        </w:rPr>
        <w:t>Observar la diferencia en las tasas de desempleo entre los jóvenes de 15 a 24 años y los jóvenes de 25 a 29 años revela que las brechas más grandes generalmente se registraron en los Estados miembros de la UE caracterizados por algunas de las tasas generales de desempleo más altas. En España, la tasa de paro juvenil (jóvenes de 15 a 24 años) en 2019 fue 13,5 puntos porcentuales superior a la tasa de paro de los jóvenes de 25 a 29 años, mientras que en Suecia e Italia la diferencia fue de 12,7 y 11,6 puntos; hubo cuatro Estados miembros adicionales que registraron diferencias de dos dígitos: Rumanía, Finlandia, Portugal y Eslovaquia. Por el contrario, hubo poca diferencia entre las tasas de desempleo de estos dos grupos de edad en Dinamarca (0,8 puntos), Eslovenia (1,1 puntos) o Alemania (1,7 puntos).</w:t>
      </w:r>
    </w:p>
    <w:p w:rsidR="00BE473A" w:rsidRDefault="00BE473A" w:rsidP="00BE473A">
      <w:pPr>
        <w:pStyle w:val="NormalWeb"/>
        <w:shd w:val="clear" w:color="auto" w:fill="FFFFFF"/>
        <w:spacing w:before="0" w:beforeAutospacing="0" w:after="105" w:afterAutospacing="0"/>
        <w:jc w:val="both"/>
        <w:rPr>
          <w:color w:val="333333"/>
        </w:rPr>
      </w:pPr>
      <w:r w:rsidRPr="00A566EF">
        <w:rPr>
          <w:noProof/>
          <w:color w:val="333333"/>
          <w:lang w:val="en-GB" w:eastAsia="zh-CN"/>
        </w:rPr>
        <w:drawing>
          <wp:inline distT="0" distB="0" distL="0" distR="0">
            <wp:extent cx="5727699" cy="2895600"/>
            <wp:effectExtent l="0" t="0" r="6985" b="0"/>
            <wp:docPr id="93" name="Imagen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7"/>
                    <a:stretch>
                      <a:fillRect/>
                    </a:stretch>
                  </pic:blipFill>
                  <pic:spPr>
                    <a:xfrm>
                      <a:off x="0" y="0"/>
                      <a:ext cx="5731510" cy="2897526"/>
                    </a:xfrm>
                    <a:prstGeom prst="rect">
                      <a:avLst/>
                    </a:prstGeom>
                  </pic:spPr>
                </pic:pic>
              </a:graphicData>
            </a:graphic>
          </wp:inline>
        </w:drawing>
      </w:r>
      <w:r w:rsidRPr="00A566EF">
        <w:rPr>
          <w:color w:val="333333"/>
        </w:rPr>
        <w:t>Figura 22: Tasa de desempleo de los jóvenes, por grupo de edad, 2019</w:t>
      </w:r>
      <w:r w:rsidRPr="00A566EF">
        <w:rPr>
          <w:color w:val="333333"/>
        </w:rPr>
        <w:br/>
        <w:t>(% de participación en la fuerza laboral para cada grupo de edad)</w:t>
      </w:r>
    </w:p>
    <w:p w:rsidR="00BE473A" w:rsidRPr="00BE473A" w:rsidRDefault="00BE473A" w:rsidP="00BE473A">
      <w:pPr>
        <w:pStyle w:val="NormalWeb"/>
        <w:shd w:val="clear" w:color="auto" w:fill="FFFFFF"/>
        <w:spacing w:before="0" w:beforeAutospacing="0" w:after="105" w:afterAutospacing="0"/>
        <w:jc w:val="both"/>
      </w:pPr>
      <w:r w:rsidRPr="00A566EF">
        <w:rPr>
          <w:i/>
          <w:iCs/>
          <w:color w:val="333333"/>
        </w:rPr>
        <w:t>Fuente:</w:t>
      </w:r>
      <w:r w:rsidRPr="00A566EF">
        <w:rPr>
          <w:color w:val="333333"/>
        </w:rPr>
        <w:t> Eurostat </w:t>
      </w:r>
      <w:hyperlink r:id="rId128" w:tgtFrame="_blank" w:history="1">
        <w:r w:rsidRPr="00BE473A">
          <w:rPr>
            <w:rStyle w:val="Hipervnculo"/>
            <w:color w:val="auto"/>
          </w:rPr>
          <w:t>(yth_empl_100)</w:t>
        </w:r>
      </w:hyperlink>
    </w:p>
    <w:p w:rsidR="00BE473A" w:rsidRPr="00A566EF" w:rsidRDefault="00BE473A" w:rsidP="00BE473A">
      <w:pPr>
        <w:pStyle w:val="NormalWeb"/>
        <w:shd w:val="clear" w:color="auto" w:fill="FFFFFF"/>
        <w:spacing w:before="0" w:beforeAutospacing="0" w:after="105" w:afterAutospacing="0"/>
        <w:jc w:val="both"/>
        <w:rPr>
          <w:color w:val="333333"/>
        </w:rPr>
      </w:pPr>
      <w:r w:rsidRPr="00A566EF">
        <w:rPr>
          <w:color w:val="333333"/>
        </w:rPr>
        <w:lastRenderedPageBreak/>
        <w:t>Es importante señalar que muchos jóvenes estudian a tiempo completo y por lo tanto no están disponibles para trabajar y por lo tanto se les considera fuera de la fuerza laboral, es decir, están económicamente inactivos. Por ello, a la hora de presentar la situación laboral de los jóvenes, el principal indicador del paro, la tasa de paro juvenil, suele complementarse con la tasa de paro juvenil, que compara el número de jóvenes desempleados con la población total (y no sólo la mano de obra) de la misma edad.</w:t>
      </w:r>
    </w:p>
    <w:p w:rsidR="00BE473A" w:rsidRPr="00A566EF" w:rsidRDefault="00BE473A" w:rsidP="00BE473A">
      <w:pPr>
        <w:pStyle w:val="NormalWeb"/>
        <w:shd w:val="clear" w:color="auto" w:fill="FFFFFF"/>
        <w:spacing w:before="0" w:beforeAutospacing="0" w:after="105" w:afterAutospacing="0"/>
        <w:jc w:val="both"/>
        <w:rPr>
          <w:color w:val="333333"/>
        </w:rPr>
      </w:pPr>
      <w:r w:rsidRPr="00A566EF">
        <w:rPr>
          <w:color w:val="333333"/>
        </w:rPr>
        <w:t>La </w:t>
      </w:r>
      <w:hyperlink r:id="rId129" w:tooltip="Glosario:Tasa de desempleo juvenil" w:history="1">
        <w:r w:rsidRPr="00BE473A">
          <w:rPr>
            <w:rStyle w:val="Hipervnculo"/>
            <w:color w:val="auto"/>
            <w:u w:val="none"/>
          </w:rPr>
          <w:t>tasa de desempleo juvenil</w:t>
        </w:r>
      </w:hyperlink>
      <w:r w:rsidRPr="00ED2942">
        <w:t> </w:t>
      </w:r>
      <w:r w:rsidRPr="00A566EF">
        <w:rPr>
          <w:color w:val="333333"/>
        </w:rPr>
        <w:t>proporciona una medida alternativa para evaluar la situación del mercado laboral de los jóvenes. En 2019, la tasa de desempleo de los jóvenes de 15 a 24 años en la EU-27 se situó en el 5,9 %, mientras que la tasa correspondiente para el grupo de edad de 25 a 29 años fue del 7,5 % (véase el gráfico 23).</w:t>
      </w:r>
    </w:p>
    <w:p w:rsidR="00BE473A" w:rsidRPr="00A566EF" w:rsidRDefault="00BE473A" w:rsidP="00BE473A">
      <w:pPr>
        <w:pStyle w:val="NormalWeb"/>
        <w:shd w:val="clear" w:color="auto" w:fill="FFFFFF"/>
        <w:spacing w:before="0" w:beforeAutospacing="0" w:after="105" w:afterAutospacing="0"/>
        <w:jc w:val="both"/>
        <w:rPr>
          <w:color w:val="333333"/>
        </w:rPr>
      </w:pPr>
      <w:r w:rsidRPr="00A566EF">
        <w:rPr>
          <w:color w:val="333333"/>
        </w:rPr>
        <w:t>Una comparación entre los resultados que se muestran en las Figuras 22 y 23 revela que hubo un marcado contraste entre los resultados de la tasa de desempleo y la tasa de desempleo entre los jóvenes de 15 a 24 años. Esto puede atribuirse en gran parte a la gran cantidad de jóvenes de 15 a 24 años que permanecieron estudiando a tiempo completo y, por lo tanto, no estaban disponibles para trabajar (y no se incluyeron en el denominador utilizado para calcular la tasa de desempleo).</w:t>
      </w:r>
    </w:p>
    <w:p w:rsidR="00BE473A" w:rsidRPr="00A566EF" w:rsidRDefault="00BE473A" w:rsidP="00BE473A">
      <w:pPr>
        <w:pStyle w:val="NormalWeb"/>
        <w:shd w:val="clear" w:color="auto" w:fill="FFFFFF"/>
        <w:spacing w:before="0" w:beforeAutospacing="0" w:after="105" w:afterAutospacing="0"/>
        <w:jc w:val="both"/>
        <w:rPr>
          <w:color w:val="333333"/>
        </w:rPr>
      </w:pPr>
      <w:r w:rsidRPr="00A566EF">
        <w:rPr>
          <w:color w:val="333333"/>
        </w:rPr>
        <w:t xml:space="preserve">En 2019, las tasas de desempleo más altas para los jóvenes de 15 a 24 años se registraron en Suecia (11,1 %) y España (10,7 %), los únicos Estados miembros de la UE que informaron que al menos 1 de cada 10 jóvenes </w:t>
      </w:r>
      <w:r>
        <w:rPr>
          <w:color w:val="333333"/>
        </w:rPr>
        <w:t>de esta edad estaba desempleado</w:t>
      </w:r>
      <w:r w:rsidRPr="00A566EF">
        <w:rPr>
          <w:color w:val="333333"/>
        </w:rPr>
        <w:t>. El desempleo afectó a menos de 1 de cada 20 jóvenes de entre 15 y 24 años en 13 de los Estados miembros, con Eslovenia (2,9 %), Bulgaria (2,1 %) y Chequia (1,7 %) registrando las proporciones más bajas.</w:t>
      </w:r>
    </w:p>
    <w:p w:rsidR="00BE473A" w:rsidRPr="00A566EF" w:rsidRDefault="00BE473A" w:rsidP="00BE473A">
      <w:pPr>
        <w:pStyle w:val="NormalWeb"/>
        <w:shd w:val="clear" w:color="auto" w:fill="FFFFFF"/>
        <w:spacing w:before="0" w:beforeAutospacing="0" w:after="105" w:afterAutospacing="0"/>
        <w:jc w:val="both"/>
        <w:rPr>
          <w:color w:val="333333"/>
        </w:rPr>
      </w:pPr>
      <w:r w:rsidRPr="00A566EF">
        <w:rPr>
          <w:color w:val="333333"/>
        </w:rPr>
        <w:t>En la mayoría de los Estados miembros de la UE, la tasa de desempleo de los jóvenes de 15 a 24 años era inferior a la de los jóvenes de 25 a 29 años. En 2019, esta diferencia fue mayor, con cierto margen, en Grecia (13,8 puntos porcentuales), con un desempleo que afecta a más de una quinta parte (21,7 %) de todos los jóvenes de 25 a 29 años. La siguiente mayor diferencia (5,2 puntos) se registró en España, donde casi una sexta parte de todos los jóvenes de 25 a 29 años estaban desempleados, seguida de Italia (4,4 puntos). Estos tres Estados miembros (Grecia, España e Italia) fueron los únicos Estados miembros donde la proporción de jóvenes de 25 a 29 años que estaban desempleados en 2019 fue de dos dígitos.</w:t>
      </w:r>
    </w:p>
    <w:p w:rsidR="00BE473A" w:rsidRPr="00A566EF" w:rsidRDefault="00BE473A" w:rsidP="00BE473A">
      <w:pPr>
        <w:pStyle w:val="NormalWeb"/>
        <w:shd w:val="clear" w:color="auto" w:fill="FFFFFF"/>
        <w:spacing w:before="0" w:beforeAutospacing="0" w:after="105" w:afterAutospacing="0"/>
        <w:jc w:val="both"/>
        <w:rPr>
          <w:color w:val="333333"/>
        </w:rPr>
      </w:pPr>
      <w:r w:rsidRPr="00A566EF">
        <w:rPr>
          <w:color w:val="333333"/>
        </w:rPr>
        <w:t>Hubo ocho Estados miembros de la UE donde la tasa de desempleo de los jóvenes de 15 a 24 años en 2019 fue más alta que la tasa de jóvenes de 25 a 29 años, aunque la diferencia entre estas dos tasas fue generalmente bastante pequeña. En Suecia, más de una décima parte (11,1 %) de todos los jóvenes de 15 a 24 años estaban desempleados en 2019, 4,8 puntos porcentuales más que la tasa de desempleo de los jóvenes de 25 a 29 años (6,3 %). Se observó un patrón similar en Finlandia, donde la tasa de desempleo de los jóvenes de 15 a 24 años fue 3,6 puntos superior a la de los jóvenes de 25 a 29 años. Los Países Bajos, Malta, Estonia, Irlanda, Austria y Rumanía también tenían tasas de desempleo más altas para los jóvenes de 15 a 24 años que para los jóvenes de 25 a 29 años.</w:t>
      </w:r>
    </w:p>
    <w:p w:rsidR="00BE473A" w:rsidRPr="00A566EF" w:rsidRDefault="00BE473A" w:rsidP="00BE473A">
      <w:pPr>
        <w:shd w:val="clear" w:color="auto" w:fill="FFFFFF"/>
        <w:spacing w:line="240" w:lineRule="auto"/>
        <w:jc w:val="both"/>
        <w:rPr>
          <w:rFonts w:ascii="Times New Roman" w:hAnsi="Times New Roman" w:cs="Times New Roman"/>
          <w:color w:val="333333"/>
          <w:sz w:val="24"/>
          <w:szCs w:val="24"/>
        </w:rPr>
      </w:pPr>
      <w:r w:rsidRPr="00A566EF">
        <w:rPr>
          <w:rFonts w:ascii="Times New Roman" w:hAnsi="Times New Roman" w:cs="Times New Roman"/>
          <w:noProof/>
          <w:color w:val="0651C1"/>
          <w:sz w:val="24"/>
          <w:szCs w:val="24"/>
          <w:lang w:val="en-GB" w:eastAsia="zh-CN"/>
        </w:rPr>
        <w:lastRenderedPageBreak/>
        <w:drawing>
          <wp:inline distT="0" distB="0" distL="0" distR="0">
            <wp:extent cx="4762500" cy="2863850"/>
            <wp:effectExtent l="0" t="0" r="0" b="0"/>
            <wp:docPr id="91" name="Imagen 91" descr="https://ec.europa.eu/eurostat/statistics-explained/images/thumb/4/49/Unemployment_ratio_for_young_people%2C_by_age_group%2C_2019_%28%25%29_BYIE20.png/500px-Unemployment_ratio_for_young_people%2C_by_age_group%2C_2019_%28%25%29_BYIE20.png">
              <a:hlinkClick xmlns:a="http://schemas.openxmlformats.org/drawingml/2006/main" r:id="rId13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s://ec.europa.eu/eurostat/statistics-explained/images/thumb/4/49/Unemployment_ratio_for_young_people%2C_by_age_group%2C_2019_%28%25%29_BYIE20.png/500px-Unemployment_ratio_for_young_people%2C_by_age_group%2C_2019_%28%25%29_BYIE20.png">
                      <a:hlinkClick r:id="rId130"/>
                    </pic:cNvPr>
                    <pic:cNvPicPr>
                      <a:picLocks noChangeAspect="1" noChangeArrowheads="1"/>
                    </pic:cNvPicPr>
                  </pic:nvPicPr>
                  <pic:blipFill>
                    <a:blip r:embed="rId13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762500" cy="2863850"/>
                    </a:xfrm>
                    <a:prstGeom prst="rect">
                      <a:avLst/>
                    </a:prstGeom>
                    <a:noFill/>
                    <a:ln>
                      <a:noFill/>
                    </a:ln>
                  </pic:spPr>
                </pic:pic>
              </a:graphicData>
            </a:graphic>
          </wp:inline>
        </w:drawing>
      </w:r>
    </w:p>
    <w:p w:rsidR="00BE473A" w:rsidRDefault="00BE473A" w:rsidP="00BE473A">
      <w:pPr>
        <w:shd w:val="clear" w:color="auto" w:fill="FFFFFF"/>
        <w:spacing w:line="240" w:lineRule="auto"/>
        <w:jc w:val="both"/>
        <w:rPr>
          <w:rFonts w:ascii="Times New Roman" w:hAnsi="Times New Roman" w:cs="Times New Roman"/>
          <w:color w:val="333333"/>
          <w:sz w:val="24"/>
          <w:szCs w:val="24"/>
        </w:rPr>
      </w:pPr>
      <w:r w:rsidRPr="00A566EF">
        <w:rPr>
          <w:rFonts w:ascii="Times New Roman" w:hAnsi="Times New Roman" w:cs="Times New Roman"/>
          <w:color w:val="333333"/>
          <w:sz w:val="24"/>
          <w:szCs w:val="24"/>
        </w:rPr>
        <w:t>Figura 23: Tasa de desempleo de los jóvenes, por grupo de edad, 2019</w:t>
      </w:r>
      <w:r>
        <w:rPr>
          <w:rFonts w:ascii="Times New Roman" w:hAnsi="Times New Roman" w:cs="Times New Roman"/>
          <w:color w:val="333333"/>
          <w:sz w:val="24"/>
          <w:szCs w:val="24"/>
        </w:rPr>
        <w:t xml:space="preserve"> (%)</w:t>
      </w:r>
    </w:p>
    <w:p w:rsidR="00BE473A" w:rsidRPr="00BE473A" w:rsidRDefault="00BE473A" w:rsidP="00BE473A">
      <w:pPr>
        <w:shd w:val="clear" w:color="auto" w:fill="FFFFFF"/>
        <w:spacing w:line="240" w:lineRule="auto"/>
        <w:jc w:val="both"/>
        <w:rPr>
          <w:rFonts w:ascii="Times New Roman" w:hAnsi="Times New Roman" w:cs="Times New Roman"/>
          <w:sz w:val="24"/>
          <w:szCs w:val="24"/>
        </w:rPr>
      </w:pPr>
      <w:r w:rsidRPr="00A566EF">
        <w:rPr>
          <w:rFonts w:ascii="Times New Roman" w:hAnsi="Times New Roman" w:cs="Times New Roman"/>
          <w:i/>
          <w:iCs/>
          <w:color w:val="333333"/>
          <w:sz w:val="24"/>
          <w:szCs w:val="24"/>
        </w:rPr>
        <w:t>Fuente:</w:t>
      </w:r>
      <w:r w:rsidRPr="00A566EF">
        <w:rPr>
          <w:rFonts w:ascii="Times New Roman" w:hAnsi="Times New Roman" w:cs="Times New Roman"/>
          <w:color w:val="333333"/>
          <w:sz w:val="24"/>
          <w:szCs w:val="24"/>
        </w:rPr>
        <w:t> Eurostat </w:t>
      </w:r>
      <w:hyperlink r:id="rId132" w:tgtFrame="_blank" w:history="1">
        <w:r w:rsidRPr="00BE473A">
          <w:rPr>
            <w:rStyle w:val="Hipervnculo"/>
            <w:rFonts w:ascii="Times New Roman" w:hAnsi="Times New Roman" w:cs="Times New Roman"/>
            <w:color w:val="auto"/>
            <w:sz w:val="24"/>
            <w:szCs w:val="24"/>
          </w:rPr>
          <w:t>(yth_empl_140)</w:t>
        </w:r>
      </w:hyperlink>
    </w:p>
    <w:p w:rsidR="00BE473A" w:rsidRDefault="00BE473A" w:rsidP="00BE473A">
      <w:pPr>
        <w:pStyle w:val="NormalWeb"/>
        <w:shd w:val="clear" w:color="auto" w:fill="FFFFFF"/>
        <w:spacing w:before="0" w:beforeAutospacing="0" w:after="105" w:afterAutospacing="0"/>
        <w:jc w:val="both"/>
        <w:rPr>
          <w:color w:val="333333"/>
        </w:rPr>
      </w:pPr>
      <w:r w:rsidRPr="00A566EF">
        <w:rPr>
          <w:color w:val="333333"/>
        </w:rPr>
        <w:t>La evolución de las tasas de desempleo de los jóvenes en la UE-27 durante el período de 10 años más reciente para el que se dispone de datos (véase la figura 24) muestra claramente el impacto de la crisis financiera y económica mundial. Hubo un rápido aumento en las tasas de desempleo de los jóvenes de la EU-27 después de la crisis, ya que se registraron aumentos sucesivos entre 2009 y 2013. Las tasas de desempleo alcanzaron su punto máximo en 2013 con un 24,4 % para los jóvenes de 15 a 24 años y un % para jóvenes de 25 a 29 años. A partir de entonces, hubo seis años consecutivos de tasas descendentes, ya que la proporción de desempleados en la población activa entre los jóvenes de 15 a 24 años cayó al 15,1 % y la de los jóvenes de 25 a 29 años al 9,1 %; tenga en cuenta que estas últimas tasas fueron ligeramente más bajas que las registradas al comienzo de la crisis financiera y económica en 2008.</w:t>
      </w:r>
    </w:p>
    <w:p w:rsidR="00BE473A" w:rsidRPr="00BE473A" w:rsidRDefault="00BE473A" w:rsidP="00BE473A">
      <w:pPr>
        <w:pStyle w:val="NormalWeb"/>
        <w:shd w:val="clear" w:color="auto" w:fill="FFFFFF"/>
        <w:spacing w:before="0" w:beforeAutospacing="0" w:after="105" w:afterAutospacing="0"/>
        <w:jc w:val="both"/>
      </w:pPr>
      <w:r w:rsidRPr="00A566EF">
        <w:rPr>
          <w:noProof/>
          <w:color w:val="333333"/>
          <w:lang w:val="en-GB" w:eastAsia="zh-CN"/>
        </w:rPr>
        <w:drawing>
          <wp:inline distT="0" distB="0" distL="0" distR="0">
            <wp:extent cx="5727700" cy="2724150"/>
            <wp:effectExtent l="0" t="0" r="6350" b="0"/>
            <wp:docPr id="94" name="Imagen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3"/>
                    <a:stretch>
                      <a:fillRect/>
                    </a:stretch>
                  </pic:blipFill>
                  <pic:spPr>
                    <a:xfrm>
                      <a:off x="0" y="0"/>
                      <a:ext cx="5731510" cy="2725962"/>
                    </a:xfrm>
                    <a:prstGeom prst="rect">
                      <a:avLst/>
                    </a:prstGeom>
                  </pic:spPr>
                </pic:pic>
              </a:graphicData>
            </a:graphic>
          </wp:inline>
        </w:drawing>
      </w:r>
      <w:r w:rsidRPr="00A566EF">
        <w:rPr>
          <w:color w:val="333333"/>
        </w:rPr>
        <w:t>Figura 24: Tasa de desempleo de los jóvenes, por grupo de edad, EU-27, 2009-2019</w:t>
      </w:r>
      <w:r w:rsidRPr="00A566EF">
        <w:rPr>
          <w:color w:val="333333"/>
        </w:rPr>
        <w:br/>
        <w:t>(% de participación en la población activa para cada grupo de edad)</w:t>
      </w:r>
      <w:r w:rsidRPr="00A566EF">
        <w:rPr>
          <w:color w:val="333333"/>
        </w:rPr>
        <w:br/>
      </w:r>
      <w:r w:rsidRPr="00A566EF">
        <w:rPr>
          <w:i/>
          <w:iCs/>
          <w:color w:val="333333"/>
        </w:rPr>
        <w:t>Fuente:</w:t>
      </w:r>
      <w:r w:rsidRPr="00A566EF">
        <w:rPr>
          <w:color w:val="333333"/>
        </w:rPr>
        <w:t> Eurostat </w:t>
      </w:r>
      <w:hyperlink r:id="rId134" w:tgtFrame="_blank" w:history="1">
        <w:r w:rsidRPr="00BE473A">
          <w:rPr>
            <w:rStyle w:val="Hipervnculo"/>
            <w:color w:val="auto"/>
          </w:rPr>
          <w:t>(yth_empl_090)</w:t>
        </w:r>
      </w:hyperlink>
    </w:p>
    <w:p w:rsidR="00BE473A" w:rsidRPr="00A566EF" w:rsidRDefault="00BE473A" w:rsidP="00BE473A">
      <w:pPr>
        <w:pStyle w:val="NormalWeb"/>
        <w:shd w:val="clear" w:color="auto" w:fill="FFFFFF"/>
        <w:spacing w:before="0" w:beforeAutospacing="0" w:after="105" w:afterAutospacing="0"/>
        <w:jc w:val="both"/>
        <w:rPr>
          <w:color w:val="333333"/>
        </w:rPr>
      </w:pPr>
      <w:r w:rsidRPr="00A566EF">
        <w:rPr>
          <w:color w:val="333333"/>
        </w:rPr>
        <w:lastRenderedPageBreak/>
        <w:t>El nivel educativo es uno de los factores más importantes que pueden utilizarse para evaluar el desempleo. En la UE-27, la tasa de desempleo de los jóvenes de entre 15 y 29 años con un nivel de educación terciario fue del 8,2 % en 2019, mientras que se situó en el 10,6 % entre los jóvenes con un nivel de educación secundaria superior o postsecundaria no terciaria de educación y alcanzó un máximo del 20,8 % entre los jóvenes con un nivel máximo de educación secundaria inferior.</w:t>
      </w:r>
    </w:p>
    <w:p w:rsidR="00BE473A" w:rsidRPr="00A566EF" w:rsidRDefault="00BE473A" w:rsidP="00BE473A">
      <w:pPr>
        <w:pStyle w:val="NormalWeb"/>
        <w:shd w:val="clear" w:color="auto" w:fill="FFFFFF"/>
        <w:spacing w:before="0" w:beforeAutospacing="0" w:after="105" w:afterAutospacing="0"/>
        <w:jc w:val="both"/>
        <w:rPr>
          <w:color w:val="333333"/>
        </w:rPr>
      </w:pPr>
      <w:r w:rsidRPr="00A566EF">
        <w:rPr>
          <w:color w:val="333333"/>
        </w:rPr>
        <w:t>Este patrón se repitió en la gran mayoría de los Estados miembros de la UE en 2019, ya que Dinamarca y Croacia fueron los únicos Estados miembros donde no se registró la tasa de desempleo más baja entre los jóvenes con un nivel educativo terciario. Chipre fue el único Estado miembro donde no se registró la tasa de desempleo más alta entre los jóvenes con un nivel de educación secundaria inferior como máximo (véase el gráfico 25).</w:t>
      </w:r>
    </w:p>
    <w:p w:rsidR="00BE473A" w:rsidRPr="00A566EF" w:rsidRDefault="00BE473A" w:rsidP="00BE473A">
      <w:pPr>
        <w:pStyle w:val="NormalWeb"/>
        <w:shd w:val="clear" w:color="auto" w:fill="FFFFFF"/>
        <w:spacing w:before="0" w:beforeAutospacing="0" w:after="105" w:afterAutospacing="0"/>
        <w:jc w:val="both"/>
        <w:rPr>
          <w:color w:val="333333"/>
        </w:rPr>
      </w:pPr>
      <w:r w:rsidRPr="00A566EF">
        <w:rPr>
          <w:color w:val="333333"/>
        </w:rPr>
        <w:t>En 2019, las tasas de desempleo de los jóvenes de 15 a 29 años con un nivel de educación terciario alcanzaron un máximo del 25,1 % en Grecia, mientras que también se registraron tasas de dos dígitos en otros tres Estados miembros del sur de la UE: Italia (16,8 %), España (16,7 %) y Portugal (11,2 %), así como Croacia (14,0 %).</w:t>
      </w:r>
    </w:p>
    <w:p w:rsidR="00BE473A" w:rsidRDefault="00BE473A" w:rsidP="00BE473A">
      <w:pPr>
        <w:pStyle w:val="NormalWeb"/>
        <w:shd w:val="clear" w:color="auto" w:fill="FFFFFF"/>
        <w:spacing w:before="0" w:beforeAutospacing="0" w:after="105" w:afterAutospacing="0"/>
        <w:jc w:val="both"/>
        <w:rPr>
          <w:color w:val="333333"/>
        </w:rPr>
      </w:pPr>
      <w:r w:rsidRPr="00A566EF">
        <w:rPr>
          <w:color w:val="333333"/>
        </w:rPr>
        <w:t>Entre los jóvenes con un nivel de educación secundaria inferior como máximo, las tasas de desempleo oscilaron entre más del 40,0 % en Eslovaquia y Grecia y menos del 10,0 % en Alemania y los Países Bajos. En Eslovaquia, la tasa de desempleo de los jóvenes con un nivel de educación secundaria inferior como máximo era casi nueve veces mayor que la tasa de los jóvenes con un nivel de educación terciario. También hubo una diferencia relativamente grande en las tasas de desempleo entre estas dos subpoblaciones en Chequia y Malta, ya que las tasas de desempleo de los jóvenes con un nivel de educación secundaria inferior como máximo eran entre siete y ocho veces más altas que las de los jóvenes con un nive</w:t>
      </w:r>
      <w:r>
        <w:rPr>
          <w:color w:val="333333"/>
        </w:rPr>
        <w:t xml:space="preserve">l terciario. </w:t>
      </w:r>
    </w:p>
    <w:p w:rsidR="00BE473A" w:rsidRPr="00A566EF" w:rsidRDefault="00BE473A" w:rsidP="00BE473A">
      <w:pPr>
        <w:pStyle w:val="NormalWeb"/>
        <w:shd w:val="clear" w:color="auto" w:fill="FFFFFF"/>
        <w:spacing w:before="0" w:beforeAutospacing="0" w:after="105" w:afterAutospacing="0"/>
        <w:jc w:val="both"/>
        <w:rPr>
          <w:color w:val="333333"/>
        </w:rPr>
      </w:pPr>
      <w:r w:rsidRPr="00A566EF">
        <w:rPr>
          <w:noProof/>
          <w:color w:val="333333"/>
          <w:lang w:val="en-GB" w:eastAsia="zh-CN"/>
        </w:rPr>
        <w:drawing>
          <wp:inline distT="0" distB="0" distL="0" distR="0">
            <wp:extent cx="5734050" cy="3200400"/>
            <wp:effectExtent l="0" t="0" r="0" b="0"/>
            <wp:docPr id="95" name="Imagen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5"/>
                    <a:stretch>
                      <a:fillRect/>
                    </a:stretch>
                  </pic:blipFill>
                  <pic:spPr>
                    <a:xfrm>
                      <a:off x="0" y="0"/>
                      <a:ext cx="5731510" cy="3198982"/>
                    </a:xfrm>
                    <a:prstGeom prst="rect">
                      <a:avLst/>
                    </a:prstGeom>
                  </pic:spPr>
                </pic:pic>
              </a:graphicData>
            </a:graphic>
          </wp:inline>
        </w:drawing>
      </w:r>
    </w:p>
    <w:p w:rsidR="00BE473A" w:rsidRDefault="00BE473A" w:rsidP="00BE473A">
      <w:pPr>
        <w:shd w:val="clear" w:color="auto" w:fill="FFFFFF"/>
        <w:spacing w:line="240" w:lineRule="auto"/>
        <w:jc w:val="both"/>
        <w:rPr>
          <w:rFonts w:ascii="Times New Roman" w:hAnsi="Times New Roman" w:cs="Times New Roman"/>
          <w:color w:val="333333"/>
          <w:sz w:val="24"/>
          <w:szCs w:val="24"/>
        </w:rPr>
      </w:pPr>
      <w:r w:rsidRPr="00A566EF">
        <w:rPr>
          <w:rFonts w:ascii="Times New Roman" w:hAnsi="Times New Roman" w:cs="Times New Roman"/>
          <w:color w:val="333333"/>
          <w:sz w:val="24"/>
          <w:szCs w:val="24"/>
        </w:rPr>
        <w:t>Figura 25: Tasa de desempleo de los jóvenes de 15 a 29 años, por nivel educativo más alto, 2019(% de la población activa de jóvenes)</w:t>
      </w:r>
    </w:p>
    <w:p w:rsidR="00BE473A" w:rsidRPr="00BE473A" w:rsidRDefault="00BE473A" w:rsidP="00BE473A">
      <w:pPr>
        <w:shd w:val="clear" w:color="auto" w:fill="FFFFFF"/>
        <w:spacing w:line="240" w:lineRule="auto"/>
        <w:jc w:val="both"/>
        <w:rPr>
          <w:rFonts w:ascii="Times New Roman" w:hAnsi="Times New Roman" w:cs="Times New Roman"/>
          <w:sz w:val="24"/>
          <w:szCs w:val="24"/>
        </w:rPr>
      </w:pPr>
      <w:r w:rsidRPr="00A566EF">
        <w:rPr>
          <w:rFonts w:ascii="Times New Roman" w:hAnsi="Times New Roman" w:cs="Times New Roman"/>
          <w:i/>
          <w:iCs/>
          <w:color w:val="333333"/>
          <w:sz w:val="24"/>
          <w:szCs w:val="24"/>
        </w:rPr>
        <w:t>Fuente:</w:t>
      </w:r>
      <w:r w:rsidRPr="00A566EF">
        <w:rPr>
          <w:rFonts w:ascii="Times New Roman" w:hAnsi="Times New Roman" w:cs="Times New Roman"/>
          <w:color w:val="333333"/>
          <w:sz w:val="24"/>
          <w:szCs w:val="24"/>
        </w:rPr>
        <w:t> </w:t>
      </w:r>
      <w:r w:rsidRPr="00BE473A">
        <w:rPr>
          <w:rFonts w:ascii="Times New Roman" w:hAnsi="Times New Roman" w:cs="Times New Roman"/>
          <w:sz w:val="24"/>
          <w:szCs w:val="24"/>
        </w:rPr>
        <w:t>Eurostat </w:t>
      </w:r>
      <w:hyperlink r:id="rId136" w:tgtFrame="_blank" w:history="1">
        <w:r w:rsidRPr="00BE473A">
          <w:rPr>
            <w:rStyle w:val="Hipervnculo"/>
            <w:rFonts w:ascii="Times New Roman" w:hAnsi="Times New Roman" w:cs="Times New Roman"/>
            <w:color w:val="auto"/>
            <w:sz w:val="24"/>
            <w:szCs w:val="24"/>
          </w:rPr>
          <w:t>(yth_empl_090)</w:t>
        </w:r>
      </w:hyperlink>
    </w:p>
    <w:p w:rsidR="00BE473A" w:rsidRDefault="00BE473A" w:rsidP="00BE473A">
      <w:pPr>
        <w:shd w:val="clear" w:color="auto" w:fill="FFFFFF"/>
        <w:spacing w:line="240" w:lineRule="auto"/>
        <w:jc w:val="both"/>
        <w:rPr>
          <w:rFonts w:ascii="Times New Roman" w:hAnsi="Times New Roman" w:cs="Times New Roman"/>
          <w:color w:val="333333"/>
          <w:sz w:val="24"/>
          <w:szCs w:val="24"/>
        </w:rPr>
      </w:pPr>
    </w:p>
    <w:p w:rsidR="00BE473A" w:rsidRPr="00A566EF" w:rsidRDefault="00BE473A" w:rsidP="00BE473A">
      <w:pPr>
        <w:shd w:val="clear" w:color="auto" w:fill="FFFFFF"/>
        <w:spacing w:line="240" w:lineRule="auto"/>
        <w:jc w:val="both"/>
        <w:rPr>
          <w:rFonts w:ascii="Times New Roman" w:hAnsi="Times New Roman" w:cs="Times New Roman"/>
          <w:color w:val="333333"/>
          <w:sz w:val="24"/>
          <w:szCs w:val="24"/>
        </w:rPr>
      </w:pPr>
    </w:p>
    <w:p w:rsidR="00BE473A" w:rsidRPr="00A566EF" w:rsidRDefault="00BE473A" w:rsidP="00BE473A">
      <w:pPr>
        <w:pStyle w:val="NormalWeb"/>
        <w:shd w:val="clear" w:color="auto" w:fill="FFFFFF"/>
        <w:spacing w:before="0" w:beforeAutospacing="0" w:after="105" w:afterAutospacing="0"/>
        <w:jc w:val="both"/>
        <w:rPr>
          <w:color w:val="333333"/>
        </w:rPr>
      </w:pPr>
      <w:r w:rsidRPr="00A566EF">
        <w:rPr>
          <w:b/>
          <w:bCs/>
          <w:color w:val="333333"/>
        </w:rPr>
        <w:lastRenderedPageBreak/>
        <w:t>Desempleo de larga duración entre los jóvenes</w:t>
      </w:r>
    </w:p>
    <w:p w:rsidR="00BE473A" w:rsidRPr="00A566EF" w:rsidRDefault="00BE473A" w:rsidP="00BE473A">
      <w:pPr>
        <w:pStyle w:val="NormalWeb"/>
        <w:shd w:val="clear" w:color="auto" w:fill="FFFFFF"/>
        <w:spacing w:before="0" w:beforeAutospacing="0" w:after="105" w:afterAutospacing="0"/>
        <w:jc w:val="both"/>
        <w:rPr>
          <w:color w:val="333333"/>
        </w:rPr>
      </w:pPr>
      <w:r w:rsidRPr="00A566EF">
        <w:rPr>
          <w:color w:val="333333"/>
        </w:rPr>
        <w:t>El desempleo de larga duración es una de las principales preocupaciones de los responsables políticos de toda la UE. Aparte de su impacto financiero y social en la vida personal, el desempleo de larga duración también puede tener un efecto negativo en la cohesión social y, en última instancia, también puede obstaculizar el crecimiento económico.</w:t>
      </w:r>
    </w:p>
    <w:p w:rsidR="00BE473A" w:rsidRDefault="00BE473A" w:rsidP="00BE473A">
      <w:pPr>
        <w:pStyle w:val="NormalWeb"/>
        <w:shd w:val="clear" w:color="auto" w:fill="FFFFFF"/>
        <w:spacing w:before="0" w:beforeAutospacing="0" w:after="105" w:afterAutospacing="0"/>
        <w:jc w:val="both"/>
        <w:rPr>
          <w:color w:val="333333"/>
        </w:rPr>
      </w:pPr>
      <w:r w:rsidRPr="00A566EF">
        <w:rPr>
          <w:color w:val="333333"/>
        </w:rPr>
        <w:t>Las tasas de desempleo de larga duración de los jóvenes de la UE-27 cayeron a niveles relativamente bajos en 2008 al comienzo de la crisis financiera y económica mundial, después de lo cual aumentaron a un ritmo bastante rápido hasta 2013 o 2014 antes de que comenzaran a caer; esta evolución de las tasas de desempleo de larga duración se parece mucho a la evolución reciente de las tasas generales de desempleo entre los jóvenes. Habiendo alcanzado un máximo en 2013 con un 6,9 % para los jóvenes de 25 a 29 años y en 2014 con un 8,6 % para los jóvenes de 15 a 24 años, las tasas de desempleo de larga duración para los jóvenes en la EU-27 cayeron al 3,1 % y al 3,8 % respectivamente (ver Figura 26). Como tal, la tasa más reciente para los jóvenes de 25 a 29 años se mantuvo 0,3 puntos porcentuales más alta que en 2008, antes de que los mercados laborales sintieran el impacto de la crisis.</w:t>
      </w:r>
    </w:p>
    <w:p w:rsidR="00BE473A" w:rsidRPr="00A566EF" w:rsidRDefault="00BE473A" w:rsidP="00BE473A">
      <w:pPr>
        <w:pStyle w:val="NormalWeb"/>
        <w:shd w:val="clear" w:color="auto" w:fill="FFFFFF"/>
        <w:spacing w:before="0" w:beforeAutospacing="0" w:after="105" w:afterAutospacing="0"/>
        <w:jc w:val="both"/>
        <w:rPr>
          <w:color w:val="333333"/>
        </w:rPr>
      </w:pPr>
      <w:r w:rsidRPr="00A566EF">
        <w:rPr>
          <w:noProof/>
          <w:color w:val="333333"/>
          <w:lang w:val="en-GB" w:eastAsia="zh-CN"/>
        </w:rPr>
        <w:drawing>
          <wp:inline distT="0" distB="0" distL="0" distR="0">
            <wp:extent cx="5727958" cy="2825750"/>
            <wp:effectExtent l="0" t="0" r="6350" b="0"/>
            <wp:docPr id="96" name="Imagen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7"/>
                    <a:stretch>
                      <a:fillRect/>
                    </a:stretch>
                  </pic:blipFill>
                  <pic:spPr>
                    <a:xfrm>
                      <a:off x="0" y="0"/>
                      <a:ext cx="5731510" cy="2827502"/>
                    </a:xfrm>
                    <a:prstGeom prst="rect">
                      <a:avLst/>
                    </a:prstGeom>
                  </pic:spPr>
                </pic:pic>
              </a:graphicData>
            </a:graphic>
          </wp:inline>
        </w:drawing>
      </w:r>
    </w:p>
    <w:p w:rsidR="00BE473A" w:rsidRDefault="00BE473A" w:rsidP="00BE473A">
      <w:pPr>
        <w:shd w:val="clear" w:color="auto" w:fill="FFFFFF"/>
        <w:spacing w:line="240" w:lineRule="auto"/>
        <w:jc w:val="both"/>
        <w:rPr>
          <w:rFonts w:ascii="Times New Roman" w:hAnsi="Times New Roman" w:cs="Times New Roman"/>
          <w:color w:val="333333"/>
          <w:sz w:val="24"/>
          <w:szCs w:val="24"/>
        </w:rPr>
      </w:pPr>
      <w:r w:rsidRPr="00A566EF">
        <w:rPr>
          <w:rFonts w:ascii="Times New Roman" w:hAnsi="Times New Roman" w:cs="Times New Roman"/>
          <w:color w:val="333333"/>
          <w:sz w:val="24"/>
          <w:szCs w:val="24"/>
        </w:rPr>
        <w:t>Figura 26: Tasa de desempleo de larga duración para jóvenes, por edad, EU-27, 2009-2019</w:t>
      </w:r>
      <w:r w:rsidRPr="00A566EF">
        <w:rPr>
          <w:rFonts w:ascii="Times New Roman" w:hAnsi="Times New Roman" w:cs="Times New Roman"/>
          <w:color w:val="333333"/>
          <w:sz w:val="24"/>
          <w:szCs w:val="24"/>
        </w:rPr>
        <w:br/>
        <w:t>(% de participación en la fuerza laboral para cada grupo de edad)</w:t>
      </w:r>
    </w:p>
    <w:p w:rsidR="00BE473A" w:rsidRPr="00BE473A" w:rsidRDefault="00BE473A" w:rsidP="00BE473A">
      <w:pPr>
        <w:shd w:val="clear" w:color="auto" w:fill="FFFFFF"/>
        <w:spacing w:line="240" w:lineRule="auto"/>
        <w:jc w:val="both"/>
        <w:rPr>
          <w:rFonts w:ascii="Times New Roman" w:hAnsi="Times New Roman" w:cs="Times New Roman"/>
          <w:sz w:val="24"/>
          <w:szCs w:val="24"/>
        </w:rPr>
      </w:pPr>
      <w:r w:rsidRPr="00A566EF">
        <w:rPr>
          <w:rFonts w:ascii="Times New Roman" w:hAnsi="Times New Roman" w:cs="Times New Roman"/>
          <w:i/>
          <w:iCs/>
          <w:color w:val="333333"/>
          <w:sz w:val="24"/>
          <w:szCs w:val="24"/>
        </w:rPr>
        <w:t>Fuente:</w:t>
      </w:r>
      <w:r w:rsidRPr="00A566EF">
        <w:rPr>
          <w:rFonts w:ascii="Times New Roman" w:hAnsi="Times New Roman" w:cs="Times New Roman"/>
          <w:color w:val="333333"/>
          <w:sz w:val="24"/>
          <w:szCs w:val="24"/>
        </w:rPr>
        <w:t> Eurostat </w:t>
      </w:r>
      <w:hyperlink r:id="rId138" w:tgtFrame="_blank" w:history="1">
        <w:r w:rsidRPr="00BE473A">
          <w:rPr>
            <w:rStyle w:val="Hipervnculo"/>
            <w:rFonts w:ascii="Times New Roman" w:hAnsi="Times New Roman" w:cs="Times New Roman"/>
            <w:color w:val="auto"/>
            <w:sz w:val="24"/>
            <w:szCs w:val="24"/>
          </w:rPr>
          <w:t>(yth_empl_120)</w:t>
        </w:r>
      </w:hyperlink>
    </w:p>
    <w:p w:rsidR="00BE473A" w:rsidRDefault="00BE473A" w:rsidP="00BE473A">
      <w:pPr>
        <w:pStyle w:val="NormalWeb"/>
        <w:shd w:val="clear" w:color="auto" w:fill="FFFFFF"/>
        <w:spacing w:before="0" w:beforeAutospacing="0" w:after="105" w:afterAutospacing="0"/>
        <w:jc w:val="both"/>
        <w:rPr>
          <w:color w:val="333333"/>
        </w:rPr>
      </w:pPr>
      <w:r w:rsidRPr="00A566EF">
        <w:rPr>
          <w:color w:val="333333"/>
        </w:rPr>
        <w:t>Las tasas de desempleo de larga duración variaron considerablemente entre los Estados miembros de la UE en 2019 (véase la figura 27). Grecia e Italia se destacaron con, con mucho, las tasas de desempleo a largo plazo más altas para jóvenes de 15 a 24 años, ya que el 19,0 % y el 13,5 % de la mano de obra joven griega e italiana habían estado desempleados durante más de 12 meses. Estos dos Estados miembros también registraron las tasas de desempleo de larga duración más altas entre los jóvenes de 25 a 29 años, con un 16,2 % en Grecia y un 9,1 % en Italia. Combinando ambos grupos de edad, el desempleo de larga duración afectó a menos de 1 de cada 20 personas de 15 a 29 años en la fuerza laboral en la gran mayoría (24) de los Estados miembros en 2019: Grecia (17,1 %), Italia (10,9 %) y España (5,4 %) fueron las únicas excepciones. Por el contrario, las tasas de desempleo de larga duración de los jóvenes de 15 a 29 años fueron inferior</w:t>
      </w:r>
      <w:r>
        <w:rPr>
          <w:color w:val="333333"/>
        </w:rPr>
        <w:t>es al 1,0 % en Chequia, Estonia.</w:t>
      </w:r>
    </w:p>
    <w:p w:rsidR="00BE473A" w:rsidRPr="00A566EF" w:rsidRDefault="00BE473A" w:rsidP="00BE473A">
      <w:pPr>
        <w:pStyle w:val="NormalWeb"/>
        <w:shd w:val="clear" w:color="auto" w:fill="FFFFFF"/>
        <w:spacing w:before="0" w:beforeAutospacing="0" w:after="105" w:afterAutospacing="0"/>
        <w:jc w:val="both"/>
        <w:rPr>
          <w:color w:val="333333"/>
        </w:rPr>
      </w:pPr>
      <w:r w:rsidRPr="00077A37">
        <w:rPr>
          <w:noProof/>
          <w:color w:val="333333"/>
          <w:lang w:val="en-GB" w:eastAsia="zh-CN"/>
        </w:rPr>
        <w:lastRenderedPageBreak/>
        <w:drawing>
          <wp:inline distT="0" distB="0" distL="0" distR="0">
            <wp:extent cx="5731510" cy="3362985"/>
            <wp:effectExtent l="0" t="0" r="2540" b="8890"/>
            <wp:docPr id="97" name="Imagen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9"/>
                    <a:stretch>
                      <a:fillRect/>
                    </a:stretch>
                  </pic:blipFill>
                  <pic:spPr>
                    <a:xfrm>
                      <a:off x="0" y="0"/>
                      <a:ext cx="5731510" cy="3362985"/>
                    </a:xfrm>
                    <a:prstGeom prst="rect">
                      <a:avLst/>
                    </a:prstGeom>
                  </pic:spPr>
                </pic:pic>
              </a:graphicData>
            </a:graphic>
          </wp:inline>
        </w:drawing>
      </w:r>
    </w:p>
    <w:p w:rsidR="00BE473A" w:rsidRDefault="00BE473A" w:rsidP="00BE473A">
      <w:pPr>
        <w:shd w:val="clear" w:color="auto" w:fill="FFFFFF"/>
        <w:spacing w:line="240" w:lineRule="auto"/>
        <w:jc w:val="both"/>
        <w:rPr>
          <w:rFonts w:ascii="Times New Roman" w:hAnsi="Times New Roman" w:cs="Times New Roman"/>
          <w:color w:val="333333"/>
          <w:sz w:val="24"/>
          <w:szCs w:val="24"/>
        </w:rPr>
      </w:pPr>
      <w:r w:rsidRPr="00A566EF">
        <w:rPr>
          <w:rFonts w:ascii="Times New Roman" w:hAnsi="Times New Roman" w:cs="Times New Roman"/>
          <w:color w:val="333333"/>
          <w:sz w:val="24"/>
          <w:szCs w:val="24"/>
        </w:rPr>
        <w:t>Figura 27: Tasa de desempleo de larga duración para jóvenes, por edad, 2019</w:t>
      </w:r>
      <w:r w:rsidRPr="00A566EF">
        <w:rPr>
          <w:rFonts w:ascii="Times New Roman" w:hAnsi="Times New Roman" w:cs="Times New Roman"/>
          <w:color w:val="333333"/>
          <w:sz w:val="24"/>
          <w:szCs w:val="24"/>
        </w:rPr>
        <w:br/>
        <w:t>(% de participación en la fuerza laboral para cada grupo de edad)</w:t>
      </w:r>
    </w:p>
    <w:p w:rsidR="00BE473A" w:rsidRPr="00BE473A" w:rsidRDefault="00BE473A" w:rsidP="00BE473A">
      <w:pPr>
        <w:shd w:val="clear" w:color="auto" w:fill="FFFFFF"/>
        <w:spacing w:line="240" w:lineRule="auto"/>
        <w:jc w:val="both"/>
        <w:rPr>
          <w:rFonts w:ascii="Times New Roman" w:hAnsi="Times New Roman" w:cs="Times New Roman"/>
          <w:sz w:val="24"/>
          <w:szCs w:val="24"/>
        </w:rPr>
      </w:pPr>
      <w:r w:rsidRPr="00A566EF">
        <w:rPr>
          <w:rFonts w:ascii="Times New Roman" w:hAnsi="Times New Roman" w:cs="Times New Roman"/>
          <w:i/>
          <w:iCs/>
          <w:color w:val="333333"/>
          <w:sz w:val="24"/>
          <w:szCs w:val="24"/>
        </w:rPr>
        <w:t>Fuente:</w:t>
      </w:r>
      <w:r w:rsidRPr="00A566EF">
        <w:rPr>
          <w:rFonts w:ascii="Times New Roman" w:hAnsi="Times New Roman" w:cs="Times New Roman"/>
          <w:color w:val="333333"/>
          <w:sz w:val="24"/>
          <w:szCs w:val="24"/>
        </w:rPr>
        <w:t> Eurostat </w:t>
      </w:r>
      <w:hyperlink r:id="rId140" w:tgtFrame="_blank" w:history="1">
        <w:r w:rsidRPr="00BE473A">
          <w:rPr>
            <w:rStyle w:val="Hipervnculo"/>
            <w:rFonts w:ascii="Times New Roman" w:hAnsi="Times New Roman" w:cs="Times New Roman"/>
            <w:color w:val="auto"/>
            <w:sz w:val="24"/>
            <w:szCs w:val="24"/>
          </w:rPr>
          <w:t>(yth_empl_120)</w:t>
        </w:r>
      </w:hyperlink>
    </w:p>
    <w:p w:rsidR="00BE473A" w:rsidRPr="00ED2942" w:rsidRDefault="00BE473A" w:rsidP="00BE473A">
      <w:pPr>
        <w:pStyle w:val="Ttulo1"/>
        <w:shd w:val="clear" w:color="auto" w:fill="FFFFFF"/>
        <w:spacing w:before="0" w:beforeAutospacing="0" w:after="450" w:afterAutospacing="0"/>
        <w:jc w:val="both"/>
        <w:rPr>
          <w:iCs/>
          <w:color w:val="333333"/>
          <w:sz w:val="24"/>
          <w:szCs w:val="24"/>
        </w:rPr>
      </w:pPr>
      <w:r w:rsidRPr="00077A37">
        <w:rPr>
          <w:bCs w:val="0"/>
          <w:sz w:val="24"/>
          <w:szCs w:val="24"/>
        </w:rPr>
        <w:t>Jóvenes - inclusión social</w:t>
      </w:r>
      <w:r w:rsidRPr="00ED2942">
        <w:rPr>
          <w:b w:val="0"/>
          <w:bCs w:val="0"/>
          <w:sz w:val="24"/>
          <w:szCs w:val="24"/>
        </w:rPr>
        <w:t>(</w:t>
      </w:r>
      <w:r w:rsidRPr="00ED2942">
        <w:rPr>
          <w:b w:val="0"/>
          <w:iCs/>
          <w:color w:val="333333"/>
          <w:sz w:val="24"/>
          <w:szCs w:val="24"/>
        </w:rPr>
        <w:t>Datos extraídos en febrero de 2022)</w:t>
      </w:r>
    </w:p>
    <w:p w:rsidR="00BE473A" w:rsidRPr="00077A37" w:rsidRDefault="00BE473A" w:rsidP="00BE473A">
      <w:pPr>
        <w:pStyle w:val="Ttulo1"/>
        <w:shd w:val="clear" w:color="auto" w:fill="FFFFFF"/>
        <w:spacing w:before="0" w:beforeAutospacing="0" w:after="450" w:afterAutospacing="0"/>
        <w:jc w:val="both"/>
        <w:rPr>
          <w:bCs w:val="0"/>
          <w:i/>
          <w:sz w:val="24"/>
          <w:szCs w:val="24"/>
        </w:rPr>
      </w:pPr>
      <w:r w:rsidRPr="00077A37">
        <w:rPr>
          <w:bCs w:val="0"/>
          <w:color w:val="333333"/>
          <w:sz w:val="24"/>
          <w:szCs w:val="24"/>
        </w:rPr>
        <w:t>En 2020, la tasa de jóvenes de entre 15 y 29 años en riesgo de pobreza o exclusión social en la UE fue del 25,4 %, o 18,1 millones de jóvenes, con un riesgo ligeramente superior para las mujeres que para los hombres.</w:t>
      </w:r>
    </w:p>
    <w:p w:rsidR="00BE473A" w:rsidRPr="00077A37" w:rsidRDefault="00BE473A" w:rsidP="00BE473A">
      <w:pPr>
        <w:pStyle w:val="NormalWeb"/>
        <w:shd w:val="clear" w:color="auto" w:fill="FFFFFF"/>
        <w:spacing w:before="0" w:beforeAutospacing="0" w:after="0" w:afterAutospacing="0"/>
        <w:jc w:val="both"/>
        <w:rPr>
          <w:b/>
          <w:bCs/>
          <w:color w:val="333333"/>
        </w:rPr>
      </w:pPr>
      <w:r w:rsidRPr="00077A37">
        <w:rPr>
          <w:b/>
          <w:bCs/>
          <w:color w:val="333333"/>
        </w:rPr>
        <w:t>En 2020, a escala de la UE, los jóvenes de entre 16 y 29 años que no vivían con sus padres tenían un mayor riesgo de pobreza (25,9 %) que los que vivían con sus padres (17,8 %).</w:t>
      </w:r>
    </w:p>
    <w:p w:rsidR="00BE473A" w:rsidRPr="00077A37" w:rsidRDefault="00E55F23" w:rsidP="00BE473A">
      <w:pPr>
        <w:shd w:val="clear" w:color="auto" w:fill="FFFFFF"/>
        <w:spacing w:line="240" w:lineRule="auto"/>
        <w:jc w:val="both"/>
        <w:textAlignment w:val="top"/>
        <w:rPr>
          <w:rFonts w:ascii="Times New Roman" w:hAnsi="Times New Roman" w:cs="Times New Roman"/>
          <w:b/>
          <w:bCs/>
          <w:color w:val="333333"/>
          <w:sz w:val="24"/>
          <w:szCs w:val="24"/>
        </w:rPr>
      </w:pPr>
      <w:hyperlink r:id="rId141" w:history="1">
        <w:r w:rsidR="00BE473A" w:rsidRPr="00077A37">
          <w:rPr>
            <w:rStyle w:val="tlabel"/>
            <w:rFonts w:ascii="Times New Roman" w:hAnsi="Times New Roman" w:cs="Times New Roman"/>
            <w:b/>
            <w:bCs/>
            <w:color w:val="000000"/>
            <w:sz w:val="24"/>
            <w:szCs w:val="24"/>
            <w:bdr w:val="single" w:sz="6" w:space="1" w:color="D3DCE3" w:frame="1"/>
          </w:rPr>
          <w:t>Pío</w:t>
        </w:r>
      </w:hyperlink>
    </w:p>
    <w:p w:rsidR="00BE473A" w:rsidRPr="00077A37" w:rsidRDefault="00BE473A" w:rsidP="00BE473A">
      <w:pPr>
        <w:pStyle w:val="NormalWeb"/>
        <w:shd w:val="clear" w:color="auto" w:fill="FFFFFF"/>
        <w:spacing w:before="0" w:beforeAutospacing="0" w:after="0" w:afterAutospacing="0"/>
        <w:jc w:val="both"/>
        <w:rPr>
          <w:b/>
          <w:bCs/>
          <w:color w:val="333333"/>
        </w:rPr>
      </w:pPr>
      <w:r w:rsidRPr="00077A37">
        <w:rPr>
          <w:b/>
          <w:bCs/>
          <w:color w:val="333333"/>
        </w:rPr>
        <w:t>Entre 2015 y 2019, la tasa de privación material grave de los jóvenes de 15 a 29 años en la UE cayó del 8,4 % al 5,4 %. Sin embargo, aumentó al 6,5 % en 2020.</w:t>
      </w:r>
    </w:p>
    <w:p w:rsidR="00BE473A" w:rsidRPr="00077A37" w:rsidRDefault="00E55F23" w:rsidP="00BE473A">
      <w:pPr>
        <w:shd w:val="clear" w:color="auto" w:fill="FFFFFF"/>
        <w:spacing w:line="240" w:lineRule="auto"/>
        <w:jc w:val="both"/>
        <w:textAlignment w:val="top"/>
        <w:rPr>
          <w:rFonts w:ascii="Times New Roman" w:hAnsi="Times New Roman" w:cs="Times New Roman"/>
          <w:b/>
          <w:bCs/>
          <w:color w:val="333333"/>
          <w:sz w:val="24"/>
          <w:szCs w:val="24"/>
        </w:rPr>
      </w:pPr>
      <w:hyperlink r:id="rId142" w:history="1">
        <w:r w:rsidR="00BE473A" w:rsidRPr="00077A37">
          <w:rPr>
            <w:rStyle w:val="tlabel"/>
            <w:rFonts w:ascii="Times New Roman" w:hAnsi="Times New Roman" w:cs="Times New Roman"/>
            <w:b/>
            <w:bCs/>
            <w:color w:val="000000"/>
            <w:sz w:val="24"/>
            <w:szCs w:val="24"/>
            <w:bdr w:val="single" w:sz="6" w:space="1" w:color="D3DCE3" w:frame="1"/>
          </w:rPr>
          <w:t>Pío</w:t>
        </w:r>
      </w:hyperlink>
    </w:p>
    <w:p w:rsidR="00BE473A" w:rsidRPr="00077A37" w:rsidRDefault="00BE473A" w:rsidP="00BE473A">
      <w:pPr>
        <w:pStyle w:val="NormalWeb"/>
        <w:shd w:val="clear" w:color="auto" w:fill="FFFFFF"/>
        <w:spacing w:before="0" w:beforeAutospacing="0" w:after="0" w:afterAutospacing="0"/>
        <w:jc w:val="both"/>
        <w:rPr>
          <w:b/>
          <w:bCs/>
          <w:color w:val="333333"/>
        </w:rPr>
      </w:pPr>
      <w:r w:rsidRPr="00077A37">
        <w:rPr>
          <w:b/>
          <w:bCs/>
          <w:color w:val="333333"/>
        </w:rPr>
        <w:t>En 2020, el 9 % de las personas de entre 15 y 29 años en la UE vivían en hogares con una intensidad laboral muy baja.</w:t>
      </w:r>
    </w:p>
    <w:p w:rsidR="00BE473A" w:rsidRPr="00077A37" w:rsidRDefault="00BE473A" w:rsidP="00BE473A">
      <w:pPr>
        <w:shd w:val="clear" w:color="auto" w:fill="FFFFFF"/>
        <w:spacing w:line="240" w:lineRule="auto"/>
        <w:jc w:val="both"/>
        <w:rPr>
          <w:rFonts w:ascii="Times New Roman" w:hAnsi="Times New Roman" w:cs="Times New Roman"/>
          <w:color w:val="333333"/>
          <w:sz w:val="24"/>
          <w:szCs w:val="24"/>
          <w:lang/>
        </w:rPr>
      </w:pPr>
      <w:r w:rsidRPr="00077A37">
        <w:rPr>
          <w:rFonts w:ascii="Times New Roman" w:hAnsi="Times New Roman" w:cs="Times New Roman"/>
          <w:noProof/>
          <w:color w:val="0651C1"/>
          <w:sz w:val="24"/>
          <w:szCs w:val="24"/>
          <w:lang w:val="en-GB" w:eastAsia="zh-CN"/>
        </w:rPr>
        <w:lastRenderedPageBreak/>
        <w:drawing>
          <wp:inline distT="0" distB="0" distL="0" distR="0">
            <wp:extent cx="4762500" cy="3371850"/>
            <wp:effectExtent l="0" t="0" r="0" b="0"/>
            <wp:docPr id="98" name="Imagen 98" descr="EU-SOCIAL-INCLUSION.jpg">
              <a:hlinkClick xmlns:a="http://schemas.openxmlformats.org/drawingml/2006/main" r:id="rId14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EU-SOCIAL-INCLUSION.jpg">
                      <a:hlinkClick r:id="rId143"/>
                    </pic:cNvPr>
                    <pic:cNvPicPr>
                      <a:picLocks noChangeAspect="1" noChangeArrowheads="1"/>
                    </pic:cNvPicPr>
                  </pic:nvPicPr>
                  <pic:blipFill>
                    <a:blip r:embed="rId14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762500" cy="3371850"/>
                    </a:xfrm>
                    <a:prstGeom prst="rect">
                      <a:avLst/>
                    </a:prstGeom>
                    <a:noFill/>
                    <a:ln>
                      <a:noFill/>
                    </a:ln>
                  </pic:spPr>
                </pic:pic>
              </a:graphicData>
            </a:graphic>
          </wp:inline>
        </w:drawing>
      </w:r>
    </w:p>
    <w:p w:rsidR="00BE473A" w:rsidRPr="003137D2" w:rsidRDefault="00BE473A" w:rsidP="00BE473A">
      <w:pPr>
        <w:pStyle w:val="NormalWeb"/>
        <w:shd w:val="clear" w:color="auto" w:fill="FFFFFF"/>
        <w:spacing w:before="0" w:beforeAutospacing="0" w:after="105" w:afterAutospacing="0"/>
        <w:jc w:val="both"/>
      </w:pPr>
      <w:r w:rsidRPr="003137D2">
        <w:t>Este artículo presenta estadísticas sobre la inclusión social de los jóvenes (de 15 a 29 años, o en el caso de algunos indicadores de 16 a 29) en la </w:t>
      </w:r>
      <w:hyperlink r:id="rId145" w:history="1">
        <w:r w:rsidRPr="003137D2">
          <w:rPr>
            <w:rStyle w:val="Hipervnculo"/>
            <w:color w:val="auto"/>
            <w:u w:val="none"/>
          </w:rPr>
          <w:t>Unión Europea (UE)</w:t>
        </w:r>
      </w:hyperlink>
      <w:r w:rsidRPr="003137D2">
        <w:t> , así como en varios países de la </w:t>
      </w:r>
      <w:hyperlink r:id="rId146" w:history="1">
        <w:r w:rsidRPr="003137D2">
          <w:rPr>
            <w:rStyle w:val="Hipervnculo"/>
            <w:color w:val="auto"/>
            <w:u w:val="none"/>
          </w:rPr>
          <w:t>AELC</w:t>
        </w:r>
      </w:hyperlink>
      <w:r w:rsidRPr="003137D2">
        <w:t> y algunos países </w:t>
      </w:r>
      <w:hyperlink r:id="rId147" w:history="1">
        <w:r w:rsidRPr="003137D2">
          <w:rPr>
            <w:rStyle w:val="Hipervnculo"/>
            <w:color w:val="auto"/>
            <w:u w:val="none"/>
          </w:rPr>
          <w:t>candidatos</w:t>
        </w:r>
      </w:hyperlink>
      <w:r w:rsidRPr="003137D2">
        <w:t> . El análisis se centra en un indicador relativo a las personas </w:t>
      </w:r>
      <w:hyperlink r:id="rId148" w:history="1">
        <w:r w:rsidRPr="003137D2">
          <w:rPr>
            <w:rStyle w:val="Hipervnculo"/>
            <w:color w:val="auto"/>
            <w:u w:val="none"/>
          </w:rPr>
          <w:t>en riesgo de pobreza o exclusión social</w:t>
        </w:r>
      </w:hyperlink>
      <w:r w:rsidRPr="003137D2">
        <w:t> y sus subcomponentes: la </w:t>
      </w:r>
      <w:hyperlink r:id="rId149" w:history="1">
        <w:r w:rsidRPr="003137D2">
          <w:rPr>
            <w:rStyle w:val="Hipervnculo"/>
            <w:color w:val="auto"/>
            <w:u w:val="none"/>
          </w:rPr>
          <w:t>tasa de riesgo de pobreza</w:t>
        </w:r>
      </w:hyperlink>
      <w:r w:rsidRPr="003137D2">
        <w:t> , la </w:t>
      </w:r>
      <w:hyperlink r:id="rId150" w:history="1">
        <w:r w:rsidRPr="003137D2">
          <w:rPr>
            <w:rStyle w:val="Hipervnculo"/>
            <w:color w:val="auto"/>
            <w:u w:val="none"/>
          </w:rPr>
          <w:t>tasa de privación material y social severa</w:t>
        </w:r>
      </w:hyperlink>
      <w:r w:rsidRPr="003137D2">
        <w:t> y la proporción de </w:t>
      </w:r>
      <w:hyperlink r:id="rId151" w:history="1">
        <w:r w:rsidRPr="003137D2">
          <w:rPr>
            <w:rStyle w:val="Hipervnculo"/>
            <w:color w:val="auto"/>
            <w:u w:val="none"/>
          </w:rPr>
          <w:t>hogares con muy baja intensidad laboral</w:t>
        </w:r>
      </w:hyperlink>
      <w:r w:rsidRPr="003137D2">
        <w:t> . También proporciona información distinguiendo si los jóvenes viven con sus padres o no. También se presentan comparaciones por grupos de edad y sexo.</w:t>
      </w:r>
    </w:p>
    <w:p w:rsidR="00BE473A" w:rsidRPr="003137D2" w:rsidRDefault="00BE473A" w:rsidP="00BE473A">
      <w:pPr>
        <w:pStyle w:val="Ttulo3"/>
        <w:shd w:val="clear" w:color="auto" w:fill="FFFFFF"/>
        <w:spacing w:before="150" w:line="240" w:lineRule="auto"/>
        <w:jc w:val="both"/>
        <w:rPr>
          <w:rFonts w:ascii="Times New Roman" w:hAnsi="Times New Roman" w:cs="Times New Roman"/>
          <w:bCs w:val="0"/>
          <w:color w:val="auto"/>
          <w:sz w:val="24"/>
          <w:szCs w:val="24"/>
        </w:rPr>
      </w:pPr>
      <w:r w:rsidRPr="003137D2">
        <w:rPr>
          <w:rStyle w:val="mw-headline"/>
          <w:rFonts w:ascii="Times New Roman" w:hAnsi="Times New Roman" w:cs="Times New Roman"/>
          <w:bCs w:val="0"/>
          <w:color w:val="auto"/>
          <w:sz w:val="24"/>
          <w:szCs w:val="24"/>
        </w:rPr>
        <w:t>Viviendo con padres</w:t>
      </w:r>
    </w:p>
    <w:p w:rsidR="00BE473A" w:rsidRPr="003137D2" w:rsidRDefault="00BE473A" w:rsidP="00BE473A">
      <w:pPr>
        <w:pStyle w:val="NormalWeb"/>
        <w:shd w:val="clear" w:color="auto" w:fill="FFFFFF"/>
        <w:spacing w:before="0" w:beforeAutospacing="0" w:after="105" w:afterAutospacing="0"/>
        <w:jc w:val="both"/>
      </w:pPr>
    </w:p>
    <w:p w:rsidR="00BE473A" w:rsidRPr="003137D2" w:rsidRDefault="00BE473A" w:rsidP="00BE473A">
      <w:pPr>
        <w:pStyle w:val="NormalWeb"/>
        <w:shd w:val="clear" w:color="auto" w:fill="FFFFFF"/>
        <w:spacing w:before="0" w:beforeAutospacing="0" w:after="105" w:afterAutospacing="0"/>
        <w:jc w:val="both"/>
      </w:pPr>
      <w:r w:rsidRPr="003137D2">
        <w:t>Antes de mirar los indicadores de inclusión social, la Figura 1 presenta información básica sobre la proporción de jóvenes que viven con sus padres. En 2020, la proporción de jóvenes (entre 16 y 29 años) que vivían con sus padres era del 67,2 % en la </w:t>
      </w:r>
      <w:hyperlink r:id="rId152" w:history="1">
        <w:r w:rsidRPr="003137D2">
          <w:rPr>
            <w:rStyle w:val="Hipervnculo"/>
            <w:color w:val="auto"/>
            <w:u w:val="none"/>
          </w:rPr>
          <w:t>UE</w:t>
        </w:r>
      </w:hyperlink>
      <w:r w:rsidRPr="003137D2">
        <w:t>: para los hombres jóvenes, la proporción era del 71,6 %, mientras que para las mujeres jóvenes era del 62,7 %, una diferencia de 8,9 puntos porcentuales.</w:t>
      </w:r>
    </w:p>
    <w:p w:rsidR="00BE473A" w:rsidRPr="003137D2" w:rsidRDefault="00BE473A" w:rsidP="00BE473A">
      <w:pPr>
        <w:pStyle w:val="NormalWeb"/>
        <w:shd w:val="clear" w:color="auto" w:fill="FFFFFF"/>
        <w:spacing w:before="0" w:beforeAutospacing="0" w:after="105" w:afterAutospacing="0"/>
        <w:jc w:val="both"/>
      </w:pPr>
      <w:r w:rsidRPr="003137D2">
        <w:t>En todos los Estados miembros de la UE, la proporción de mujeres jóvenes que vivían en el hogar paterno era inferior a la de los hombres jóvenes, como puede verse en la Figura 1. Las mayores diferencias de género se observaron en Bulgaria (20,0 pp) y Eslovenia (15,9 pp), mientras que los más bajos fueron en Suecia (2,0 pp) e Irlanda (2,9 pp).</w:t>
      </w:r>
    </w:p>
    <w:p w:rsidR="00BE473A" w:rsidRPr="003137D2" w:rsidRDefault="00BE473A" w:rsidP="00BE473A">
      <w:pPr>
        <w:pStyle w:val="NormalWeb"/>
        <w:shd w:val="clear" w:color="auto" w:fill="FFFFFF"/>
        <w:spacing w:before="0" w:beforeAutospacing="0" w:after="105" w:afterAutospacing="0"/>
        <w:jc w:val="both"/>
      </w:pPr>
      <w:r w:rsidRPr="003137D2">
        <w:t>Los mayores porcentajes de hombres jóvenes que viven con sus padres se registraron en Croacia (92,7 %), Grecia (88,5 %) y Eslovaquia (87,6 %), mientras que para las mujeres jóvenes los mayores porcentajes se registraron en Croacia (86,4 %), Italia (83,8 %, datos de 2019) y Portugal (83,3 %). Los porcentajes más bajos se registraron en Dinamarca (32,0 % para hombres jóvenes y 24,8 % para mujeres jóvenes), Finlandia (41,9 % y 29,2 % respectivamente) y Suecia (42,3 % y 40,3 % respectivamente).</w:t>
      </w:r>
    </w:p>
    <w:p w:rsidR="00BE473A" w:rsidRPr="00077A37" w:rsidRDefault="00BE473A" w:rsidP="00BE473A">
      <w:pPr>
        <w:pStyle w:val="NormalWeb"/>
        <w:shd w:val="clear" w:color="auto" w:fill="FFFFFF"/>
        <w:spacing w:before="0" w:beforeAutospacing="0" w:after="105" w:afterAutospacing="0"/>
        <w:jc w:val="both"/>
        <w:rPr>
          <w:color w:val="333333"/>
        </w:rPr>
      </w:pPr>
      <w:r w:rsidRPr="00841F04">
        <w:rPr>
          <w:noProof/>
          <w:color w:val="333333"/>
          <w:lang w:val="en-GB" w:eastAsia="zh-CN"/>
        </w:rPr>
        <w:lastRenderedPageBreak/>
        <w:drawing>
          <wp:inline distT="0" distB="0" distL="0" distR="0">
            <wp:extent cx="5727700" cy="2673350"/>
            <wp:effectExtent l="0" t="0" r="6350" b="0"/>
            <wp:docPr id="101" name="Imagen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3"/>
                    <a:stretch>
                      <a:fillRect/>
                    </a:stretch>
                  </pic:blipFill>
                  <pic:spPr>
                    <a:xfrm>
                      <a:off x="0" y="0"/>
                      <a:ext cx="5731510" cy="2675128"/>
                    </a:xfrm>
                    <a:prstGeom prst="rect">
                      <a:avLst/>
                    </a:prstGeom>
                  </pic:spPr>
                </pic:pic>
              </a:graphicData>
            </a:graphic>
          </wp:inline>
        </w:drawing>
      </w:r>
    </w:p>
    <w:p w:rsidR="00BE473A" w:rsidRPr="003137D2" w:rsidRDefault="00BE473A" w:rsidP="00BE473A">
      <w:pPr>
        <w:shd w:val="clear" w:color="auto" w:fill="FFFFFF"/>
        <w:spacing w:line="240" w:lineRule="auto"/>
        <w:jc w:val="both"/>
        <w:rPr>
          <w:rFonts w:ascii="Times New Roman" w:hAnsi="Times New Roman" w:cs="Times New Roman"/>
          <w:sz w:val="24"/>
          <w:szCs w:val="24"/>
        </w:rPr>
      </w:pPr>
      <w:r w:rsidRPr="00077A37">
        <w:rPr>
          <w:rFonts w:ascii="Times New Roman" w:hAnsi="Times New Roman" w:cs="Times New Roman"/>
          <w:color w:val="333333"/>
          <w:sz w:val="24"/>
          <w:szCs w:val="24"/>
        </w:rPr>
        <w:t>Figura 1: Porcentaje de jóvenes (de 16 a 29 años) que viven con sus padres, 2020</w:t>
      </w:r>
      <w:r>
        <w:rPr>
          <w:rFonts w:ascii="Times New Roman" w:hAnsi="Times New Roman" w:cs="Times New Roman"/>
          <w:color w:val="333333"/>
          <w:sz w:val="24"/>
          <w:szCs w:val="24"/>
        </w:rPr>
        <w:t xml:space="preserve"> (%)</w:t>
      </w:r>
      <w:r w:rsidRPr="00077A37">
        <w:rPr>
          <w:rFonts w:ascii="Times New Roman" w:hAnsi="Times New Roman" w:cs="Times New Roman"/>
          <w:color w:val="333333"/>
          <w:sz w:val="24"/>
          <w:szCs w:val="24"/>
        </w:rPr>
        <w:br/>
      </w:r>
      <w:r w:rsidRPr="00315526">
        <w:rPr>
          <w:rFonts w:ascii="Times New Roman" w:hAnsi="Times New Roman" w:cs="Times New Roman"/>
          <w:i/>
          <w:color w:val="333333"/>
          <w:sz w:val="24"/>
          <w:szCs w:val="24"/>
        </w:rPr>
        <w:t>Fuente</w:t>
      </w:r>
      <w:r w:rsidRPr="00077A37">
        <w:rPr>
          <w:rFonts w:ascii="Times New Roman" w:hAnsi="Times New Roman" w:cs="Times New Roman"/>
          <w:color w:val="333333"/>
          <w:sz w:val="24"/>
          <w:szCs w:val="24"/>
        </w:rPr>
        <w:t>: Eurostat </w:t>
      </w:r>
      <w:hyperlink r:id="rId154" w:tgtFrame="_blank" w:history="1">
        <w:r w:rsidRPr="003137D2">
          <w:rPr>
            <w:rStyle w:val="Hipervnculo"/>
            <w:rFonts w:ascii="Times New Roman" w:hAnsi="Times New Roman" w:cs="Times New Roman"/>
            <w:color w:val="auto"/>
            <w:sz w:val="24"/>
            <w:szCs w:val="24"/>
          </w:rPr>
          <w:t>(ilc_lvps08)</w:t>
        </w:r>
      </w:hyperlink>
    </w:p>
    <w:p w:rsidR="00BE473A" w:rsidRDefault="00BE473A" w:rsidP="00BE473A">
      <w:pPr>
        <w:pStyle w:val="Ttulo3"/>
        <w:shd w:val="clear" w:color="auto" w:fill="FFFFFF"/>
        <w:spacing w:before="150" w:line="240" w:lineRule="auto"/>
        <w:jc w:val="both"/>
        <w:rPr>
          <w:rStyle w:val="mw-headline"/>
          <w:rFonts w:ascii="Times New Roman" w:hAnsi="Times New Roman" w:cs="Times New Roman"/>
          <w:bCs w:val="0"/>
          <w:color w:val="auto"/>
          <w:sz w:val="24"/>
          <w:szCs w:val="24"/>
        </w:rPr>
      </w:pPr>
      <w:r w:rsidRPr="00841F04">
        <w:rPr>
          <w:rStyle w:val="mw-headline"/>
          <w:rFonts w:ascii="Times New Roman" w:hAnsi="Times New Roman" w:cs="Times New Roman"/>
          <w:bCs w:val="0"/>
          <w:color w:val="auto"/>
          <w:sz w:val="24"/>
          <w:szCs w:val="24"/>
        </w:rPr>
        <w:t>Jóvenes en riesgo de pobreza o exclusión social</w:t>
      </w:r>
    </w:p>
    <w:p w:rsidR="00BE473A" w:rsidRDefault="00BE473A" w:rsidP="00BE473A">
      <w:pPr>
        <w:pStyle w:val="NormalWeb"/>
        <w:shd w:val="clear" w:color="auto" w:fill="FFFFFF"/>
        <w:spacing w:before="0" w:beforeAutospacing="0" w:after="105" w:afterAutospacing="0"/>
        <w:jc w:val="both"/>
        <w:rPr>
          <w:rFonts w:asciiTheme="minorHAnsi" w:eastAsiaTheme="minorHAnsi" w:hAnsiTheme="minorHAnsi" w:cstheme="minorBidi"/>
          <w:sz w:val="22"/>
          <w:szCs w:val="22"/>
          <w:lang w:eastAsia="en-US"/>
        </w:rPr>
      </w:pPr>
    </w:p>
    <w:p w:rsidR="00BE473A" w:rsidRPr="00077A37" w:rsidRDefault="00BE473A" w:rsidP="00BE473A">
      <w:pPr>
        <w:pStyle w:val="NormalWeb"/>
        <w:shd w:val="clear" w:color="auto" w:fill="FFFFFF"/>
        <w:spacing w:before="0" w:beforeAutospacing="0" w:after="105" w:afterAutospacing="0"/>
        <w:jc w:val="both"/>
        <w:rPr>
          <w:color w:val="333333"/>
        </w:rPr>
      </w:pPr>
      <w:r w:rsidRPr="00077A37">
        <w:rPr>
          <w:color w:val="333333"/>
        </w:rPr>
        <w:t>El indicador relativo a la proporción de población en riesgo de pobreza o exclusión social se basa en tres indicadores: la tasa de riesgo de pobreza, la tasa de privación material y social severa y la proporción de personas que viven en hogares con muy poco trabajo intensidad. Las personas en riesgo de pobreza o exclusión social se definen como personas que se encuentran en al menos una (pero posiblemente dos o las tres) de estas situaciones.</w:t>
      </w:r>
    </w:p>
    <w:p w:rsidR="00BE473A" w:rsidRDefault="00BE473A" w:rsidP="00BE473A">
      <w:pPr>
        <w:pStyle w:val="NormalWeb"/>
        <w:shd w:val="clear" w:color="auto" w:fill="FFFFFF"/>
        <w:spacing w:before="0" w:beforeAutospacing="0" w:after="105" w:afterAutospacing="0"/>
        <w:jc w:val="both"/>
        <w:rPr>
          <w:color w:val="333333"/>
        </w:rPr>
      </w:pPr>
      <w:r w:rsidRPr="00077A37">
        <w:rPr>
          <w:color w:val="333333"/>
        </w:rPr>
        <w:t>En 2020, la tasa de riesgo de pobreza o exclusión social de los jóvenes de 15 a 29 años fue del 25,4 % en la UE, lo que corresponde a unos 18,1 millones de jóvenes. La proporción de jóvenes en riesgo de pobreza o exclusión social disminuyó 3,9 puntos porcentuales (pp) entre 2015 y 2019. Por otro lado, ha aumentado 1,1 pp en 2020 en comparación con 2019 (ver Figura 2).</w:t>
      </w:r>
    </w:p>
    <w:p w:rsidR="00BE473A" w:rsidRPr="00077A37" w:rsidRDefault="00BE473A" w:rsidP="00BE473A">
      <w:pPr>
        <w:pStyle w:val="NormalWeb"/>
        <w:shd w:val="clear" w:color="auto" w:fill="FFFFFF"/>
        <w:spacing w:before="0" w:beforeAutospacing="0" w:after="105" w:afterAutospacing="0"/>
        <w:jc w:val="both"/>
        <w:rPr>
          <w:color w:val="333333"/>
        </w:rPr>
      </w:pPr>
      <w:r w:rsidRPr="00841F04">
        <w:rPr>
          <w:noProof/>
          <w:color w:val="333333"/>
          <w:lang w:val="en-GB" w:eastAsia="zh-CN"/>
        </w:rPr>
        <w:drawing>
          <wp:inline distT="0" distB="0" distL="0" distR="0">
            <wp:extent cx="5734050" cy="2527300"/>
            <wp:effectExtent l="0" t="0" r="0" b="6350"/>
            <wp:docPr id="102" name="Imagen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5"/>
                    <a:stretch>
                      <a:fillRect/>
                    </a:stretch>
                  </pic:blipFill>
                  <pic:spPr>
                    <a:xfrm>
                      <a:off x="0" y="0"/>
                      <a:ext cx="5731510" cy="2526180"/>
                    </a:xfrm>
                    <a:prstGeom prst="rect">
                      <a:avLst/>
                    </a:prstGeom>
                  </pic:spPr>
                </pic:pic>
              </a:graphicData>
            </a:graphic>
          </wp:inline>
        </w:drawing>
      </w:r>
    </w:p>
    <w:p w:rsidR="00BE473A" w:rsidRDefault="00BE473A" w:rsidP="00BE473A">
      <w:pPr>
        <w:shd w:val="clear" w:color="auto" w:fill="FFFFFF"/>
        <w:spacing w:line="240" w:lineRule="auto"/>
        <w:jc w:val="both"/>
        <w:rPr>
          <w:rFonts w:ascii="Times New Roman" w:hAnsi="Times New Roman" w:cs="Times New Roman"/>
          <w:color w:val="333333"/>
          <w:sz w:val="24"/>
          <w:szCs w:val="24"/>
        </w:rPr>
      </w:pPr>
      <w:r w:rsidRPr="00077A37">
        <w:rPr>
          <w:rFonts w:ascii="Times New Roman" w:hAnsi="Times New Roman" w:cs="Times New Roman"/>
          <w:color w:val="333333"/>
          <w:sz w:val="24"/>
          <w:szCs w:val="24"/>
        </w:rPr>
        <w:t>Figura 2: Proporción de jóvenes (de 15 a 29 años) en riesgo de pobreza o exclusión social, UE, 2015-2020</w:t>
      </w:r>
      <w:r>
        <w:rPr>
          <w:rFonts w:ascii="Times New Roman" w:hAnsi="Times New Roman" w:cs="Times New Roman"/>
          <w:color w:val="333333"/>
          <w:sz w:val="24"/>
          <w:szCs w:val="24"/>
        </w:rPr>
        <w:t xml:space="preserve"> (%)</w:t>
      </w:r>
    </w:p>
    <w:p w:rsidR="00BE473A" w:rsidRPr="003137D2" w:rsidRDefault="00BE473A" w:rsidP="00BE473A">
      <w:pPr>
        <w:shd w:val="clear" w:color="auto" w:fill="FFFFFF"/>
        <w:spacing w:line="240" w:lineRule="auto"/>
        <w:jc w:val="both"/>
        <w:rPr>
          <w:rFonts w:ascii="Times New Roman" w:hAnsi="Times New Roman" w:cs="Times New Roman"/>
          <w:sz w:val="24"/>
          <w:szCs w:val="24"/>
        </w:rPr>
      </w:pPr>
      <w:r w:rsidRPr="00315526">
        <w:rPr>
          <w:rFonts w:ascii="Times New Roman" w:hAnsi="Times New Roman" w:cs="Times New Roman"/>
          <w:i/>
          <w:color w:val="333333"/>
          <w:sz w:val="24"/>
          <w:szCs w:val="24"/>
        </w:rPr>
        <w:t>Fuente</w:t>
      </w:r>
      <w:r w:rsidRPr="00077A37">
        <w:rPr>
          <w:rFonts w:ascii="Times New Roman" w:hAnsi="Times New Roman" w:cs="Times New Roman"/>
          <w:color w:val="333333"/>
          <w:sz w:val="24"/>
          <w:szCs w:val="24"/>
        </w:rPr>
        <w:t>: Eurostat </w:t>
      </w:r>
      <w:hyperlink r:id="rId156" w:tgtFrame="_blank" w:history="1">
        <w:r w:rsidRPr="003137D2">
          <w:rPr>
            <w:rStyle w:val="Hipervnculo"/>
            <w:rFonts w:ascii="Times New Roman" w:hAnsi="Times New Roman" w:cs="Times New Roman"/>
            <w:color w:val="auto"/>
            <w:sz w:val="24"/>
            <w:szCs w:val="24"/>
          </w:rPr>
          <w:t>(ilc_peps01n)</w:t>
        </w:r>
      </w:hyperlink>
    </w:p>
    <w:p w:rsidR="00BE473A" w:rsidRPr="00077A37" w:rsidRDefault="00BE473A" w:rsidP="00BE473A">
      <w:pPr>
        <w:pStyle w:val="NormalWeb"/>
        <w:shd w:val="clear" w:color="auto" w:fill="FFFFFF"/>
        <w:spacing w:before="0" w:beforeAutospacing="0" w:after="105" w:afterAutospacing="0"/>
        <w:jc w:val="both"/>
        <w:rPr>
          <w:color w:val="333333"/>
        </w:rPr>
      </w:pPr>
      <w:r w:rsidRPr="00077A37">
        <w:rPr>
          <w:color w:val="333333"/>
        </w:rPr>
        <w:lastRenderedPageBreak/>
        <w:t>En 2020, los Estados miembros de la UE con los niveles más altos de jóvenes (de 15 a 29 años) en riesgo de pobreza o exclusión social fueron Rumanía (37,6 %), Grecia (32,8 %) y Bulgaria (32,3 %), mientras que los más bajos se encontraron tasas en Eslovaquia (12,8 %), Eslovenia (12,2 %) y Chequia (10,7 %). Entre los países no miembros, también se registraron tasas altas en Albania (48,2 %, datos de 2019), Montenegro (39,0 %), Turquía (36,3 %) y Macedonia del Norte (33,8 %, datos de 2019), mientras que se registraron tasas bajas en uno de los países de la AELC de los que se dispone de datos, Suiza (16,6 %).</w:t>
      </w:r>
    </w:p>
    <w:p w:rsidR="00BE473A" w:rsidRDefault="00BE473A" w:rsidP="00BE473A">
      <w:pPr>
        <w:pStyle w:val="NormalWeb"/>
        <w:shd w:val="clear" w:color="auto" w:fill="FFFFFF"/>
        <w:spacing w:before="0" w:beforeAutospacing="0" w:after="105" w:afterAutospacing="0"/>
        <w:jc w:val="both"/>
        <w:rPr>
          <w:color w:val="333333"/>
        </w:rPr>
      </w:pPr>
      <w:r w:rsidRPr="00077A37">
        <w:rPr>
          <w:color w:val="333333"/>
        </w:rPr>
        <w:t>La figura 3 también muestra que, a nivel de la UE, las mujeres jóvenes (de 15 a 29 años) tenían tasas de riesgo de pobreza o exclusión social ligeramente más altas que los hombres jóvenes. Este también fue el caso en 20 Estados miembros de la UE, con la diferencia más alta en Austria (4,0 pp), seguida de Hungría (3,9 pp). En seis Estados miembros, las mujeres jóvenes tenían tasas de riesgo de pobreza o exclusión social más bajas que los hombres; las mayores diferencias se observaron en Estonia (4,8 pp) y Portugal (1,5 pp). En Lituania, no hay diferencia entre el riesgo de pobreza o la exclusión social de los dos géneros. Sin embargo, hay que señalar que estas cifras están muy influenciadas por el porcentaje de jóvenes de cada género que viven o no con sus padres, que varía mucho entre países.</w:t>
      </w:r>
    </w:p>
    <w:p w:rsidR="00BE473A" w:rsidRPr="00077A37" w:rsidRDefault="00BE473A" w:rsidP="00BE473A">
      <w:pPr>
        <w:pStyle w:val="NormalWeb"/>
        <w:shd w:val="clear" w:color="auto" w:fill="FFFFFF"/>
        <w:spacing w:before="0" w:beforeAutospacing="0" w:after="105" w:afterAutospacing="0"/>
        <w:jc w:val="both"/>
        <w:rPr>
          <w:color w:val="333333"/>
        </w:rPr>
      </w:pPr>
      <w:r w:rsidRPr="00841F04">
        <w:rPr>
          <w:noProof/>
          <w:color w:val="333333"/>
          <w:lang w:val="en-GB" w:eastAsia="zh-CN"/>
        </w:rPr>
        <w:drawing>
          <wp:inline distT="0" distB="0" distL="0" distR="0">
            <wp:extent cx="5731510" cy="3740745"/>
            <wp:effectExtent l="0" t="0" r="2540" b="0"/>
            <wp:docPr id="103" name="Imagen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7"/>
                    <a:stretch>
                      <a:fillRect/>
                    </a:stretch>
                  </pic:blipFill>
                  <pic:spPr>
                    <a:xfrm>
                      <a:off x="0" y="0"/>
                      <a:ext cx="5731510" cy="3740745"/>
                    </a:xfrm>
                    <a:prstGeom prst="rect">
                      <a:avLst/>
                    </a:prstGeom>
                  </pic:spPr>
                </pic:pic>
              </a:graphicData>
            </a:graphic>
          </wp:inline>
        </w:drawing>
      </w:r>
    </w:p>
    <w:p w:rsidR="00BE473A" w:rsidRDefault="00BE473A" w:rsidP="00BE473A">
      <w:pPr>
        <w:shd w:val="clear" w:color="auto" w:fill="FFFFFF"/>
        <w:spacing w:line="240" w:lineRule="auto"/>
        <w:jc w:val="both"/>
        <w:rPr>
          <w:rFonts w:ascii="Times New Roman" w:hAnsi="Times New Roman" w:cs="Times New Roman"/>
          <w:color w:val="333333"/>
          <w:sz w:val="24"/>
          <w:szCs w:val="24"/>
        </w:rPr>
      </w:pPr>
      <w:r w:rsidRPr="00077A37">
        <w:rPr>
          <w:rFonts w:ascii="Times New Roman" w:hAnsi="Times New Roman" w:cs="Times New Roman"/>
          <w:color w:val="333333"/>
          <w:sz w:val="24"/>
          <w:szCs w:val="24"/>
        </w:rPr>
        <w:t>Figura 3: Porcentaje de jóvenes en riesgo de pobreza o exclusión social, 2020</w:t>
      </w:r>
      <w:r>
        <w:rPr>
          <w:rFonts w:ascii="Times New Roman" w:hAnsi="Times New Roman" w:cs="Times New Roman"/>
          <w:color w:val="333333"/>
          <w:sz w:val="24"/>
          <w:szCs w:val="24"/>
        </w:rPr>
        <w:t xml:space="preserve"> (%)</w:t>
      </w:r>
    </w:p>
    <w:p w:rsidR="00BE473A" w:rsidRPr="003137D2" w:rsidRDefault="00BE473A" w:rsidP="00BE473A">
      <w:pPr>
        <w:shd w:val="clear" w:color="auto" w:fill="FFFFFF"/>
        <w:spacing w:line="240" w:lineRule="auto"/>
        <w:jc w:val="both"/>
        <w:rPr>
          <w:rFonts w:ascii="Times New Roman" w:hAnsi="Times New Roman" w:cs="Times New Roman"/>
          <w:sz w:val="24"/>
          <w:szCs w:val="24"/>
        </w:rPr>
      </w:pPr>
      <w:r w:rsidRPr="00077A37">
        <w:rPr>
          <w:rFonts w:ascii="Times New Roman" w:hAnsi="Times New Roman" w:cs="Times New Roman"/>
          <w:i/>
          <w:iCs/>
          <w:color w:val="333333"/>
          <w:sz w:val="24"/>
          <w:szCs w:val="24"/>
        </w:rPr>
        <w:t>Fuente:</w:t>
      </w:r>
      <w:r w:rsidRPr="00077A37">
        <w:rPr>
          <w:rFonts w:ascii="Times New Roman" w:hAnsi="Times New Roman" w:cs="Times New Roman"/>
          <w:color w:val="333333"/>
          <w:sz w:val="24"/>
          <w:szCs w:val="24"/>
        </w:rPr>
        <w:t> Eurostat </w:t>
      </w:r>
      <w:hyperlink r:id="rId158" w:tgtFrame="_blank" w:history="1">
        <w:r w:rsidRPr="003137D2">
          <w:rPr>
            <w:rStyle w:val="Hipervnculo"/>
            <w:rFonts w:ascii="Times New Roman" w:hAnsi="Times New Roman" w:cs="Times New Roman"/>
            <w:color w:val="auto"/>
            <w:sz w:val="24"/>
            <w:szCs w:val="24"/>
          </w:rPr>
          <w:t>(ilc_peps01n)</w:t>
        </w:r>
      </w:hyperlink>
    </w:p>
    <w:p w:rsidR="00BE473A" w:rsidRDefault="00BE473A" w:rsidP="00BE473A">
      <w:pPr>
        <w:pStyle w:val="NormalWeb"/>
        <w:shd w:val="clear" w:color="auto" w:fill="FFFFFF"/>
        <w:spacing w:before="0" w:beforeAutospacing="0" w:after="105" w:afterAutospacing="0"/>
        <w:jc w:val="both"/>
        <w:rPr>
          <w:color w:val="333333"/>
        </w:rPr>
      </w:pPr>
      <w:r w:rsidRPr="00077A37">
        <w:rPr>
          <w:color w:val="333333"/>
        </w:rPr>
        <w:t xml:space="preserve">En general, una proporción menor de personas de 25 a 29 años (un 21,7 % estimado en 2020 a escala de la UE) estaba en riesgo de pobreza o exclusión social que las personas de 20 a 24 años (28,0 %) o de 15 a 19 años (26,7 %). Los de 20 a 24 años tenían el riesgo más alto, a nivel de la UE. Este fue también el caso en la mayoría de los estados miembros de la UE. Sin embargo, también hubo excepciones, concretamente en Lituania, Hungría y Austria, donde esta categoría de edad tenía en realidad el riesgo más bajo de ser pobre o socialmente desfavorecido. En la mayoría de los estados miembros de la UE, las personas de 15 a 19 años tenían el segundo riesgo más bajo de pobreza o exclusión social, mientras que en el caso de </w:t>
      </w:r>
      <w:r w:rsidRPr="00077A37">
        <w:rPr>
          <w:color w:val="333333"/>
        </w:rPr>
        <w:lastRenderedPageBreak/>
        <w:t>Dinamarca, Alemania y los Países Bajos tenían las tasas más bajas de pobreza o exclusión social (ver Tabla 1).</w:t>
      </w:r>
    </w:p>
    <w:p w:rsidR="00BE473A" w:rsidRPr="00077A37" w:rsidRDefault="00BE473A" w:rsidP="00BE473A">
      <w:pPr>
        <w:pStyle w:val="NormalWeb"/>
        <w:shd w:val="clear" w:color="auto" w:fill="FFFFFF"/>
        <w:spacing w:before="0" w:beforeAutospacing="0" w:after="105" w:afterAutospacing="0"/>
        <w:jc w:val="both"/>
        <w:rPr>
          <w:color w:val="333333"/>
        </w:rPr>
      </w:pPr>
      <w:r w:rsidRPr="00400E44">
        <w:rPr>
          <w:noProof/>
          <w:color w:val="333333"/>
          <w:lang w:val="en-GB" w:eastAsia="zh-CN"/>
        </w:rPr>
        <w:drawing>
          <wp:inline distT="0" distB="0" distL="0" distR="0">
            <wp:extent cx="5731510" cy="5226941"/>
            <wp:effectExtent l="0" t="0" r="2540" b="0"/>
            <wp:docPr id="105" name="Imagen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9"/>
                    <a:stretch>
                      <a:fillRect/>
                    </a:stretch>
                  </pic:blipFill>
                  <pic:spPr>
                    <a:xfrm>
                      <a:off x="0" y="0"/>
                      <a:ext cx="5731510" cy="5226941"/>
                    </a:xfrm>
                    <a:prstGeom prst="rect">
                      <a:avLst/>
                    </a:prstGeom>
                  </pic:spPr>
                </pic:pic>
              </a:graphicData>
            </a:graphic>
          </wp:inline>
        </w:drawing>
      </w:r>
    </w:p>
    <w:p w:rsidR="00BE473A" w:rsidRDefault="00BE473A" w:rsidP="00BE473A">
      <w:pPr>
        <w:shd w:val="clear" w:color="auto" w:fill="FFFFFF"/>
        <w:spacing w:line="240" w:lineRule="auto"/>
        <w:jc w:val="both"/>
        <w:rPr>
          <w:rFonts w:ascii="Times New Roman" w:hAnsi="Times New Roman" w:cs="Times New Roman"/>
          <w:color w:val="333333"/>
          <w:sz w:val="24"/>
          <w:szCs w:val="24"/>
        </w:rPr>
      </w:pPr>
      <w:r w:rsidRPr="00077A37">
        <w:rPr>
          <w:rFonts w:ascii="Times New Roman" w:hAnsi="Times New Roman" w:cs="Times New Roman"/>
          <w:color w:val="333333"/>
          <w:sz w:val="24"/>
          <w:szCs w:val="24"/>
        </w:rPr>
        <w:t>Tabla 1: Porcentaje de jóvenes (15-29) en riesgo de pobreza o exclusión social, por grupo de edad, 2020</w:t>
      </w:r>
      <w:r>
        <w:rPr>
          <w:rFonts w:ascii="Times New Roman" w:hAnsi="Times New Roman" w:cs="Times New Roman"/>
          <w:color w:val="333333"/>
          <w:sz w:val="24"/>
          <w:szCs w:val="24"/>
        </w:rPr>
        <w:t xml:space="preserve"> (%)</w:t>
      </w:r>
    </w:p>
    <w:p w:rsidR="00BE473A" w:rsidRPr="003137D2" w:rsidRDefault="00BE473A" w:rsidP="00BE473A">
      <w:pPr>
        <w:shd w:val="clear" w:color="auto" w:fill="FFFFFF"/>
        <w:spacing w:line="240" w:lineRule="auto"/>
        <w:jc w:val="both"/>
        <w:rPr>
          <w:rFonts w:ascii="Times New Roman" w:hAnsi="Times New Roman" w:cs="Times New Roman"/>
          <w:sz w:val="24"/>
          <w:szCs w:val="24"/>
        </w:rPr>
      </w:pPr>
      <w:r w:rsidRPr="00077A37">
        <w:rPr>
          <w:rFonts w:ascii="Times New Roman" w:hAnsi="Times New Roman" w:cs="Times New Roman"/>
          <w:i/>
          <w:iCs/>
          <w:color w:val="333333"/>
          <w:sz w:val="24"/>
          <w:szCs w:val="24"/>
        </w:rPr>
        <w:t>Fuente:</w:t>
      </w:r>
      <w:r w:rsidRPr="00077A37">
        <w:rPr>
          <w:rFonts w:ascii="Times New Roman" w:hAnsi="Times New Roman" w:cs="Times New Roman"/>
          <w:color w:val="333333"/>
          <w:sz w:val="24"/>
          <w:szCs w:val="24"/>
        </w:rPr>
        <w:t> Eurostat </w:t>
      </w:r>
      <w:hyperlink r:id="rId160" w:tgtFrame="_blank" w:history="1">
        <w:r w:rsidRPr="003137D2">
          <w:rPr>
            <w:rStyle w:val="Hipervnculo"/>
            <w:rFonts w:ascii="Times New Roman" w:hAnsi="Times New Roman" w:cs="Times New Roman"/>
            <w:color w:val="auto"/>
            <w:sz w:val="24"/>
            <w:szCs w:val="24"/>
          </w:rPr>
          <w:t>(ilc_peps01n)</w:t>
        </w:r>
      </w:hyperlink>
    </w:p>
    <w:p w:rsidR="00BE473A" w:rsidRPr="00400E44" w:rsidRDefault="00BE473A" w:rsidP="00BE473A">
      <w:pPr>
        <w:pStyle w:val="Ttulo3"/>
        <w:shd w:val="clear" w:color="auto" w:fill="FFFFFF"/>
        <w:spacing w:before="150" w:line="240" w:lineRule="auto"/>
        <w:jc w:val="both"/>
        <w:rPr>
          <w:rStyle w:val="mw-headline"/>
          <w:rFonts w:ascii="Times New Roman" w:hAnsi="Times New Roman" w:cs="Times New Roman"/>
          <w:bCs w:val="0"/>
          <w:color w:val="auto"/>
          <w:sz w:val="24"/>
          <w:szCs w:val="24"/>
        </w:rPr>
      </w:pPr>
      <w:r w:rsidRPr="00400E44">
        <w:rPr>
          <w:rStyle w:val="mw-headline"/>
          <w:rFonts w:ascii="Times New Roman" w:hAnsi="Times New Roman" w:cs="Times New Roman"/>
          <w:bCs w:val="0"/>
          <w:color w:val="auto"/>
          <w:sz w:val="24"/>
          <w:szCs w:val="24"/>
        </w:rPr>
        <w:t>Tasa de riesgo de pobreza de los jóvenes</w:t>
      </w:r>
    </w:p>
    <w:p w:rsidR="00BE473A" w:rsidRDefault="00BE473A" w:rsidP="00BE473A">
      <w:pPr>
        <w:pStyle w:val="NormalWeb"/>
        <w:shd w:val="clear" w:color="auto" w:fill="FFFFFF"/>
        <w:spacing w:before="0" w:beforeAutospacing="0" w:after="105" w:afterAutospacing="0"/>
        <w:jc w:val="both"/>
        <w:rPr>
          <w:rFonts w:asciiTheme="minorHAnsi" w:eastAsiaTheme="minorHAnsi" w:hAnsiTheme="minorHAnsi" w:cstheme="minorBidi"/>
          <w:sz w:val="22"/>
          <w:szCs w:val="22"/>
          <w:lang w:eastAsia="en-US"/>
        </w:rPr>
      </w:pPr>
    </w:p>
    <w:p w:rsidR="00BE473A" w:rsidRPr="003137D2" w:rsidRDefault="00BE473A" w:rsidP="00BE473A">
      <w:pPr>
        <w:pStyle w:val="NormalWeb"/>
        <w:shd w:val="clear" w:color="auto" w:fill="FFFFFF"/>
        <w:spacing w:before="0" w:beforeAutospacing="0" w:after="105" w:afterAutospacing="0"/>
        <w:jc w:val="both"/>
      </w:pPr>
      <w:r w:rsidRPr="003137D2">
        <w:t>La </w:t>
      </w:r>
      <w:hyperlink r:id="rId161" w:history="1">
        <w:r w:rsidRPr="003137D2">
          <w:rPr>
            <w:rStyle w:val="Hipervnculo"/>
            <w:color w:val="auto"/>
            <w:u w:val="none"/>
          </w:rPr>
          <w:t>tasa de riesgo de pobreza</w:t>
        </w:r>
      </w:hyperlink>
      <w:r w:rsidRPr="003137D2">
        <w:t> mide la pobreza en términos relativos. Este indicador define un umbral de pobreza en el 60 % de la mediana neta de la renta </w:t>
      </w:r>
      <w:hyperlink r:id="rId162" w:history="1">
        <w:r w:rsidRPr="003137D2">
          <w:rPr>
            <w:rStyle w:val="Hipervnculo"/>
            <w:color w:val="auto"/>
            <w:u w:val="none"/>
          </w:rPr>
          <w:t>disponible equivalente</w:t>
        </w:r>
      </w:hyperlink>
      <w:r w:rsidRPr="003137D2">
        <w:t>: la población cuya renta está por debajo de este umbral se considera en riesgo de pobreza en relación con el resto de la población.</w:t>
      </w:r>
    </w:p>
    <w:p w:rsidR="00BE473A" w:rsidRDefault="00BE473A" w:rsidP="00BE473A">
      <w:pPr>
        <w:pStyle w:val="NormalWeb"/>
        <w:shd w:val="clear" w:color="auto" w:fill="FFFFFF"/>
        <w:spacing w:before="0" w:beforeAutospacing="0" w:after="105" w:afterAutospacing="0"/>
        <w:jc w:val="both"/>
        <w:rPr>
          <w:color w:val="333333"/>
        </w:rPr>
      </w:pPr>
      <w:r w:rsidRPr="00077A37">
        <w:rPr>
          <w:color w:val="333333"/>
        </w:rPr>
        <w:t xml:space="preserve">La tasa de riesgo de pobreza fue de 20,8 en 2020 para las personas de 15 a 29 años, ligeramente más alta para las mujeres jóvenes (21,4 %) que para los hombres jóvenes (20,2 %) (ver Figura 4). Esta tendencia se observó en la mayoría de los Estados miembros, con la excepción de Estonia, Suecia, Croacia, Italia (datos de 2019), Luxemburgo, Letonia, Portugal, Eslovenia, Irlanda y Bélgica. En Eslovaquia y Finlandia, las tasas de riesgo de pobreza fueron las mismas entre los dos sexos para el grupo de edad de 15 a 29 años. Las </w:t>
      </w:r>
      <w:r w:rsidRPr="00077A37">
        <w:rPr>
          <w:color w:val="333333"/>
        </w:rPr>
        <w:lastRenderedPageBreak/>
        <w:t>tasas más altas de riesgo de pobreza para las mujeres jóvenes se encontraron en Rumania (27,6 %), Alemania (26,7 %) y Dinamarca (26,0 %), mientras que para los hombres jóvenes en Rumania (26,5 %),</w:t>
      </w:r>
      <w:r>
        <w:rPr>
          <w:color w:val="333333"/>
        </w:rPr>
        <w:t xml:space="preserve"> Luxemburgo (25,8 %) y Suecia (</w:t>
      </w:r>
      <w:r w:rsidRPr="00077A37">
        <w:rPr>
          <w:color w:val="333333"/>
        </w:rPr>
        <w:t>24,9 %). Las tasas más bajas para hombres y mujeres jóvenes se encontraron en Chequia (8,1 % y 10,2 % respectivamente), Eslovenia (10,0 % y 9,8 %)) y Malta (10,6 % y 10,8 %).</w:t>
      </w:r>
    </w:p>
    <w:p w:rsidR="00BE473A" w:rsidRPr="00077A37" w:rsidRDefault="00BE473A" w:rsidP="00BE473A">
      <w:pPr>
        <w:pStyle w:val="NormalWeb"/>
        <w:shd w:val="clear" w:color="auto" w:fill="FFFFFF"/>
        <w:spacing w:before="0" w:beforeAutospacing="0" w:after="105" w:afterAutospacing="0"/>
        <w:jc w:val="both"/>
        <w:rPr>
          <w:color w:val="333333"/>
        </w:rPr>
      </w:pPr>
      <w:r w:rsidRPr="00400E44">
        <w:rPr>
          <w:noProof/>
          <w:color w:val="333333"/>
          <w:lang w:val="en-GB" w:eastAsia="zh-CN"/>
        </w:rPr>
        <w:drawing>
          <wp:inline distT="0" distB="0" distL="0" distR="0">
            <wp:extent cx="5730878" cy="3232150"/>
            <wp:effectExtent l="0" t="0" r="3175" b="6350"/>
            <wp:docPr id="106" name="Imagen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3"/>
                    <a:stretch>
                      <a:fillRect/>
                    </a:stretch>
                  </pic:blipFill>
                  <pic:spPr>
                    <a:xfrm>
                      <a:off x="0" y="0"/>
                      <a:ext cx="5731510" cy="3232506"/>
                    </a:xfrm>
                    <a:prstGeom prst="rect">
                      <a:avLst/>
                    </a:prstGeom>
                  </pic:spPr>
                </pic:pic>
              </a:graphicData>
            </a:graphic>
          </wp:inline>
        </w:drawing>
      </w:r>
    </w:p>
    <w:p w:rsidR="00BE473A" w:rsidRDefault="00BE473A" w:rsidP="00BE473A">
      <w:pPr>
        <w:shd w:val="clear" w:color="auto" w:fill="FFFFFF"/>
        <w:spacing w:line="240" w:lineRule="auto"/>
        <w:jc w:val="both"/>
        <w:rPr>
          <w:rFonts w:ascii="Times New Roman" w:hAnsi="Times New Roman" w:cs="Times New Roman"/>
          <w:i/>
          <w:iCs/>
          <w:color w:val="333333"/>
          <w:sz w:val="24"/>
          <w:szCs w:val="24"/>
        </w:rPr>
      </w:pPr>
      <w:r w:rsidRPr="00077A37">
        <w:rPr>
          <w:rFonts w:ascii="Times New Roman" w:hAnsi="Times New Roman" w:cs="Times New Roman"/>
          <w:color w:val="333333"/>
          <w:sz w:val="24"/>
          <w:szCs w:val="24"/>
        </w:rPr>
        <w:t>Figura 4: Proporción de jóvenes (de 15 a 29 años) en riesgo de pobreza, 2020</w:t>
      </w:r>
      <w:r>
        <w:rPr>
          <w:rFonts w:ascii="Times New Roman" w:hAnsi="Times New Roman" w:cs="Times New Roman"/>
          <w:color w:val="333333"/>
          <w:sz w:val="24"/>
          <w:szCs w:val="24"/>
        </w:rPr>
        <w:t xml:space="preserve"> (%)</w:t>
      </w:r>
    </w:p>
    <w:p w:rsidR="00BE473A" w:rsidRPr="003137D2" w:rsidRDefault="00BE473A" w:rsidP="00BE473A">
      <w:pPr>
        <w:shd w:val="clear" w:color="auto" w:fill="FFFFFF"/>
        <w:spacing w:line="240" w:lineRule="auto"/>
        <w:jc w:val="both"/>
        <w:rPr>
          <w:rFonts w:ascii="Times New Roman" w:hAnsi="Times New Roman" w:cs="Times New Roman"/>
          <w:i/>
          <w:iCs/>
          <w:sz w:val="24"/>
          <w:szCs w:val="24"/>
        </w:rPr>
      </w:pPr>
      <w:r w:rsidRPr="00077A37">
        <w:rPr>
          <w:rFonts w:ascii="Times New Roman" w:hAnsi="Times New Roman" w:cs="Times New Roman"/>
          <w:i/>
          <w:iCs/>
          <w:color w:val="333333"/>
          <w:sz w:val="24"/>
          <w:szCs w:val="24"/>
        </w:rPr>
        <w:t>Fuente:</w:t>
      </w:r>
      <w:r w:rsidRPr="00077A37">
        <w:rPr>
          <w:rFonts w:ascii="Times New Roman" w:hAnsi="Times New Roman" w:cs="Times New Roman"/>
          <w:color w:val="333333"/>
          <w:sz w:val="24"/>
          <w:szCs w:val="24"/>
        </w:rPr>
        <w:t> Eurostat </w:t>
      </w:r>
      <w:hyperlink r:id="rId164" w:tgtFrame="_blank" w:history="1">
        <w:r w:rsidRPr="003137D2">
          <w:rPr>
            <w:rStyle w:val="Hipervnculo"/>
            <w:rFonts w:ascii="Times New Roman" w:hAnsi="Times New Roman" w:cs="Times New Roman"/>
            <w:color w:val="auto"/>
            <w:sz w:val="24"/>
            <w:szCs w:val="24"/>
          </w:rPr>
          <w:t>(ilc_li02)</w:t>
        </w:r>
      </w:hyperlink>
    </w:p>
    <w:p w:rsidR="00BE473A" w:rsidRPr="00077A37" w:rsidRDefault="00BE473A" w:rsidP="00BE473A">
      <w:pPr>
        <w:pStyle w:val="NormalWeb"/>
        <w:shd w:val="clear" w:color="auto" w:fill="FFFFFF"/>
        <w:spacing w:before="0" w:beforeAutospacing="0" w:after="105" w:afterAutospacing="0"/>
        <w:jc w:val="both"/>
        <w:rPr>
          <w:color w:val="333333"/>
        </w:rPr>
      </w:pPr>
      <w:r w:rsidRPr="00077A37">
        <w:rPr>
          <w:color w:val="333333"/>
        </w:rPr>
        <w:t>La Tabla 2 presenta las tasas de riesgo de pobreza de los jóvenes con un análisis por grupos de edad. En 2020, se observó una mayor tasa de jóvenes en riesgo de pobreza en la UE entre los jóvenes de 20 a 24 años (23,7 %) y los de 15 a 19 años (22,4 %) que entre los de 25 a 29 años (16,6 %). Sin embargo, cabe señalar que en la mayoría de los Estados miembros (19 de 27), el grupo de edad con mayor riesgo de pobreza es el de 15 a 19 años, mientras que en 7 de los restantes (Dinamarca, Alemania, Estonia, Chipre, los Países Bajos, Finlandia y Suecia) son los jóvenes de 20 a 24 años.</w:t>
      </w:r>
    </w:p>
    <w:p w:rsidR="00BE473A" w:rsidRPr="00077A37" w:rsidRDefault="00BE473A" w:rsidP="00BE473A">
      <w:pPr>
        <w:shd w:val="clear" w:color="auto" w:fill="FFFFFF"/>
        <w:spacing w:line="240" w:lineRule="auto"/>
        <w:jc w:val="both"/>
        <w:rPr>
          <w:rFonts w:ascii="Times New Roman" w:hAnsi="Times New Roman" w:cs="Times New Roman"/>
          <w:color w:val="333333"/>
          <w:sz w:val="24"/>
          <w:szCs w:val="24"/>
        </w:rPr>
      </w:pPr>
      <w:r w:rsidRPr="00077A37">
        <w:rPr>
          <w:rFonts w:ascii="Times New Roman" w:hAnsi="Times New Roman" w:cs="Times New Roman"/>
          <w:noProof/>
          <w:color w:val="0651C1"/>
          <w:sz w:val="24"/>
          <w:szCs w:val="24"/>
          <w:lang w:val="en-GB" w:eastAsia="zh-CN"/>
        </w:rPr>
        <w:lastRenderedPageBreak/>
        <w:drawing>
          <wp:inline distT="0" distB="0" distL="0" distR="0">
            <wp:extent cx="4762500" cy="4660900"/>
            <wp:effectExtent l="0" t="0" r="0" b="6350"/>
            <wp:docPr id="100" name="Imagen 100" descr="https://ec.europa.eu/eurostat/statistics-explained/images/thumb/b/b0/Share_of_young_people_at_risk_of_poverty%2C_by_age%2C_2020_%28%25%29_update_T2.png/500px-Share_of_young_people_at_risk_of_poverty%2C_by_age%2C_2020_%28%25%29_update_T2.png">
              <a:hlinkClick xmlns:a="http://schemas.openxmlformats.org/drawingml/2006/main" r:id="rId16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s://ec.europa.eu/eurostat/statistics-explained/images/thumb/b/b0/Share_of_young_people_at_risk_of_poverty%2C_by_age%2C_2020_%28%25%29_update_T2.png/500px-Share_of_young_people_at_risk_of_poverty%2C_by_age%2C_2020_%28%25%29_update_T2.png">
                      <a:hlinkClick r:id="rId165"/>
                    </pic:cNvPr>
                    <pic:cNvPicPr>
                      <a:picLocks noChangeAspect="1" noChangeArrowheads="1"/>
                    </pic:cNvPicPr>
                  </pic:nvPicPr>
                  <pic:blipFill>
                    <a:blip r:embed="rId16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762500" cy="4660900"/>
                    </a:xfrm>
                    <a:prstGeom prst="rect">
                      <a:avLst/>
                    </a:prstGeom>
                    <a:noFill/>
                    <a:ln>
                      <a:noFill/>
                    </a:ln>
                  </pic:spPr>
                </pic:pic>
              </a:graphicData>
            </a:graphic>
          </wp:inline>
        </w:drawing>
      </w:r>
    </w:p>
    <w:p w:rsidR="00BE473A" w:rsidRDefault="00BE473A" w:rsidP="00BE473A">
      <w:pPr>
        <w:shd w:val="clear" w:color="auto" w:fill="FFFFFF"/>
        <w:spacing w:line="240" w:lineRule="auto"/>
        <w:jc w:val="both"/>
        <w:rPr>
          <w:rFonts w:ascii="Times New Roman" w:hAnsi="Times New Roman" w:cs="Times New Roman"/>
          <w:color w:val="333333"/>
          <w:sz w:val="24"/>
          <w:szCs w:val="24"/>
        </w:rPr>
      </w:pPr>
      <w:r w:rsidRPr="00077A37">
        <w:rPr>
          <w:rFonts w:ascii="Times New Roman" w:hAnsi="Times New Roman" w:cs="Times New Roman"/>
          <w:color w:val="333333"/>
          <w:sz w:val="24"/>
          <w:szCs w:val="24"/>
        </w:rPr>
        <w:t>Tabla 2: Proporción de jóvenes en riesgo de pobreza, por edad, 2020</w:t>
      </w:r>
      <w:r>
        <w:rPr>
          <w:rFonts w:ascii="Times New Roman" w:hAnsi="Times New Roman" w:cs="Times New Roman"/>
          <w:color w:val="333333"/>
          <w:sz w:val="24"/>
          <w:szCs w:val="24"/>
        </w:rPr>
        <w:t xml:space="preserve"> (%)</w:t>
      </w:r>
    </w:p>
    <w:p w:rsidR="00BE473A" w:rsidRPr="003137D2" w:rsidRDefault="00BE473A" w:rsidP="00BE473A">
      <w:pPr>
        <w:shd w:val="clear" w:color="auto" w:fill="FFFFFF"/>
        <w:spacing w:line="240" w:lineRule="auto"/>
        <w:jc w:val="both"/>
        <w:rPr>
          <w:rFonts w:ascii="Times New Roman" w:hAnsi="Times New Roman" w:cs="Times New Roman"/>
          <w:sz w:val="24"/>
          <w:szCs w:val="24"/>
        </w:rPr>
      </w:pPr>
      <w:r w:rsidRPr="00077A37">
        <w:rPr>
          <w:rFonts w:ascii="Times New Roman" w:hAnsi="Times New Roman" w:cs="Times New Roman"/>
          <w:i/>
          <w:iCs/>
          <w:color w:val="333333"/>
          <w:sz w:val="24"/>
          <w:szCs w:val="24"/>
        </w:rPr>
        <w:t>Fuente:</w:t>
      </w:r>
      <w:r w:rsidRPr="00077A37">
        <w:rPr>
          <w:rFonts w:ascii="Times New Roman" w:hAnsi="Times New Roman" w:cs="Times New Roman"/>
          <w:color w:val="333333"/>
          <w:sz w:val="24"/>
          <w:szCs w:val="24"/>
        </w:rPr>
        <w:t> Eurostat </w:t>
      </w:r>
      <w:hyperlink r:id="rId167" w:tgtFrame="_blank" w:history="1">
        <w:r w:rsidRPr="003137D2">
          <w:rPr>
            <w:rStyle w:val="Hipervnculo"/>
            <w:rFonts w:ascii="Times New Roman" w:hAnsi="Times New Roman" w:cs="Times New Roman"/>
            <w:color w:val="auto"/>
            <w:sz w:val="24"/>
            <w:szCs w:val="24"/>
          </w:rPr>
          <w:t>(ilc_li02)</w:t>
        </w:r>
      </w:hyperlink>
    </w:p>
    <w:p w:rsidR="00BE473A" w:rsidRDefault="00BE473A" w:rsidP="00BE473A">
      <w:pPr>
        <w:pStyle w:val="NormalWeb"/>
        <w:shd w:val="clear" w:color="auto" w:fill="FFFFFF"/>
        <w:spacing w:before="0" w:beforeAutospacing="0" w:after="105" w:afterAutospacing="0"/>
        <w:jc w:val="both"/>
        <w:rPr>
          <w:color w:val="333333"/>
        </w:rPr>
      </w:pPr>
      <w:r w:rsidRPr="00077A37">
        <w:rPr>
          <w:color w:val="333333"/>
        </w:rPr>
        <w:t>El gráfico 5 muestra que, en 2020, a escala de la UE, los jóvenes de entre 16 y 29 años que no vivían con sus padres tenían un mayor riesgo de pobreza (25,9 %) que los que vivían con sus padres (17,8 %). Por otro lado, en 17 de los Estados miembros de la UE, vivir o no con los padres (para la amplia categoría 16-29) no tuvo un impacto importante en la tasa de riesgo de pobreza ya que la diferencia del indicador para estos dos subpoblaciones era inferior a 5,0 pp. En cinco de estos 17 Estados miembros (Polonia, Malta, Portugal, Letonia y Eslovaquia) las tasas eran de hecho más altas para los jóvenes que vivían con sus padres que para los que no vivían con sus padres. En los otros 10 Estados miembros, donde se observaron mayores diferencias, las tasas siempre fueron más altas para quienes no vivían con los padres. Las mayores diferencias entre estas tasas se observaron en Dinamarca (29,1 pp) y en los Países Bajos (19,1 pp). 5 págs.). Esta tendencia también fue muy visible en Noruega, donde la diferencia entre las dos categorías fue aún mayor, alcanzando los 31,5 pp.</w:t>
      </w:r>
    </w:p>
    <w:p w:rsidR="00BE473A" w:rsidRPr="00077A37" w:rsidRDefault="00BE473A" w:rsidP="00BE473A">
      <w:pPr>
        <w:pStyle w:val="NormalWeb"/>
        <w:shd w:val="clear" w:color="auto" w:fill="FFFFFF"/>
        <w:spacing w:before="0" w:beforeAutospacing="0" w:after="105" w:afterAutospacing="0"/>
        <w:jc w:val="both"/>
        <w:rPr>
          <w:color w:val="333333"/>
        </w:rPr>
      </w:pPr>
      <w:r w:rsidRPr="00400E44">
        <w:rPr>
          <w:noProof/>
          <w:color w:val="333333"/>
          <w:lang w:val="en-GB" w:eastAsia="zh-CN"/>
        </w:rPr>
        <w:lastRenderedPageBreak/>
        <w:drawing>
          <wp:inline distT="0" distB="0" distL="0" distR="0">
            <wp:extent cx="5728655" cy="3143250"/>
            <wp:effectExtent l="0" t="0" r="5715" b="0"/>
            <wp:docPr id="107" name="Imagen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8"/>
                    <a:stretch>
                      <a:fillRect/>
                    </a:stretch>
                  </pic:blipFill>
                  <pic:spPr>
                    <a:xfrm>
                      <a:off x="0" y="0"/>
                      <a:ext cx="5731510" cy="3144816"/>
                    </a:xfrm>
                    <a:prstGeom prst="rect">
                      <a:avLst/>
                    </a:prstGeom>
                  </pic:spPr>
                </pic:pic>
              </a:graphicData>
            </a:graphic>
          </wp:inline>
        </w:drawing>
      </w:r>
    </w:p>
    <w:p w:rsidR="00BE473A" w:rsidRDefault="00BE473A" w:rsidP="00BE473A">
      <w:pPr>
        <w:shd w:val="clear" w:color="auto" w:fill="FFFFFF"/>
        <w:spacing w:line="240" w:lineRule="auto"/>
        <w:jc w:val="both"/>
        <w:rPr>
          <w:rFonts w:ascii="Times New Roman" w:hAnsi="Times New Roman" w:cs="Times New Roman"/>
          <w:i/>
          <w:iCs/>
          <w:color w:val="333333"/>
          <w:sz w:val="24"/>
          <w:szCs w:val="24"/>
        </w:rPr>
      </w:pPr>
      <w:r w:rsidRPr="00077A37">
        <w:rPr>
          <w:rFonts w:ascii="Times New Roman" w:hAnsi="Times New Roman" w:cs="Times New Roman"/>
          <w:color w:val="333333"/>
          <w:sz w:val="24"/>
          <w:szCs w:val="24"/>
        </w:rPr>
        <w:t>Figura 5: Proporción de jóvenes (de 16 a 29 años) en riesgo de pobreza, 2020</w:t>
      </w:r>
      <w:r>
        <w:rPr>
          <w:rFonts w:ascii="Times New Roman" w:hAnsi="Times New Roman" w:cs="Times New Roman"/>
          <w:color w:val="333333"/>
          <w:sz w:val="24"/>
          <w:szCs w:val="24"/>
        </w:rPr>
        <w:t xml:space="preserve"> (%)</w:t>
      </w:r>
      <w:r w:rsidRPr="00077A37">
        <w:rPr>
          <w:rFonts w:ascii="Times New Roman" w:hAnsi="Times New Roman" w:cs="Times New Roman"/>
          <w:color w:val="333333"/>
          <w:sz w:val="24"/>
          <w:szCs w:val="24"/>
        </w:rPr>
        <w:br/>
      </w:r>
    </w:p>
    <w:p w:rsidR="00BE473A" w:rsidRPr="003137D2" w:rsidRDefault="00BE473A" w:rsidP="00BE473A">
      <w:pPr>
        <w:shd w:val="clear" w:color="auto" w:fill="FFFFFF"/>
        <w:spacing w:line="240" w:lineRule="auto"/>
        <w:jc w:val="both"/>
        <w:rPr>
          <w:rFonts w:ascii="Times New Roman" w:hAnsi="Times New Roman" w:cs="Times New Roman"/>
          <w:i/>
          <w:iCs/>
          <w:sz w:val="24"/>
          <w:szCs w:val="24"/>
        </w:rPr>
      </w:pPr>
      <w:r w:rsidRPr="00077A37">
        <w:rPr>
          <w:rFonts w:ascii="Times New Roman" w:hAnsi="Times New Roman" w:cs="Times New Roman"/>
          <w:i/>
          <w:iCs/>
          <w:color w:val="333333"/>
          <w:sz w:val="24"/>
          <w:szCs w:val="24"/>
        </w:rPr>
        <w:t>Fuente:</w:t>
      </w:r>
      <w:r w:rsidRPr="00077A37">
        <w:rPr>
          <w:rFonts w:ascii="Times New Roman" w:hAnsi="Times New Roman" w:cs="Times New Roman"/>
          <w:color w:val="333333"/>
          <w:sz w:val="24"/>
          <w:szCs w:val="24"/>
        </w:rPr>
        <w:t> Eurostat </w:t>
      </w:r>
      <w:hyperlink r:id="rId169" w:tgtFrame="_blank" w:history="1">
        <w:r w:rsidRPr="003137D2">
          <w:rPr>
            <w:rStyle w:val="Hipervnculo"/>
            <w:rFonts w:ascii="Times New Roman" w:hAnsi="Times New Roman" w:cs="Times New Roman"/>
            <w:color w:val="auto"/>
            <w:sz w:val="24"/>
            <w:szCs w:val="24"/>
          </w:rPr>
          <w:t>(yth_incl_060)</w:t>
        </w:r>
      </w:hyperlink>
    </w:p>
    <w:p w:rsidR="00BE473A" w:rsidRPr="00400E44" w:rsidRDefault="00BE473A" w:rsidP="00BE473A">
      <w:pPr>
        <w:pStyle w:val="Ttulo3"/>
        <w:shd w:val="clear" w:color="auto" w:fill="FFFFFF"/>
        <w:spacing w:before="150" w:line="240" w:lineRule="auto"/>
        <w:jc w:val="both"/>
        <w:rPr>
          <w:rStyle w:val="mw-headline"/>
          <w:rFonts w:ascii="Times New Roman" w:hAnsi="Times New Roman" w:cs="Times New Roman"/>
          <w:bCs w:val="0"/>
          <w:color w:val="auto"/>
          <w:sz w:val="24"/>
          <w:szCs w:val="24"/>
        </w:rPr>
      </w:pPr>
      <w:r w:rsidRPr="00400E44">
        <w:rPr>
          <w:rStyle w:val="mw-headline"/>
          <w:rFonts w:ascii="Times New Roman" w:hAnsi="Times New Roman" w:cs="Times New Roman"/>
          <w:bCs w:val="0"/>
          <w:color w:val="auto"/>
          <w:sz w:val="24"/>
          <w:szCs w:val="24"/>
        </w:rPr>
        <w:t>Privación material severa</w:t>
      </w:r>
    </w:p>
    <w:p w:rsidR="00BE473A" w:rsidRPr="00400E44" w:rsidRDefault="00BE473A" w:rsidP="00BE473A"/>
    <w:p w:rsidR="00BE473A" w:rsidRPr="00077A37" w:rsidRDefault="00BE473A" w:rsidP="00BE473A">
      <w:pPr>
        <w:pStyle w:val="NormalWeb"/>
        <w:shd w:val="clear" w:color="auto" w:fill="FFFFFF"/>
        <w:spacing w:before="0" w:beforeAutospacing="0" w:after="105" w:afterAutospacing="0"/>
        <w:jc w:val="both"/>
        <w:rPr>
          <w:color w:val="333333"/>
        </w:rPr>
      </w:pPr>
      <w:r w:rsidRPr="00077A37">
        <w:rPr>
          <w:color w:val="333333"/>
        </w:rPr>
        <w:t>Se han definido indicadores de privación material para complementar el indicador de pobreza relativa (que se basa en el ingreso corriente) teniendo en cuenta los recursos no monetarios. Su definición se basa en la incapacidad de costear una selección de 13 elementos específicos que se consideran necesarios o deseables, 7 a nivel del hogar: pagar el alquiler, la hipoteca o las facturas de servicios públicos; para mantener su hogar adecuadamente caliente; hacer frente a gastos inesperados; comer carne o proteínas regularmente; ir una semana de vacaciones; un automóvil para uso personal cuando se desee; para reponer muebles desgastados y 6 a nivel individual: tener conexión a internet; sustitución de ropa gastada por una nueva; tener dos pares de zapatos que le queden bien (incluido un par de zapatos para todo clima); gastar una pequeña cantidad de dinero cada semana en sí mismo; tener actividades regulares de ocio; reunirse con amigos/familiares para tomar una copa/co</w:t>
      </w:r>
      <w:r>
        <w:rPr>
          <w:color w:val="333333"/>
        </w:rPr>
        <w:t>mer al menos una vez al mes. </w:t>
      </w:r>
      <w:hyperlink r:id="rId170" w:history="1">
        <w:r w:rsidRPr="003137D2">
          <w:rPr>
            <w:rStyle w:val="Hipervnculo"/>
            <w:color w:val="auto"/>
            <w:u w:val="none"/>
          </w:rPr>
          <w:t>La tasa de privación material y social severa</w:t>
        </w:r>
      </w:hyperlink>
      <w:r w:rsidRPr="00077A37">
        <w:rPr>
          <w:color w:val="333333"/>
        </w:rPr>
        <w:t> se basa en un único umbral europeo. Es una medida absoluta de la pobreza que captura las diferencias en los niveles de vida entre los Estados miembros de la UE. Las personas que no pueden pagar siete o más de los trece artículos se consideran gravemente desfavorecidas material o socialmente.</w:t>
      </w:r>
    </w:p>
    <w:p w:rsidR="00BE473A" w:rsidRDefault="00BE473A" w:rsidP="00BE473A">
      <w:pPr>
        <w:pStyle w:val="NormalWeb"/>
        <w:shd w:val="clear" w:color="auto" w:fill="FFFFFF"/>
        <w:spacing w:before="0" w:beforeAutospacing="0" w:after="105" w:afterAutospacing="0"/>
        <w:jc w:val="both"/>
        <w:rPr>
          <w:color w:val="333333"/>
        </w:rPr>
      </w:pPr>
      <w:r w:rsidRPr="00077A37">
        <w:rPr>
          <w:color w:val="333333"/>
        </w:rPr>
        <w:t>En 2020, la tasa de privación social y material grave de los jóvenes (de 15 a 29 años) en la UE se situó en el 6,5 %, más alta que en 2019 (véase la figura 6). De 2015 a 2019 la tasa disminuyó continuamente, del 8,4 % al 5,4 %.</w:t>
      </w:r>
    </w:p>
    <w:p w:rsidR="00BE473A" w:rsidRDefault="00BE473A" w:rsidP="00BE473A">
      <w:pPr>
        <w:pStyle w:val="NormalWeb"/>
        <w:shd w:val="clear" w:color="auto" w:fill="FFFFFF"/>
        <w:spacing w:before="0" w:beforeAutospacing="0" w:after="105" w:afterAutospacing="0"/>
        <w:jc w:val="both"/>
        <w:rPr>
          <w:color w:val="333333"/>
        </w:rPr>
      </w:pPr>
    </w:p>
    <w:p w:rsidR="00BE473A" w:rsidRDefault="00BE473A" w:rsidP="00BE473A">
      <w:pPr>
        <w:pStyle w:val="NormalWeb"/>
        <w:shd w:val="clear" w:color="auto" w:fill="FFFFFF"/>
        <w:spacing w:before="0" w:beforeAutospacing="0" w:after="105" w:afterAutospacing="0"/>
        <w:jc w:val="both"/>
        <w:rPr>
          <w:color w:val="333333"/>
        </w:rPr>
      </w:pPr>
    </w:p>
    <w:p w:rsidR="00BE473A" w:rsidRPr="00077A37" w:rsidRDefault="00BE473A" w:rsidP="00BE473A">
      <w:pPr>
        <w:pStyle w:val="NormalWeb"/>
        <w:shd w:val="clear" w:color="auto" w:fill="FFFFFF"/>
        <w:spacing w:before="0" w:beforeAutospacing="0" w:after="105" w:afterAutospacing="0"/>
        <w:jc w:val="both"/>
        <w:rPr>
          <w:color w:val="333333"/>
        </w:rPr>
      </w:pPr>
      <w:r w:rsidRPr="00400E44">
        <w:rPr>
          <w:noProof/>
          <w:color w:val="333333"/>
          <w:lang w:val="en-GB" w:eastAsia="zh-CN"/>
        </w:rPr>
        <w:lastRenderedPageBreak/>
        <w:drawing>
          <wp:inline distT="0" distB="0" distL="0" distR="0">
            <wp:extent cx="5732555" cy="2762250"/>
            <wp:effectExtent l="0" t="0" r="1905" b="0"/>
            <wp:docPr id="108" name="Imagen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1"/>
                    <a:stretch>
                      <a:fillRect/>
                    </a:stretch>
                  </pic:blipFill>
                  <pic:spPr>
                    <a:xfrm>
                      <a:off x="0" y="0"/>
                      <a:ext cx="5731510" cy="2761746"/>
                    </a:xfrm>
                    <a:prstGeom prst="rect">
                      <a:avLst/>
                    </a:prstGeom>
                  </pic:spPr>
                </pic:pic>
              </a:graphicData>
            </a:graphic>
          </wp:inline>
        </w:drawing>
      </w:r>
    </w:p>
    <w:p w:rsidR="00BE473A" w:rsidRDefault="00BE473A" w:rsidP="00BE473A">
      <w:pPr>
        <w:shd w:val="clear" w:color="auto" w:fill="FFFFFF"/>
        <w:spacing w:line="240" w:lineRule="auto"/>
        <w:jc w:val="both"/>
        <w:rPr>
          <w:rFonts w:ascii="Times New Roman" w:hAnsi="Times New Roman" w:cs="Times New Roman"/>
          <w:color w:val="333333"/>
          <w:sz w:val="24"/>
          <w:szCs w:val="24"/>
        </w:rPr>
      </w:pPr>
      <w:r w:rsidRPr="00077A37">
        <w:rPr>
          <w:rFonts w:ascii="Times New Roman" w:hAnsi="Times New Roman" w:cs="Times New Roman"/>
          <w:color w:val="333333"/>
          <w:sz w:val="24"/>
          <w:szCs w:val="24"/>
        </w:rPr>
        <w:t>Figura 6: Tasa de privación material y social severa para jóvenes (de 15 a 29 años), UE, 2015-2020</w:t>
      </w:r>
      <w:r>
        <w:rPr>
          <w:rFonts w:ascii="Times New Roman" w:hAnsi="Times New Roman" w:cs="Times New Roman"/>
          <w:color w:val="333333"/>
          <w:sz w:val="24"/>
          <w:szCs w:val="24"/>
        </w:rPr>
        <w:t xml:space="preserve"> (%)</w:t>
      </w:r>
    </w:p>
    <w:p w:rsidR="00BE473A" w:rsidRPr="00077A37" w:rsidRDefault="00BE473A" w:rsidP="00BE473A">
      <w:pPr>
        <w:shd w:val="clear" w:color="auto" w:fill="FFFFFF"/>
        <w:spacing w:line="240" w:lineRule="auto"/>
        <w:jc w:val="both"/>
        <w:rPr>
          <w:rFonts w:ascii="Times New Roman" w:hAnsi="Times New Roman" w:cs="Times New Roman"/>
          <w:color w:val="333333"/>
          <w:sz w:val="24"/>
          <w:szCs w:val="24"/>
        </w:rPr>
      </w:pPr>
      <w:r w:rsidRPr="00077A37">
        <w:rPr>
          <w:rFonts w:ascii="Times New Roman" w:hAnsi="Times New Roman" w:cs="Times New Roman"/>
          <w:i/>
          <w:iCs/>
          <w:color w:val="333333"/>
          <w:sz w:val="24"/>
          <w:szCs w:val="24"/>
        </w:rPr>
        <w:t>Fuente:</w:t>
      </w:r>
      <w:r w:rsidRPr="00077A37">
        <w:rPr>
          <w:rFonts w:ascii="Times New Roman" w:hAnsi="Times New Roman" w:cs="Times New Roman"/>
          <w:color w:val="333333"/>
          <w:sz w:val="24"/>
          <w:szCs w:val="24"/>
        </w:rPr>
        <w:t> Eurostat </w:t>
      </w:r>
      <w:hyperlink r:id="rId172" w:tgtFrame="_blank" w:history="1">
        <w:r w:rsidRPr="003137D2">
          <w:rPr>
            <w:rStyle w:val="Hipervnculo"/>
            <w:rFonts w:ascii="Times New Roman" w:hAnsi="Times New Roman" w:cs="Times New Roman"/>
            <w:color w:val="auto"/>
            <w:sz w:val="24"/>
            <w:szCs w:val="24"/>
          </w:rPr>
          <w:t>(ilc_mdsd11)</w:t>
        </w:r>
      </w:hyperlink>
    </w:p>
    <w:p w:rsidR="00BE473A" w:rsidRPr="00077A37" w:rsidRDefault="00BE473A" w:rsidP="00BE473A">
      <w:pPr>
        <w:pStyle w:val="NormalWeb"/>
        <w:shd w:val="clear" w:color="auto" w:fill="FFFFFF"/>
        <w:spacing w:before="0" w:beforeAutospacing="0" w:after="105" w:afterAutospacing="0"/>
        <w:jc w:val="both"/>
        <w:rPr>
          <w:color w:val="333333"/>
        </w:rPr>
      </w:pPr>
      <w:r w:rsidRPr="00077A37">
        <w:rPr>
          <w:color w:val="333333"/>
        </w:rPr>
        <w:t>Entre los Estados miembros de la UE, en 2020 la proporción más alta de jóvenes (de 15 a 29 años) que sufrían privaciones materiales graves se observó en Rumanía (24,1 %), seguida de Bulgaria (21,0 %) y Grecia (15,7 %). Menos del 3,0 % de los jóvenes sufrían graves carencias materiales o sociales en once Estados miembros (véase la figura 7). Este también fue el caso de los dos países de la AELC de los que se dispone de datos (Noruega y Suiza). Por otra parte, la proporción de jóvenes con graves privaciones materiales o sociales fue superior al 10,0 % en los países candidatos de los que se dispone de datos (Montenegro, Turquía y Serbia).</w:t>
      </w:r>
    </w:p>
    <w:p w:rsidR="00BE473A" w:rsidRDefault="00BE473A" w:rsidP="00BE473A">
      <w:pPr>
        <w:pStyle w:val="NormalWeb"/>
        <w:shd w:val="clear" w:color="auto" w:fill="FFFFFF"/>
        <w:spacing w:before="0" w:beforeAutospacing="0" w:after="105" w:afterAutospacing="0"/>
        <w:jc w:val="both"/>
        <w:rPr>
          <w:color w:val="333333"/>
        </w:rPr>
      </w:pPr>
      <w:r w:rsidRPr="00077A37">
        <w:rPr>
          <w:color w:val="333333"/>
        </w:rPr>
        <w:t>Como también se puede ver en la Figura 7, la tasa de privación material o social severa para los jóvenes (de 15 a 29 años) fue más alta en 2020 que en 2019 en once Estados miembros de la UE. Los mayores aumentos se registraron en Rumanía, Irlanda y Alemania, donde la tasa aumentó en más de 3 pp. En cuanto a los quince Estados miembros con una tasa de privación material grave más baja en 2020 que en 2019, las mayores disminuciones en puntos porcentuales en la tasa se observaron en Eslovaquia (-2,1 pp) y Finlandia (-1,4 pp). Se observó una disminución similar en los dos países de la AELC para los que se dispone de datos, mientras que dos de los tres países candidatos para los que se dispone de datos de 2020 experimentaron aumentos notables.</w:t>
      </w:r>
    </w:p>
    <w:p w:rsidR="00BE473A" w:rsidRPr="00077A37" w:rsidRDefault="00BE473A" w:rsidP="00BE473A">
      <w:pPr>
        <w:pStyle w:val="NormalWeb"/>
        <w:shd w:val="clear" w:color="auto" w:fill="FFFFFF"/>
        <w:spacing w:before="0" w:beforeAutospacing="0" w:after="105" w:afterAutospacing="0"/>
        <w:jc w:val="both"/>
        <w:rPr>
          <w:color w:val="333333"/>
        </w:rPr>
      </w:pPr>
      <w:r w:rsidRPr="00400E44">
        <w:rPr>
          <w:noProof/>
          <w:color w:val="333333"/>
          <w:lang w:val="en-GB" w:eastAsia="zh-CN"/>
        </w:rPr>
        <w:lastRenderedPageBreak/>
        <w:drawing>
          <wp:inline distT="0" distB="0" distL="0" distR="0">
            <wp:extent cx="5732741" cy="2921000"/>
            <wp:effectExtent l="0" t="0" r="1905" b="0"/>
            <wp:docPr id="109" name="Imagen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3"/>
                    <a:stretch>
                      <a:fillRect/>
                    </a:stretch>
                  </pic:blipFill>
                  <pic:spPr>
                    <a:xfrm>
                      <a:off x="0" y="0"/>
                      <a:ext cx="5731510" cy="2920373"/>
                    </a:xfrm>
                    <a:prstGeom prst="rect">
                      <a:avLst/>
                    </a:prstGeom>
                  </pic:spPr>
                </pic:pic>
              </a:graphicData>
            </a:graphic>
          </wp:inline>
        </w:drawing>
      </w:r>
    </w:p>
    <w:p w:rsidR="00BE473A" w:rsidRDefault="00BE473A" w:rsidP="00BE473A">
      <w:pPr>
        <w:shd w:val="clear" w:color="auto" w:fill="FFFFFF"/>
        <w:spacing w:line="240" w:lineRule="auto"/>
        <w:jc w:val="both"/>
        <w:rPr>
          <w:rFonts w:ascii="Times New Roman" w:hAnsi="Times New Roman" w:cs="Times New Roman"/>
          <w:color w:val="333333"/>
          <w:sz w:val="24"/>
          <w:szCs w:val="24"/>
        </w:rPr>
      </w:pPr>
      <w:r w:rsidRPr="00077A37">
        <w:rPr>
          <w:rFonts w:ascii="Times New Roman" w:hAnsi="Times New Roman" w:cs="Times New Roman"/>
          <w:color w:val="333333"/>
          <w:sz w:val="24"/>
          <w:szCs w:val="24"/>
        </w:rPr>
        <w:t>Figura 7: Tasa de privación material severa para jóvenes (de 15 a 29 años), 2019 y 2020</w:t>
      </w:r>
      <w:r>
        <w:rPr>
          <w:rFonts w:ascii="Times New Roman" w:hAnsi="Times New Roman" w:cs="Times New Roman"/>
          <w:color w:val="333333"/>
          <w:sz w:val="24"/>
          <w:szCs w:val="24"/>
        </w:rPr>
        <w:t xml:space="preserve"> (%)</w:t>
      </w:r>
    </w:p>
    <w:p w:rsidR="00BE473A" w:rsidRPr="003137D2" w:rsidRDefault="00BE473A" w:rsidP="00BE473A">
      <w:pPr>
        <w:shd w:val="clear" w:color="auto" w:fill="FFFFFF"/>
        <w:spacing w:line="240" w:lineRule="auto"/>
        <w:jc w:val="both"/>
        <w:rPr>
          <w:rFonts w:ascii="Times New Roman" w:hAnsi="Times New Roman" w:cs="Times New Roman"/>
          <w:sz w:val="24"/>
          <w:szCs w:val="24"/>
        </w:rPr>
      </w:pPr>
      <w:r w:rsidRPr="00077A37">
        <w:rPr>
          <w:rFonts w:ascii="Times New Roman" w:hAnsi="Times New Roman" w:cs="Times New Roman"/>
          <w:i/>
          <w:iCs/>
          <w:color w:val="333333"/>
          <w:sz w:val="24"/>
          <w:szCs w:val="24"/>
        </w:rPr>
        <w:t>Fuente:</w:t>
      </w:r>
      <w:r w:rsidRPr="00077A37">
        <w:rPr>
          <w:rFonts w:ascii="Times New Roman" w:hAnsi="Times New Roman" w:cs="Times New Roman"/>
          <w:color w:val="333333"/>
          <w:sz w:val="24"/>
          <w:szCs w:val="24"/>
        </w:rPr>
        <w:t> Eurostat </w:t>
      </w:r>
      <w:hyperlink r:id="rId174" w:tgtFrame="_blank" w:history="1">
        <w:r w:rsidRPr="003137D2">
          <w:rPr>
            <w:rStyle w:val="Hipervnculo"/>
            <w:rFonts w:ascii="Times New Roman" w:hAnsi="Times New Roman" w:cs="Times New Roman"/>
            <w:color w:val="auto"/>
            <w:sz w:val="24"/>
            <w:szCs w:val="24"/>
          </w:rPr>
          <w:t>(ilc_mdsd11)</w:t>
        </w:r>
      </w:hyperlink>
    </w:p>
    <w:p w:rsidR="00BE473A" w:rsidRPr="00077A37" w:rsidRDefault="00BE473A" w:rsidP="00BE473A">
      <w:pPr>
        <w:shd w:val="clear" w:color="auto" w:fill="FFFFFF"/>
        <w:spacing w:line="240" w:lineRule="auto"/>
        <w:jc w:val="both"/>
        <w:rPr>
          <w:rFonts w:ascii="Times New Roman" w:hAnsi="Times New Roman" w:cs="Times New Roman"/>
          <w:color w:val="333333"/>
          <w:sz w:val="24"/>
          <w:szCs w:val="24"/>
        </w:rPr>
      </w:pPr>
      <w:r w:rsidRPr="00077A37">
        <w:rPr>
          <w:rFonts w:ascii="Times New Roman" w:hAnsi="Times New Roman" w:cs="Times New Roman"/>
          <w:noProof/>
          <w:color w:val="0651C1"/>
          <w:sz w:val="24"/>
          <w:szCs w:val="24"/>
          <w:lang w:val="en-GB" w:eastAsia="zh-CN"/>
        </w:rPr>
        <w:drawing>
          <wp:inline distT="0" distB="0" distL="0" distR="0">
            <wp:extent cx="4762500" cy="4540250"/>
            <wp:effectExtent l="0" t="0" r="0" b="0"/>
            <wp:docPr id="99" name="Imagen 99" descr="https://ec.europa.eu/eurostat/statistics-explained/images/thumb/6/6a/Severe_material_and_social_deprivation_rate%2C_2020_%28%25%29_update_T3.png/500px-Severe_material_and_social_deprivation_rate%2C_2020_%28%25%29_update_T3.png">
              <a:hlinkClick xmlns:a="http://schemas.openxmlformats.org/drawingml/2006/main" r:id="rId17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s://ec.europa.eu/eurostat/statistics-explained/images/thumb/6/6a/Severe_material_and_social_deprivation_rate%2C_2020_%28%25%29_update_T3.png/500px-Severe_material_and_social_deprivation_rate%2C_2020_%28%25%29_update_T3.png">
                      <a:hlinkClick r:id="rId175"/>
                    </pic:cNvPr>
                    <pic:cNvPicPr>
                      <a:picLocks noChangeAspect="1" noChangeArrowheads="1"/>
                    </pic:cNvPicPr>
                  </pic:nvPicPr>
                  <pic:blipFill>
                    <a:blip r:embed="rId17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762500" cy="4540250"/>
                    </a:xfrm>
                    <a:prstGeom prst="rect">
                      <a:avLst/>
                    </a:prstGeom>
                    <a:noFill/>
                    <a:ln>
                      <a:noFill/>
                    </a:ln>
                  </pic:spPr>
                </pic:pic>
              </a:graphicData>
            </a:graphic>
          </wp:inline>
        </w:drawing>
      </w:r>
    </w:p>
    <w:p w:rsidR="00BE473A" w:rsidRDefault="00BE473A" w:rsidP="00BE473A">
      <w:pPr>
        <w:shd w:val="clear" w:color="auto" w:fill="FFFFFF"/>
        <w:spacing w:line="240" w:lineRule="auto"/>
        <w:jc w:val="both"/>
        <w:rPr>
          <w:rFonts w:ascii="Times New Roman" w:hAnsi="Times New Roman" w:cs="Times New Roman"/>
          <w:color w:val="333333"/>
          <w:sz w:val="24"/>
          <w:szCs w:val="24"/>
        </w:rPr>
      </w:pPr>
      <w:r w:rsidRPr="00077A37">
        <w:rPr>
          <w:rFonts w:ascii="Times New Roman" w:hAnsi="Times New Roman" w:cs="Times New Roman"/>
          <w:color w:val="333333"/>
          <w:sz w:val="24"/>
          <w:szCs w:val="24"/>
        </w:rPr>
        <w:t>Tabla 3: Tasa de privaciones materiales y sociales severas, 2020</w:t>
      </w:r>
      <w:r>
        <w:rPr>
          <w:rFonts w:ascii="Times New Roman" w:hAnsi="Times New Roman" w:cs="Times New Roman"/>
          <w:color w:val="333333"/>
          <w:sz w:val="24"/>
          <w:szCs w:val="24"/>
        </w:rPr>
        <w:t xml:space="preserve"> (%)</w:t>
      </w:r>
    </w:p>
    <w:p w:rsidR="00BE473A" w:rsidRPr="003137D2" w:rsidRDefault="00BE473A" w:rsidP="00BE473A">
      <w:pPr>
        <w:shd w:val="clear" w:color="auto" w:fill="FFFFFF"/>
        <w:spacing w:line="240" w:lineRule="auto"/>
        <w:jc w:val="both"/>
        <w:rPr>
          <w:rFonts w:ascii="Times New Roman" w:hAnsi="Times New Roman" w:cs="Times New Roman"/>
          <w:sz w:val="24"/>
          <w:szCs w:val="24"/>
        </w:rPr>
      </w:pPr>
      <w:r w:rsidRPr="00077A37">
        <w:rPr>
          <w:rFonts w:ascii="Times New Roman" w:hAnsi="Times New Roman" w:cs="Times New Roman"/>
          <w:i/>
          <w:iCs/>
          <w:color w:val="333333"/>
          <w:sz w:val="24"/>
          <w:szCs w:val="24"/>
        </w:rPr>
        <w:t>Fuente:</w:t>
      </w:r>
      <w:r w:rsidRPr="00077A37">
        <w:rPr>
          <w:rFonts w:ascii="Times New Roman" w:hAnsi="Times New Roman" w:cs="Times New Roman"/>
          <w:color w:val="333333"/>
          <w:sz w:val="24"/>
          <w:szCs w:val="24"/>
        </w:rPr>
        <w:t> Eurostat </w:t>
      </w:r>
      <w:hyperlink r:id="rId177" w:tgtFrame="_blank" w:history="1">
        <w:r w:rsidRPr="003137D2">
          <w:rPr>
            <w:rStyle w:val="Hipervnculo"/>
            <w:rFonts w:ascii="Times New Roman" w:hAnsi="Times New Roman" w:cs="Times New Roman"/>
            <w:color w:val="auto"/>
            <w:sz w:val="24"/>
            <w:szCs w:val="24"/>
          </w:rPr>
          <w:t>(ilc_mdsd11)</w:t>
        </w:r>
      </w:hyperlink>
    </w:p>
    <w:p w:rsidR="00BE473A" w:rsidRPr="00077A37" w:rsidRDefault="00BE473A" w:rsidP="00BE473A">
      <w:pPr>
        <w:pStyle w:val="NormalWeb"/>
        <w:shd w:val="clear" w:color="auto" w:fill="FFFFFF"/>
        <w:spacing w:before="0" w:beforeAutospacing="0" w:after="105" w:afterAutospacing="0"/>
        <w:jc w:val="both"/>
        <w:rPr>
          <w:color w:val="333333"/>
        </w:rPr>
      </w:pPr>
      <w:r w:rsidRPr="00077A37">
        <w:rPr>
          <w:color w:val="333333"/>
        </w:rPr>
        <w:lastRenderedPageBreak/>
        <w:t>El análisis de las tasas de privación severa según el grupo de edad de los jóvenes (ver Tabla 3) revela que, en general, las diferencias entre los grupos de edad son menores que en el caso de los en riesgo de pobreza. Surge un patrón claro, ya que en la mayoría (diecinueve de ellos) de los Estados miembros, la categoría más desfavorecida es la más joven (15-19), lo que también es el caso a nivel de la UE (7,0 % en 2020, en comparación con el 6,3 % para los de 20 a 24 años y 6,0 % para los de 25 a 29 años). Este es también el caso de los países candidatos. Por otro lado, en tres Estados miembros (Alemania, Malta e Italia) y los dos países de la AELC para los que se dispone de datos (Noruega y Suiza) ocurre lo contrario, la categoría más desfavorecida es el grupo de edad de 25 a 29 años.</w:t>
      </w:r>
    </w:p>
    <w:p w:rsidR="00BE473A" w:rsidRPr="00400E44" w:rsidRDefault="00BE473A" w:rsidP="00BE473A">
      <w:pPr>
        <w:pStyle w:val="Ttulo3"/>
        <w:shd w:val="clear" w:color="auto" w:fill="FFFFFF"/>
        <w:spacing w:before="150" w:line="240" w:lineRule="auto"/>
        <w:jc w:val="both"/>
        <w:rPr>
          <w:rStyle w:val="mw-headline"/>
          <w:rFonts w:ascii="Times New Roman" w:hAnsi="Times New Roman" w:cs="Times New Roman"/>
          <w:bCs w:val="0"/>
          <w:color w:val="auto"/>
          <w:sz w:val="24"/>
          <w:szCs w:val="24"/>
        </w:rPr>
      </w:pPr>
      <w:r w:rsidRPr="00400E44">
        <w:rPr>
          <w:rStyle w:val="mw-headline"/>
          <w:rFonts w:ascii="Times New Roman" w:hAnsi="Times New Roman" w:cs="Times New Roman"/>
          <w:bCs w:val="0"/>
          <w:color w:val="auto"/>
          <w:sz w:val="24"/>
          <w:szCs w:val="24"/>
        </w:rPr>
        <w:t>Vivir en hogares con muy baja intensidad laboral</w:t>
      </w:r>
    </w:p>
    <w:p w:rsidR="00BE473A" w:rsidRDefault="00BE473A" w:rsidP="00BE473A">
      <w:pPr>
        <w:pStyle w:val="NormalWeb"/>
        <w:shd w:val="clear" w:color="auto" w:fill="FFFFFF"/>
        <w:spacing w:before="0" w:beforeAutospacing="0" w:after="105" w:afterAutospacing="0"/>
        <w:jc w:val="both"/>
        <w:rPr>
          <w:rFonts w:asciiTheme="minorHAnsi" w:eastAsiaTheme="minorHAnsi" w:hAnsiTheme="minorHAnsi" w:cstheme="minorBidi"/>
          <w:sz w:val="22"/>
          <w:szCs w:val="22"/>
          <w:lang w:eastAsia="en-US"/>
        </w:rPr>
      </w:pPr>
    </w:p>
    <w:p w:rsidR="00BE473A" w:rsidRPr="00ED2942" w:rsidRDefault="00BE473A" w:rsidP="00BE473A">
      <w:pPr>
        <w:pStyle w:val="NormalWeb"/>
        <w:shd w:val="clear" w:color="auto" w:fill="FFFFFF"/>
        <w:spacing w:before="0" w:beforeAutospacing="0" w:after="105" w:afterAutospacing="0"/>
        <w:jc w:val="both"/>
      </w:pPr>
      <w:r w:rsidRPr="00ED2942">
        <w:t>Esta sección se centra en los jóvenes que viven en hogares con muy </w:t>
      </w:r>
      <w:hyperlink r:id="rId178" w:history="1">
        <w:r w:rsidRPr="003137D2">
          <w:rPr>
            <w:rStyle w:val="Hipervnculo"/>
            <w:color w:val="auto"/>
            <w:u w:val="none"/>
          </w:rPr>
          <w:t>baja intensidad laboral</w:t>
        </w:r>
      </w:hyperlink>
      <w:r w:rsidRPr="00ED2942">
        <w:t> (definidos como hogares donde los miembros en edad de trabajar trabajaron en promedio menos del 20 % de su potencial total durante los 12 m</w:t>
      </w:r>
      <w:r>
        <w:t>eses anteriores a la encuesta)</w:t>
      </w:r>
      <w:r w:rsidRPr="00ED2942">
        <w:t>. Las personas que viven en estos hogares tienen más probabilidades de estar expuestas a la exclusión social.</w:t>
      </w:r>
    </w:p>
    <w:p w:rsidR="00BE473A" w:rsidRDefault="00BE473A" w:rsidP="00BE473A">
      <w:pPr>
        <w:pStyle w:val="NormalWeb"/>
        <w:shd w:val="clear" w:color="auto" w:fill="FFFFFF"/>
        <w:spacing w:before="0" w:beforeAutospacing="0" w:after="105" w:afterAutospacing="0"/>
        <w:jc w:val="both"/>
        <w:rPr>
          <w:color w:val="333333"/>
        </w:rPr>
      </w:pPr>
      <w:r w:rsidRPr="00077A37">
        <w:rPr>
          <w:color w:val="333333"/>
        </w:rPr>
        <w:t>En 2020, 6,2 millones de personas de entre 15 y 29 años en la UE vivían en hogares con muy baja intensidad laboral, lo que equivale al 9,0 % de la población de este grupo de edad (véase la figura 8). Esta proporción fue ligeramente superior a la de 2019, cuando se situó en el 8,5 %. Después de un ligero aumento entre 2015 y 2016 (del 10,4 % al 10,7 %), esta proporción se redujo hasta 2019 (del 10,7 % al 8,5 %), y posteriormente aumentó recientemente. Se puede notar la misma tendencia para todos los grupos de edad jóvenes, la única pequeña diferencia es que para el grupo de edad más joven (15-19) no hubo aumento entre 2015 y 2016.</w:t>
      </w:r>
    </w:p>
    <w:p w:rsidR="00BE473A" w:rsidRPr="00077A37" w:rsidRDefault="00BE473A" w:rsidP="00BE473A">
      <w:pPr>
        <w:pStyle w:val="NormalWeb"/>
        <w:shd w:val="clear" w:color="auto" w:fill="FFFFFF"/>
        <w:spacing w:before="0" w:beforeAutospacing="0" w:after="105" w:afterAutospacing="0"/>
        <w:jc w:val="both"/>
        <w:rPr>
          <w:color w:val="333333"/>
        </w:rPr>
      </w:pPr>
      <w:r w:rsidRPr="00400E44">
        <w:rPr>
          <w:noProof/>
          <w:color w:val="333333"/>
          <w:lang w:val="en-GB" w:eastAsia="zh-CN"/>
        </w:rPr>
        <w:drawing>
          <wp:inline distT="0" distB="0" distL="0" distR="0">
            <wp:extent cx="5728649" cy="2800350"/>
            <wp:effectExtent l="0" t="0" r="5715" b="0"/>
            <wp:docPr id="110" name="Imagen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9"/>
                    <a:stretch>
                      <a:fillRect/>
                    </a:stretch>
                  </pic:blipFill>
                  <pic:spPr>
                    <a:xfrm>
                      <a:off x="0" y="0"/>
                      <a:ext cx="5731510" cy="2801749"/>
                    </a:xfrm>
                    <a:prstGeom prst="rect">
                      <a:avLst/>
                    </a:prstGeom>
                  </pic:spPr>
                </pic:pic>
              </a:graphicData>
            </a:graphic>
          </wp:inline>
        </w:drawing>
      </w:r>
    </w:p>
    <w:p w:rsidR="00BE473A" w:rsidRDefault="00BE473A" w:rsidP="00BE473A">
      <w:pPr>
        <w:shd w:val="clear" w:color="auto" w:fill="FFFFFF"/>
        <w:spacing w:line="240" w:lineRule="auto"/>
        <w:jc w:val="both"/>
        <w:rPr>
          <w:rFonts w:ascii="Times New Roman" w:hAnsi="Times New Roman" w:cs="Times New Roman"/>
          <w:color w:val="333333"/>
          <w:sz w:val="24"/>
          <w:szCs w:val="24"/>
        </w:rPr>
      </w:pPr>
      <w:r w:rsidRPr="00077A37">
        <w:rPr>
          <w:rFonts w:ascii="Times New Roman" w:hAnsi="Times New Roman" w:cs="Times New Roman"/>
          <w:color w:val="333333"/>
          <w:sz w:val="24"/>
          <w:szCs w:val="24"/>
        </w:rPr>
        <w:t>Figura 8: Porcentaje de jóvenes que viven en hogares con muy baja intensidad laboral, UE, 2015-2020</w:t>
      </w:r>
      <w:r>
        <w:rPr>
          <w:rFonts w:ascii="Times New Roman" w:hAnsi="Times New Roman" w:cs="Times New Roman"/>
          <w:color w:val="333333"/>
          <w:sz w:val="24"/>
          <w:szCs w:val="24"/>
        </w:rPr>
        <w:t xml:space="preserve"> (%)</w:t>
      </w:r>
    </w:p>
    <w:p w:rsidR="00BE473A" w:rsidRPr="00ED2942" w:rsidRDefault="00BE473A" w:rsidP="00BE473A">
      <w:pPr>
        <w:shd w:val="clear" w:color="auto" w:fill="FFFFFF"/>
        <w:spacing w:line="240" w:lineRule="auto"/>
        <w:jc w:val="both"/>
        <w:rPr>
          <w:rFonts w:ascii="Times New Roman" w:hAnsi="Times New Roman" w:cs="Times New Roman"/>
          <w:sz w:val="24"/>
          <w:szCs w:val="24"/>
        </w:rPr>
      </w:pPr>
      <w:r w:rsidRPr="00077A37">
        <w:rPr>
          <w:rFonts w:ascii="Times New Roman" w:hAnsi="Times New Roman" w:cs="Times New Roman"/>
          <w:i/>
          <w:iCs/>
          <w:color w:val="333333"/>
          <w:sz w:val="24"/>
          <w:szCs w:val="24"/>
        </w:rPr>
        <w:t>Fuente:</w:t>
      </w:r>
      <w:r w:rsidRPr="00077A37">
        <w:rPr>
          <w:rFonts w:ascii="Times New Roman" w:hAnsi="Times New Roman" w:cs="Times New Roman"/>
          <w:color w:val="333333"/>
          <w:sz w:val="24"/>
          <w:szCs w:val="24"/>
        </w:rPr>
        <w:t> Eurostat </w:t>
      </w:r>
      <w:hyperlink r:id="rId180" w:tgtFrame="_blank" w:history="1">
        <w:r w:rsidRPr="003137D2">
          <w:rPr>
            <w:rStyle w:val="Hipervnculo"/>
            <w:rFonts w:ascii="Times New Roman" w:hAnsi="Times New Roman" w:cs="Times New Roman"/>
            <w:color w:val="auto"/>
            <w:sz w:val="24"/>
            <w:szCs w:val="24"/>
          </w:rPr>
          <w:t>(ilc_lvhl11n)</w:t>
        </w:r>
      </w:hyperlink>
    </w:p>
    <w:p w:rsidR="00BE473A" w:rsidRDefault="00BE473A" w:rsidP="00BE473A">
      <w:pPr>
        <w:pStyle w:val="NormalWeb"/>
        <w:shd w:val="clear" w:color="auto" w:fill="FFFFFF"/>
        <w:spacing w:before="0" w:beforeAutospacing="0" w:after="105" w:afterAutospacing="0"/>
        <w:jc w:val="both"/>
        <w:rPr>
          <w:color w:val="333333"/>
        </w:rPr>
      </w:pPr>
      <w:r w:rsidRPr="00077A37">
        <w:rPr>
          <w:color w:val="333333"/>
        </w:rPr>
        <w:t xml:space="preserve">Entre los Estados miembros de la UE, Dinamarca (14,5 %), Grecia (13,7 %) y Bélgica (11,7 %) registraron las proporciones más altas de jóvenes (de 15 a 29 años) que vivían en hogares con muy baja intensidad laboral en 2020. las proporciones más bajas se registraron en Eslovenia (3,4 %), Polonia (3,6 %) y Eslovaquia (3,8 %). La proporción de jóvenes que </w:t>
      </w:r>
      <w:r w:rsidRPr="00077A37">
        <w:rPr>
          <w:color w:val="333333"/>
        </w:rPr>
        <w:lastRenderedPageBreak/>
        <w:t>vivían en hogares con una intensidad laboral muy baja aumentó entre 2019 y 2020 a nivel de la UE, así como en nueve Estados miembros, un país de la AELC (Noruega) y un país candidato (Turquía). Los mayores aumentos se observaron en Luxemburgo (2,6 pp), Alemania (2,4 pp) y Francia (1,8 pp). En 2020 (en comparación con 2019), la proporción de jóvenes que vivían en hogares con una intensidad laboral muy baja era menor en los diecisiete Estados miembros restantes de los que se dispone de datos.</w:t>
      </w:r>
    </w:p>
    <w:p w:rsidR="00BE473A" w:rsidRPr="00077A37" w:rsidRDefault="00BE473A" w:rsidP="00BE473A">
      <w:pPr>
        <w:pStyle w:val="NormalWeb"/>
        <w:shd w:val="clear" w:color="auto" w:fill="FFFFFF"/>
        <w:spacing w:before="0" w:beforeAutospacing="0" w:after="105" w:afterAutospacing="0"/>
        <w:jc w:val="both"/>
        <w:rPr>
          <w:color w:val="333333"/>
        </w:rPr>
      </w:pPr>
      <w:r w:rsidRPr="00400E44">
        <w:rPr>
          <w:noProof/>
          <w:color w:val="333333"/>
          <w:lang w:val="en-GB" w:eastAsia="zh-CN"/>
        </w:rPr>
        <w:drawing>
          <wp:inline distT="0" distB="0" distL="0" distR="0">
            <wp:extent cx="5731057" cy="2927350"/>
            <wp:effectExtent l="0" t="0" r="3175" b="6350"/>
            <wp:docPr id="111" name="Imagen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1"/>
                    <a:stretch>
                      <a:fillRect/>
                    </a:stretch>
                  </pic:blipFill>
                  <pic:spPr>
                    <a:xfrm>
                      <a:off x="0" y="0"/>
                      <a:ext cx="5731510" cy="2927581"/>
                    </a:xfrm>
                    <a:prstGeom prst="rect">
                      <a:avLst/>
                    </a:prstGeom>
                  </pic:spPr>
                </pic:pic>
              </a:graphicData>
            </a:graphic>
          </wp:inline>
        </w:drawing>
      </w:r>
    </w:p>
    <w:p w:rsidR="00BE473A" w:rsidRDefault="00BE473A" w:rsidP="00BE473A">
      <w:pPr>
        <w:shd w:val="clear" w:color="auto" w:fill="FFFFFF"/>
        <w:spacing w:line="240" w:lineRule="auto"/>
        <w:jc w:val="both"/>
        <w:rPr>
          <w:rFonts w:ascii="Times New Roman" w:hAnsi="Times New Roman" w:cs="Times New Roman"/>
          <w:color w:val="333333"/>
          <w:sz w:val="24"/>
          <w:szCs w:val="24"/>
        </w:rPr>
      </w:pPr>
      <w:r w:rsidRPr="00077A37">
        <w:rPr>
          <w:rFonts w:ascii="Times New Roman" w:hAnsi="Times New Roman" w:cs="Times New Roman"/>
          <w:color w:val="333333"/>
          <w:sz w:val="24"/>
          <w:szCs w:val="24"/>
        </w:rPr>
        <w:t>Figura 9: Proporción de jóvenes (de 15 a 29 años) que viven en hogares con muy baja intensidad laboral, nueva definición, 2019 y 2020</w:t>
      </w:r>
      <w:r>
        <w:rPr>
          <w:rFonts w:ascii="Times New Roman" w:hAnsi="Times New Roman" w:cs="Times New Roman"/>
          <w:color w:val="333333"/>
          <w:sz w:val="24"/>
          <w:szCs w:val="24"/>
        </w:rPr>
        <w:t xml:space="preserve"> (%)</w:t>
      </w:r>
    </w:p>
    <w:p w:rsidR="00BE473A" w:rsidRPr="003137D2" w:rsidRDefault="00BE473A" w:rsidP="00BE473A">
      <w:pPr>
        <w:shd w:val="clear" w:color="auto" w:fill="FFFFFF"/>
        <w:spacing w:line="240" w:lineRule="auto"/>
        <w:jc w:val="both"/>
        <w:rPr>
          <w:rFonts w:ascii="Times New Roman" w:hAnsi="Times New Roman" w:cs="Times New Roman"/>
          <w:sz w:val="24"/>
          <w:szCs w:val="24"/>
        </w:rPr>
      </w:pPr>
      <w:r w:rsidRPr="00077A37">
        <w:rPr>
          <w:rFonts w:ascii="Times New Roman" w:hAnsi="Times New Roman" w:cs="Times New Roman"/>
          <w:i/>
          <w:iCs/>
          <w:color w:val="333333"/>
          <w:sz w:val="24"/>
          <w:szCs w:val="24"/>
        </w:rPr>
        <w:t>Fuente:</w:t>
      </w:r>
      <w:r w:rsidRPr="00077A37">
        <w:rPr>
          <w:rFonts w:ascii="Times New Roman" w:hAnsi="Times New Roman" w:cs="Times New Roman"/>
          <w:color w:val="333333"/>
          <w:sz w:val="24"/>
          <w:szCs w:val="24"/>
        </w:rPr>
        <w:t> Eurostat </w:t>
      </w:r>
      <w:hyperlink r:id="rId182" w:tgtFrame="_blank" w:history="1">
        <w:r w:rsidRPr="003137D2">
          <w:rPr>
            <w:rStyle w:val="Hipervnculo"/>
            <w:rFonts w:ascii="Times New Roman" w:hAnsi="Times New Roman" w:cs="Times New Roman"/>
            <w:color w:val="auto"/>
            <w:sz w:val="24"/>
            <w:szCs w:val="24"/>
          </w:rPr>
          <w:t>(ilc_lvhl11n)</w:t>
        </w:r>
      </w:hyperlink>
    </w:p>
    <w:p w:rsidR="00BE473A" w:rsidRDefault="00BE473A" w:rsidP="00BE473A">
      <w:pPr>
        <w:pStyle w:val="NormalWeb"/>
        <w:shd w:val="clear" w:color="auto" w:fill="FFFFFF"/>
        <w:spacing w:before="0" w:beforeAutospacing="0" w:after="105" w:afterAutospacing="0"/>
        <w:jc w:val="both"/>
        <w:rPr>
          <w:color w:val="333333"/>
        </w:rPr>
      </w:pPr>
      <w:r w:rsidRPr="00077A37">
        <w:rPr>
          <w:color w:val="333333"/>
        </w:rPr>
        <w:t>Como se muestra en la Tabla 4, en 2020 a nivel de la UE, la proporción de jóvenes que viven en hogares con muy baja intensidad laboral es mayor entre el grupo de mayor edad, de 24 a 29 años (9,8 %), en comparación con el de 20 a 24 años (8,9 %). %) y 15-19 (8,2 %). Sin embargo, este patrón se repite únicamente en once de los Estados miembros, mientras que los dieciséis restantes se reparten a partes iguales entre aquellos en los que la categoría 15-19 es la que tiene mayor proporción en la categoría de baja intensidad laboral y aquellos en los que esta es el caso de los de 20-24 años. Las diferencias entre las categorías de edad son muy pequeñas en algunos Estados miembros, mientras que en otros son realmente notables. Por ejemplo, en Dinamarca, el riesgo de vivir en un hogar con una intensidad de trabajo muy baja para el grupo de mayor edad entre los jóvenes (25-29) es seis veces mayor que para el grupo de edad más joven (15-19).</w:t>
      </w:r>
    </w:p>
    <w:p w:rsidR="00BE473A" w:rsidRPr="00077A37" w:rsidRDefault="00BE473A" w:rsidP="00BE473A">
      <w:pPr>
        <w:pStyle w:val="NormalWeb"/>
        <w:shd w:val="clear" w:color="auto" w:fill="FFFFFF"/>
        <w:spacing w:before="0" w:beforeAutospacing="0" w:after="105" w:afterAutospacing="0"/>
        <w:jc w:val="both"/>
        <w:rPr>
          <w:color w:val="333333"/>
        </w:rPr>
      </w:pPr>
      <w:r w:rsidRPr="00910F66">
        <w:rPr>
          <w:noProof/>
          <w:color w:val="333333"/>
          <w:lang w:val="en-GB" w:eastAsia="zh-CN"/>
        </w:rPr>
        <w:lastRenderedPageBreak/>
        <w:drawing>
          <wp:inline distT="0" distB="0" distL="0" distR="0">
            <wp:extent cx="5730687" cy="4470400"/>
            <wp:effectExtent l="0" t="0" r="3810" b="6350"/>
            <wp:docPr id="112" name="Imagen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3"/>
                    <a:stretch>
                      <a:fillRect/>
                    </a:stretch>
                  </pic:blipFill>
                  <pic:spPr>
                    <a:xfrm>
                      <a:off x="0" y="0"/>
                      <a:ext cx="5731510" cy="4471042"/>
                    </a:xfrm>
                    <a:prstGeom prst="rect">
                      <a:avLst/>
                    </a:prstGeom>
                  </pic:spPr>
                </pic:pic>
              </a:graphicData>
            </a:graphic>
          </wp:inline>
        </w:drawing>
      </w:r>
    </w:p>
    <w:p w:rsidR="00BE473A" w:rsidRDefault="00BE473A" w:rsidP="00BE473A">
      <w:pPr>
        <w:shd w:val="clear" w:color="auto" w:fill="FFFFFF"/>
        <w:spacing w:line="240" w:lineRule="auto"/>
        <w:jc w:val="both"/>
        <w:rPr>
          <w:rFonts w:ascii="Times New Roman" w:hAnsi="Times New Roman" w:cs="Times New Roman"/>
          <w:color w:val="333333"/>
          <w:sz w:val="24"/>
          <w:szCs w:val="24"/>
        </w:rPr>
      </w:pPr>
      <w:r w:rsidRPr="00077A37">
        <w:rPr>
          <w:rFonts w:ascii="Times New Roman" w:hAnsi="Times New Roman" w:cs="Times New Roman"/>
          <w:color w:val="333333"/>
          <w:sz w:val="24"/>
          <w:szCs w:val="24"/>
        </w:rPr>
        <w:t>Tabla 4: Proporción de jóvenes que viven en hogares con muy baja intensidad laboral, nueva definición, 2020</w:t>
      </w:r>
      <w:r>
        <w:rPr>
          <w:rFonts w:ascii="Times New Roman" w:hAnsi="Times New Roman" w:cs="Times New Roman"/>
          <w:color w:val="333333"/>
          <w:sz w:val="24"/>
          <w:szCs w:val="24"/>
        </w:rPr>
        <w:t xml:space="preserve"> (%)</w:t>
      </w:r>
    </w:p>
    <w:p w:rsidR="00BE473A" w:rsidRPr="003137D2" w:rsidRDefault="00BE473A" w:rsidP="00BE473A">
      <w:pPr>
        <w:shd w:val="clear" w:color="auto" w:fill="FFFFFF"/>
        <w:spacing w:line="240" w:lineRule="auto"/>
        <w:jc w:val="both"/>
        <w:rPr>
          <w:rStyle w:val="Hipervnculo"/>
          <w:rFonts w:ascii="Times New Roman" w:hAnsi="Times New Roman" w:cs="Times New Roman"/>
          <w:color w:val="auto"/>
          <w:sz w:val="24"/>
          <w:szCs w:val="24"/>
        </w:rPr>
      </w:pPr>
      <w:r w:rsidRPr="00077A37">
        <w:rPr>
          <w:rFonts w:ascii="Times New Roman" w:hAnsi="Times New Roman" w:cs="Times New Roman"/>
          <w:i/>
          <w:iCs/>
          <w:color w:val="333333"/>
          <w:sz w:val="24"/>
          <w:szCs w:val="24"/>
        </w:rPr>
        <w:t>Fuente:</w:t>
      </w:r>
      <w:r w:rsidRPr="00077A37">
        <w:rPr>
          <w:rFonts w:ascii="Times New Roman" w:hAnsi="Times New Roman" w:cs="Times New Roman"/>
          <w:color w:val="333333"/>
          <w:sz w:val="24"/>
          <w:szCs w:val="24"/>
        </w:rPr>
        <w:t> Eurostat </w:t>
      </w:r>
      <w:hyperlink r:id="rId184" w:tgtFrame="_blank" w:history="1">
        <w:r w:rsidRPr="003137D2">
          <w:rPr>
            <w:rStyle w:val="Hipervnculo"/>
            <w:rFonts w:ascii="Times New Roman" w:hAnsi="Times New Roman" w:cs="Times New Roman"/>
            <w:color w:val="auto"/>
            <w:sz w:val="24"/>
            <w:szCs w:val="24"/>
          </w:rPr>
          <w:t>(ilc_lvhl11n)</w:t>
        </w:r>
      </w:hyperlink>
    </w:p>
    <w:p w:rsidR="00BE473A" w:rsidRPr="00F47CCE" w:rsidRDefault="00BE473A" w:rsidP="00BE473A">
      <w:pPr>
        <w:pStyle w:val="NormalWeb"/>
        <w:spacing w:before="0" w:beforeAutospacing="0" w:after="0" w:afterAutospacing="0"/>
        <w:jc w:val="both"/>
        <w:rPr>
          <w:iCs/>
        </w:rPr>
      </w:pPr>
      <w:r w:rsidRPr="00F47CCE">
        <w:rPr>
          <w:b/>
          <w:bCs/>
        </w:rPr>
        <w:t>Tasas de empleo de los recién graduados</w:t>
      </w:r>
      <w:r>
        <w:rPr>
          <w:bCs/>
        </w:rPr>
        <w:t xml:space="preserve"> (</w:t>
      </w:r>
      <w:r w:rsidRPr="00F47CCE">
        <w:rPr>
          <w:iCs/>
        </w:rPr>
        <w:t>Datos extraídos en mayo de 2022</w:t>
      </w:r>
      <w:r>
        <w:rPr>
          <w:iCs/>
        </w:rPr>
        <w:t>)</w:t>
      </w:r>
    </w:p>
    <w:p w:rsidR="00BE473A" w:rsidRDefault="00BE473A" w:rsidP="00BE473A">
      <w:pPr>
        <w:shd w:val="clear" w:color="auto" w:fill="FFFFFF"/>
        <w:spacing w:line="240" w:lineRule="auto"/>
        <w:jc w:val="both"/>
        <w:rPr>
          <w:rFonts w:ascii="Times New Roman" w:hAnsi="Times New Roman" w:cs="Times New Roman"/>
          <w:b/>
          <w:bCs/>
          <w:color w:val="333333"/>
          <w:sz w:val="24"/>
          <w:szCs w:val="24"/>
        </w:rPr>
      </w:pPr>
    </w:p>
    <w:p w:rsidR="00BE473A" w:rsidRPr="00F47CCE" w:rsidRDefault="00BE473A" w:rsidP="00BE473A">
      <w:pPr>
        <w:shd w:val="clear" w:color="auto" w:fill="FFFFFF"/>
        <w:spacing w:line="240" w:lineRule="auto"/>
        <w:jc w:val="both"/>
        <w:rPr>
          <w:rFonts w:ascii="Times New Roman" w:hAnsi="Times New Roman" w:cs="Times New Roman"/>
          <w:b/>
          <w:bCs/>
          <w:color w:val="333333"/>
          <w:sz w:val="24"/>
          <w:szCs w:val="24"/>
        </w:rPr>
      </w:pPr>
      <w:r w:rsidRPr="00F47CCE">
        <w:rPr>
          <w:rFonts w:ascii="Times New Roman" w:hAnsi="Times New Roman" w:cs="Times New Roman"/>
          <w:b/>
          <w:bCs/>
          <w:color w:val="333333"/>
          <w:sz w:val="24"/>
          <w:szCs w:val="24"/>
        </w:rPr>
        <w:t>La tasa de empleo de los recién graduados de entre 20 y 34 años en la UE fue del 79,6 % en 2021. La tasa de empleo osciló entre el 57,9 % en Italia y el 93,1 % en los Países Bajos.</w:t>
      </w:r>
    </w:p>
    <w:p w:rsidR="00BE473A" w:rsidRPr="00F47CCE" w:rsidRDefault="00BE473A" w:rsidP="00BE473A">
      <w:pPr>
        <w:shd w:val="clear" w:color="auto" w:fill="FFFFFF"/>
        <w:spacing w:line="240" w:lineRule="auto"/>
        <w:jc w:val="both"/>
        <w:rPr>
          <w:rFonts w:ascii="Times New Roman" w:hAnsi="Times New Roman" w:cs="Times New Roman"/>
          <w:b/>
          <w:bCs/>
          <w:color w:val="333333"/>
          <w:sz w:val="24"/>
          <w:szCs w:val="24"/>
        </w:rPr>
      </w:pPr>
      <w:r w:rsidRPr="00F47CCE">
        <w:rPr>
          <w:rFonts w:ascii="Times New Roman" w:hAnsi="Times New Roman" w:cs="Times New Roman"/>
          <w:b/>
          <w:bCs/>
          <w:color w:val="333333"/>
          <w:sz w:val="24"/>
          <w:szCs w:val="24"/>
        </w:rPr>
        <w:t>En 2021, los hombres recién graduados en la UE tenían más probabilidades de encontrar trabajo que sus contrapartes mujeres, la diferencia entre los sexos ascendía a 2,9 puntos porcentuales.</w:t>
      </w:r>
    </w:p>
    <w:p w:rsidR="00BE473A" w:rsidRDefault="00BE473A" w:rsidP="00BE473A">
      <w:pPr>
        <w:shd w:val="clear" w:color="auto" w:fill="FFFFFF"/>
        <w:spacing w:line="240" w:lineRule="auto"/>
        <w:jc w:val="both"/>
        <w:rPr>
          <w:rFonts w:ascii="Times New Roman" w:hAnsi="Times New Roman" w:cs="Times New Roman"/>
          <w:b/>
          <w:bCs/>
          <w:color w:val="333333"/>
          <w:sz w:val="24"/>
          <w:szCs w:val="24"/>
        </w:rPr>
      </w:pPr>
      <w:r w:rsidRPr="00F47CCE">
        <w:rPr>
          <w:rFonts w:ascii="Times New Roman" w:hAnsi="Times New Roman" w:cs="Times New Roman"/>
          <w:b/>
          <w:bCs/>
          <w:color w:val="333333"/>
          <w:sz w:val="24"/>
          <w:szCs w:val="24"/>
        </w:rPr>
        <w:t>La tasa de empleo de los recién graduados de la formación profesional media en la UE ascendió al 76,4 % en 2021.</w:t>
      </w:r>
    </w:p>
    <w:p w:rsidR="00BE473A" w:rsidRPr="00F47CCE" w:rsidRDefault="00BE473A" w:rsidP="00BE473A">
      <w:pPr>
        <w:shd w:val="clear" w:color="auto" w:fill="FFFFFF"/>
        <w:spacing w:line="240" w:lineRule="auto"/>
        <w:jc w:val="both"/>
        <w:rPr>
          <w:rFonts w:ascii="Times New Roman" w:hAnsi="Times New Roman" w:cs="Times New Roman"/>
          <w:b/>
          <w:bCs/>
          <w:color w:val="333333"/>
          <w:sz w:val="24"/>
          <w:szCs w:val="24"/>
        </w:rPr>
      </w:pPr>
      <w:r w:rsidRPr="006E5A80">
        <w:rPr>
          <w:rFonts w:ascii="Times New Roman" w:hAnsi="Times New Roman" w:cs="Times New Roman"/>
          <w:b/>
          <w:bCs/>
          <w:noProof/>
          <w:color w:val="333333"/>
          <w:sz w:val="24"/>
          <w:szCs w:val="24"/>
          <w:lang w:val="en-GB" w:eastAsia="zh-CN"/>
        </w:rPr>
        <w:lastRenderedPageBreak/>
        <w:drawing>
          <wp:inline distT="0" distB="0" distL="0" distR="0">
            <wp:extent cx="5731510" cy="2538153"/>
            <wp:effectExtent l="0" t="0" r="2540" b="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5"/>
                    <a:stretch>
                      <a:fillRect/>
                    </a:stretch>
                  </pic:blipFill>
                  <pic:spPr>
                    <a:xfrm>
                      <a:off x="0" y="0"/>
                      <a:ext cx="5731510" cy="2538153"/>
                    </a:xfrm>
                    <a:prstGeom prst="rect">
                      <a:avLst/>
                    </a:prstGeom>
                  </pic:spPr>
                </pic:pic>
              </a:graphicData>
            </a:graphic>
          </wp:inline>
        </w:drawing>
      </w:r>
    </w:p>
    <w:p w:rsidR="00BE473A" w:rsidRPr="00F47CCE" w:rsidRDefault="00BE473A" w:rsidP="00BE473A">
      <w:pPr>
        <w:shd w:val="clear" w:color="auto" w:fill="FFFFFF"/>
        <w:spacing w:line="240" w:lineRule="auto"/>
        <w:jc w:val="both"/>
        <w:rPr>
          <w:rFonts w:ascii="Times New Roman" w:hAnsi="Times New Roman" w:cs="Times New Roman"/>
          <w:color w:val="333333"/>
          <w:sz w:val="24"/>
          <w:szCs w:val="24"/>
          <w:lang/>
        </w:rPr>
      </w:pPr>
      <w:r w:rsidRPr="00F47CCE">
        <w:rPr>
          <w:rFonts w:ascii="Times New Roman" w:hAnsi="Times New Roman" w:cs="Times New Roman"/>
          <w:color w:val="333333"/>
          <w:sz w:val="24"/>
          <w:szCs w:val="24"/>
          <w:lang/>
        </w:rPr>
        <w:t>(ISCED 2011 levels 3–8)Medium education (ISCED 2011 levels 3 and 4)Tertiary education (ISCED 2011 levels 5–8)</w:t>
      </w:r>
    </w:p>
    <w:p w:rsidR="00BE473A" w:rsidRPr="003137D2" w:rsidRDefault="00BE473A" w:rsidP="00BE473A">
      <w:pPr>
        <w:pStyle w:val="NormalWeb"/>
        <w:shd w:val="clear" w:color="auto" w:fill="FFFFFF"/>
        <w:spacing w:before="0" w:beforeAutospacing="0" w:after="105" w:afterAutospacing="0"/>
        <w:jc w:val="both"/>
      </w:pPr>
      <w:r w:rsidRPr="003137D2">
        <w:t>Este artículo presenta estadísticas relacionadas con las </w:t>
      </w:r>
      <w:hyperlink r:id="rId186" w:history="1">
        <w:r w:rsidRPr="003137D2">
          <w:rPr>
            <w:rStyle w:val="Hipervnculo"/>
            <w:color w:val="auto"/>
            <w:u w:val="none"/>
          </w:rPr>
          <w:t>tasas de empleo</w:t>
        </w:r>
      </w:hyperlink>
      <w:r w:rsidRPr="003137D2">
        <w:t> de adultos jóvenes de 20 a 34 años que se graduaron recientemente de la educación secundaria superior o terciaria en la </w:t>
      </w:r>
      <w:hyperlink r:id="rId187" w:history="1">
        <w:r w:rsidRPr="003137D2">
          <w:rPr>
            <w:rStyle w:val="Hipervnculo"/>
            <w:color w:val="auto"/>
            <w:u w:val="none"/>
          </w:rPr>
          <w:t>Unión Europea (UE)</w:t>
        </w:r>
      </w:hyperlink>
      <w:r w:rsidRPr="003137D2">
        <w:t> . Los “recién graduados” se definen aquí como personas que, en primer lugar, han alcanzado al menos la educación secundaria superior ( </w:t>
      </w:r>
      <w:hyperlink r:id="rId188" w:history="1">
        <w:r w:rsidRPr="003137D2">
          <w:rPr>
            <w:rStyle w:val="Hipervnculo"/>
            <w:color w:val="auto"/>
            <w:u w:val="none"/>
          </w:rPr>
          <w:t>CINE 3</w:t>
        </w:r>
      </w:hyperlink>
      <w:r w:rsidRPr="003137D2">
        <w:t> ) como el nivel educativo más alto, en segundo lugar, no han recibido ninguna educación o formación (formal o no formal) en los cuatro semanas anteriores a la encuesta y, en tercer lugar, haber completado con éxito su nivel educativo más alto 1, 2 o 3 años antes de la encuesta. Los datos provienen de la </w:t>
      </w:r>
      <w:hyperlink r:id="rId189" w:history="1">
        <w:r w:rsidRPr="003137D2">
          <w:rPr>
            <w:rStyle w:val="Hipervnculo"/>
            <w:color w:val="auto"/>
            <w:u w:val="none"/>
          </w:rPr>
          <w:t>encuesta de población activa de la UE</w:t>
        </w:r>
      </w:hyperlink>
      <w:r w:rsidRPr="003137D2">
        <w:t> . El artículo se incluye en una serie de artículos estadísticos que forman parte de una publicación en línea, sobre educación y formación en la UE.</w:t>
      </w:r>
    </w:p>
    <w:p w:rsidR="00BE473A" w:rsidRPr="003137D2" w:rsidRDefault="00BE473A" w:rsidP="00BE473A">
      <w:pPr>
        <w:pStyle w:val="NormalWeb"/>
        <w:shd w:val="clear" w:color="auto" w:fill="FFFFFF"/>
        <w:spacing w:before="0" w:beforeAutospacing="0" w:after="105" w:afterAutospacing="0"/>
        <w:jc w:val="both"/>
      </w:pPr>
      <w:r w:rsidRPr="003137D2">
        <w:t>El artículo brinda información sobre la transición de la educación al trabajo y analiza el acceso al mercado laboral entre los recién graduados. Es importante asegurarse de que la transición de la educación al trabajo sea fluida para evitar el riesgo de convertirse en una persona que no trabaja </w:t>
      </w:r>
      <w:hyperlink r:id="rId190" w:tooltip="Estadísticas sobre los jóvenes que no trabajan ni estudian ni reciben formación" w:history="1">
        <w:r w:rsidRPr="003137D2">
          <w:rPr>
            <w:rStyle w:val="Hipervnculo"/>
            <w:color w:val="auto"/>
            <w:u w:val="none"/>
          </w:rPr>
          <w:t>ni estudia ni recibe formación (NINI)</w:t>
        </w:r>
      </w:hyperlink>
      <w:r w:rsidRPr="003137D2">
        <w:t> . El riesgo de convertirse en NINI disminuye con el nivel de educación, pero aún es importante tenerlo en cuenta.</w:t>
      </w:r>
    </w:p>
    <w:p w:rsidR="00BE473A" w:rsidRPr="003137D2" w:rsidRDefault="00BE473A" w:rsidP="00BE473A">
      <w:pPr>
        <w:pStyle w:val="NormalWeb"/>
        <w:shd w:val="clear" w:color="auto" w:fill="FFFFFF"/>
        <w:spacing w:before="0" w:beforeAutospacing="0" w:after="105" w:afterAutospacing="0"/>
        <w:jc w:val="both"/>
      </w:pPr>
      <w:r w:rsidRPr="003137D2">
        <w:t>Cada Estado miembro de la UE es responsable de su propio sistema de educación y formación, aunque </w:t>
      </w:r>
      <w:hyperlink r:id="rId191" w:tgtFrame="_blank" w:history="1">
        <w:r w:rsidRPr="003137D2">
          <w:rPr>
            <w:rStyle w:val="Hipervnculo"/>
            <w:color w:val="auto"/>
            <w:u w:val="none"/>
          </w:rPr>
          <w:t>las políticas</w:t>
        </w:r>
      </w:hyperlink>
      <w:r w:rsidRPr="003137D2">
        <w:t> de la UE en este campo están diseñadas para abordar desafíos comunes, proporcionando al mismo tiempo un foro para el intercambio de mejores prácticas y compartiendo evidencia de iniciativas políticas. </w:t>
      </w:r>
      <w:hyperlink r:id="rId192" w:tgtFrame="_blank" w:history="1">
        <w:r w:rsidRPr="003137D2">
          <w:rPr>
            <w:rStyle w:val="Hipervnculo"/>
            <w:color w:val="auto"/>
            <w:u w:val="none"/>
          </w:rPr>
          <w:t>La educación y formación profesional (EFP)</w:t>
        </w:r>
      </w:hyperlink>
      <w:r w:rsidRPr="003137D2">
        <w:t> es un elemento clave para los sistemas de </w:t>
      </w:r>
      <w:hyperlink r:id="rId193" w:history="1">
        <w:r w:rsidRPr="003137D2">
          <w:rPr>
            <w:rStyle w:val="Hipervnculo"/>
            <w:color w:val="auto"/>
            <w:u w:val="none"/>
          </w:rPr>
          <w:t>aprendizaje permanente</w:t>
        </w:r>
      </w:hyperlink>
      <w:r w:rsidRPr="003137D2">
        <w:t> , y existe un </w:t>
      </w:r>
      <w:hyperlink r:id="rId194" w:tgtFrame="_blank" w:history="1">
        <w:r w:rsidRPr="003137D2">
          <w:rPr>
            <w:rStyle w:val="Hipervnculo"/>
            <w:color w:val="auto"/>
            <w:u w:val="none"/>
          </w:rPr>
          <w:t>objetivo a nivel de la UE de</w:t>
        </w:r>
      </w:hyperlink>
      <w:r w:rsidRPr="003137D2">
        <w:t> que la proporción de empleados recién graduados de FP sea de al menos el 82 % para 2025 para aquellos de 20 a 34 años. En 2021, esta proporción ascendió al 76,4 % en la UE.</w:t>
      </w:r>
    </w:p>
    <w:p w:rsidR="00BE473A" w:rsidRPr="006E5A80" w:rsidRDefault="00BE473A" w:rsidP="00BE473A">
      <w:pPr>
        <w:pStyle w:val="NormalWeb"/>
        <w:shd w:val="clear" w:color="auto" w:fill="FFFFFF"/>
        <w:spacing w:before="0" w:beforeAutospacing="0" w:after="105" w:afterAutospacing="0"/>
        <w:jc w:val="both"/>
        <w:rPr>
          <w:color w:val="333333"/>
        </w:rPr>
      </w:pPr>
      <w:r w:rsidRPr="00ED2942">
        <w:t xml:space="preserve">La Figura 1 presenta las tasas de empleo de los recién graduados por nivel de educación dentro de la UE. Revela que las tasas de empleo más altas en 2021 se registraron para aquellos que se habían graduado con educación terciaria, mientras que las tasas de empleo más bajas se registraron para aquellos con una educación secundaria superior o postsecundaria no terciaria (es decir, con un nivel medio de educación) . Nótese que los graduados recientes con educación secundaria superior profesional o educación </w:t>
      </w:r>
      <w:r w:rsidRPr="006E5A80">
        <w:rPr>
          <w:color w:val="333333"/>
        </w:rPr>
        <w:t>postsecundaria</w:t>
      </w:r>
      <w:r>
        <w:rPr>
          <w:color w:val="333333"/>
        </w:rPr>
        <w:t xml:space="preserve"> no terciaria (en lo sucesivo, “educación profesional media”</w:t>
      </w:r>
      <w:r w:rsidRPr="006E5A80">
        <w:rPr>
          <w:color w:val="333333"/>
        </w:rPr>
        <w:t xml:space="preserve">) en la mayoría de los Estados miembros de la UE registraron tasas de empleo más altas que aquellos con </w:t>
      </w:r>
      <w:r w:rsidRPr="006E5A80">
        <w:rPr>
          <w:color w:val="333333"/>
        </w:rPr>
        <w:lastRenderedPageBreak/>
        <w:t>educación secundaria superior general o educación postsecundaria no terciaria. educac</w:t>
      </w:r>
      <w:r>
        <w:rPr>
          <w:color w:val="333333"/>
        </w:rPr>
        <w:t>ión terciaria (en lo sucesivo, “educación general media”</w:t>
      </w:r>
      <w:r w:rsidRPr="006E5A80">
        <w:rPr>
          <w:color w:val="333333"/>
        </w:rPr>
        <w:t>). Como tal,</w:t>
      </w:r>
    </w:p>
    <w:p w:rsidR="00BE473A" w:rsidRPr="006E5A80" w:rsidRDefault="00BE473A" w:rsidP="00BE473A">
      <w:pPr>
        <w:pStyle w:val="NormalWeb"/>
        <w:shd w:val="clear" w:color="auto" w:fill="FFFFFF"/>
        <w:spacing w:before="0" w:beforeAutospacing="0" w:after="105" w:afterAutospacing="0"/>
        <w:jc w:val="both"/>
        <w:rPr>
          <w:color w:val="333333"/>
        </w:rPr>
      </w:pPr>
      <w:r w:rsidRPr="006E5A80">
        <w:rPr>
          <w:color w:val="333333"/>
        </w:rPr>
        <w:t>Al observar los detalles, la figura 1 muestra que la tasa de empleo de la UE para los recién graduados en 2021 fue del 79,6 %. Sin embargo, existen diferencias entre los países y las tasas de empleo más altas se encontraron en los Países Bajos (93,1 %) y Alemania (91,3 %). Las tasas de empleo más bajas se encontraron en Italia (57,9 %) y Grecia (60,1 %). También se registró una baja tasa de empleo en Serbia (65,1%).</w:t>
      </w:r>
    </w:p>
    <w:p w:rsidR="00BE473A" w:rsidRDefault="00BE473A" w:rsidP="00BE473A">
      <w:pPr>
        <w:pStyle w:val="NormalWeb"/>
        <w:shd w:val="clear" w:color="auto" w:fill="FFFFFF"/>
        <w:spacing w:before="0" w:beforeAutospacing="0" w:after="105" w:afterAutospacing="0"/>
        <w:jc w:val="both"/>
        <w:rPr>
          <w:color w:val="333333"/>
        </w:rPr>
      </w:pPr>
      <w:r w:rsidRPr="006E5A80">
        <w:rPr>
          <w:color w:val="333333"/>
        </w:rPr>
        <w:t>Como se ha dicho anteriormente, el nivel de estudios desempeña un papel clave cuando los recién graduados buscan empleo. Aquellos con un nivel educativo terciario registraron las tasas de empleo más altas y, en general, estaban mejor protegidos de los riesgos del desempleo que sus pares que ingresaron al mercado laboral con niveles más bajos de nivel educativo. En 2021, la tasa de empleo de los recién graduados en educación terciaria fue del 90,0 % o más en los Países Bajos, Malta, Alemania, Estonia, Lituania, Hungría, Eslovenia, Suecia, Finlandia, Austria, Irlanda y Letonia. Hubo tres Estados miembros de la UE donde este indicador fue inferior al 80,0 %: Grecia, Italia y España.</w:t>
      </w:r>
    </w:p>
    <w:p w:rsidR="00BE473A" w:rsidRPr="006E5A80" w:rsidRDefault="00BE473A" w:rsidP="00BE473A">
      <w:pPr>
        <w:pStyle w:val="NormalWeb"/>
        <w:shd w:val="clear" w:color="auto" w:fill="FFFFFF"/>
        <w:spacing w:before="0" w:beforeAutospacing="0" w:after="105" w:afterAutospacing="0"/>
        <w:jc w:val="both"/>
        <w:rPr>
          <w:color w:val="333333"/>
        </w:rPr>
      </w:pPr>
      <w:r w:rsidRPr="006E5A80">
        <w:rPr>
          <w:noProof/>
          <w:color w:val="333333"/>
          <w:lang w:val="en-GB" w:eastAsia="zh-CN"/>
        </w:rPr>
        <w:drawing>
          <wp:inline distT="0" distB="0" distL="0" distR="0">
            <wp:extent cx="5731510" cy="3670350"/>
            <wp:effectExtent l="0" t="0" r="2540" b="6350"/>
            <wp:docPr id="124" name="Imagen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5"/>
                    <a:stretch>
                      <a:fillRect/>
                    </a:stretch>
                  </pic:blipFill>
                  <pic:spPr>
                    <a:xfrm>
                      <a:off x="0" y="0"/>
                      <a:ext cx="5731510" cy="3670350"/>
                    </a:xfrm>
                    <a:prstGeom prst="rect">
                      <a:avLst/>
                    </a:prstGeom>
                  </pic:spPr>
                </pic:pic>
              </a:graphicData>
            </a:graphic>
          </wp:inline>
        </w:drawing>
      </w:r>
    </w:p>
    <w:p w:rsidR="00BE473A" w:rsidRDefault="00BE473A" w:rsidP="00BE473A">
      <w:pPr>
        <w:shd w:val="clear" w:color="auto" w:fill="FFFFFF"/>
        <w:spacing w:line="240" w:lineRule="auto"/>
        <w:jc w:val="both"/>
        <w:rPr>
          <w:rFonts w:ascii="Times New Roman" w:hAnsi="Times New Roman" w:cs="Times New Roman"/>
          <w:color w:val="333333"/>
          <w:sz w:val="24"/>
          <w:szCs w:val="24"/>
        </w:rPr>
      </w:pPr>
      <w:r w:rsidRPr="006E5A80">
        <w:rPr>
          <w:rFonts w:ascii="Times New Roman" w:hAnsi="Times New Roman" w:cs="Times New Roman"/>
          <w:color w:val="333333"/>
          <w:sz w:val="24"/>
          <w:szCs w:val="24"/>
        </w:rPr>
        <w:t>Figura 1: Tasas de empleo de recién graduados (de 20 a 34 años) que no estudian ni reciben formación, por nivel de educación, 2021</w:t>
      </w:r>
      <w:r>
        <w:rPr>
          <w:rFonts w:ascii="Times New Roman" w:hAnsi="Times New Roman" w:cs="Times New Roman"/>
          <w:color w:val="333333"/>
          <w:sz w:val="24"/>
          <w:szCs w:val="24"/>
        </w:rPr>
        <w:t xml:space="preserve"> (%)</w:t>
      </w:r>
    </w:p>
    <w:p w:rsidR="00BE473A" w:rsidRPr="00A53981" w:rsidRDefault="00BE473A" w:rsidP="00BE473A">
      <w:pPr>
        <w:shd w:val="clear" w:color="auto" w:fill="FFFFFF"/>
        <w:spacing w:line="240" w:lineRule="auto"/>
        <w:jc w:val="both"/>
        <w:rPr>
          <w:rFonts w:ascii="Times New Roman" w:hAnsi="Times New Roman" w:cs="Times New Roman"/>
          <w:sz w:val="24"/>
          <w:szCs w:val="24"/>
        </w:rPr>
      </w:pPr>
      <w:r w:rsidRPr="006E5A80">
        <w:rPr>
          <w:rFonts w:ascii="Times New Roman" w:hAnsi="Times New Roman" w:cs="Times New Roman"/>
          <w:i/>
          <w:iCs/>
          <w:color w:val="333333"/>
          <w:sz w:val="24"/>
          <w:szCs w:val="24"/>
        </w:rPr>
        <w:t>Fuente:</w:t>
      </w:r>
      <w:r w:rsidRPr="006E5A80">
        <w:rPr>
          <w:rFonts w:ascii="Times New Roman" w:hAnsi="Times New Roman" w:cs="Times New Roman"/>
          <w:color w:val="333333"/>
          <w:sz w:val="24"/>
          <w:szCs w:val="24"/>
        </w:rPr>
        <w:t> Eurostat </w:t>
      </w:r>
      <w:hyperlink r:id="rId196" w:tgtFrame="_blank" w:history="1">
        <w:r w:rsidRPr="003137D2">
          <w:rPr>
            <w:rStyle w:val="Hipervnculo"/>
            <w:rFonts w:ascii="Times New Roman" w:hAnsi="Times New Roman" w:cs="Times New Roman"/>
            <w:color w:val="auto"/>
            <w:sz w:val="24"/>
            <w:szCs w:val="24"/>
          </w:rPr>
          <w:t>(edat_lfse_24)</w:t>
        </w:r>
      </w:hyperlink>
    </w:p>
    <w:p w:rsidR="00BE473A" w:rsidRPr="006E5A80" w:rsidRDefault="00BE473A" w:rsidP="00BE473A">
      <w:pPr>
        <w:pStyle w:val="Ttulo3"/>
        <w:shd w:val="clear" w:color="auto" w:fill="FFFFFF"/>
        <w:spacing w:before="150" w:line="240" w:lineRule="auto"/>
        <w:jc w:val="both"/>
        <w:rPr>
          <w:rStyle w:val="mw-headline"/>
          <w:rFonts w:ascii="Times New Roman" w:hAnsi="Times New Roman" w:cs="Times New Roman"/>
          <w:bCs w:val="0"/>
          <w:color w:val="auto"/>
          <w:sz w:val="24"/>
          <w:szCs w:val="24"/>
        </w:rPr>
      </w:pPr>
      <w:r w:rsidRPr="006E5A80">
        <w:rPr>
          <w:rStyle w:val="mw-headline"/>
          <w:rFonts w:ascii="Times New Roman" w:hAnsi="Times New Roman" w:cs="Times New Roman"/>
          <w:bCs w:val="0"/>
          <w:color w:val="auto"/>
          <w:sz w:val="24"/>
          <w:szCs w:val="24"/>
        </w:rPr>
        <w:t>Tasas de empleo de los recién graduados a lo largo del tiempo</w:t>
      </w:r>
    </w:p>
    <w:p w:rsidR="00BE473A" w:rsidRDefault="00BE473A" w:rsidP="00BE473A">
      <w:pPr>
        <w:pStyle w:val="NormalWeb"/>
        <w:shd w:val="clear" w:color="auto" w:fill="FFFFFF"/>
        <w:spacing w:before="0" w:beforeAutospacing="0" w:after="105" w:afterAutospacing="0"/>
        <w:jc w:val="both"/>
        <w:rPr>
          <w:rFonts w:asciiTheme="minorHAnsi" w:eastAsiaTheme="minorHAnsi" w:hAnsiTheme="minorHAnsi" w:cstheme="minorBidi"/>
          <w:sz w:val="22"/>
          <w:szCs w:val="22"/>
          <w:lang w:eastAsia="en-US"/>
        </w:rPr>
      </w:pPr>
    </w:p>
    <w:p w:rsidR="00BE473A" w:rsidRPr="006E5A80" w:rsidRDefault="00BE473A" w:rsidP="00BE473A">
      <w:pPr>
        <w:pStyle w:val="NormalWeb"/>
        <w:shd w:val="clear" w:color="auto" w:fill="FFFFFF"/>
        <w:spacing w:before="0" w:beforeAutospacing="0" w:after="105" w:afterAutospacing="0"/>
        <w:jc w:val="both"/>
        <w:rPr>
          <w:color w:val="333333"/>
        </w:rPr>
      </w:pPr>
      <w:r w:rsidRPr="006E5A80">
        <w:rPr>
          <w:color w:val="333333"/>
        </w:rPr>
        <w:t>Al observar los diferentes tipos de recién graduados y sus tasas de empleo a lo largo del tiempo, el patrón general es el mismo y las tasas fluctúan con el ciclo económico, consulte la Figura 2. Sin embargo, los patrones están en diferentes niveles para los diferentes niveles de educación donde los graduados de educación terciaria tenían consistentemente la tasa de empleo más alta.</w:t>
      </w:r>
    </w:p>
    <w:p w:rsidR="00BE473A" w:rsidRPr="006E5A80" w:rsidRDefault="00BE473A" w:rsidP="00BE473A">
      <w:pPr>
        <w:pStyle w:val="NormalWeb"/>
        <w:shd w:val="clear" w:color="auto" w:fill="FFFFFF"/>
        <w:spacing w:before="0" w:beforeAutospacing="0" w:after="105" w:afterAutospacing="0"/>
        <w:jc w:val="both"/>
        <w:rPr>
          <w:color w:val="333333"/>
        </w:rPr>
      </w:pPr>
      <w:r w:rsidRPr="006E5A80">
        <w:rPr>
          <w:color w:val="333333"/>
        </w:rPr>
        <w:lastRenderedPageBreak/>
        <w:t>Mirando las cifras con más detalle, los recién graduados en educación terciaria tuvieron su tasa de empleo más baja en 2014 (79,5 %). La participación aumentó al 85,0 % en 2019, antes de bajar en 2020 con el inicio de la pandemia de COVID-19. En 2021, el nivel volvió a subir y, en un 84,9 %, casi volvió al mismo nivel que antes de la pandemia de COVID-19.</w:t>
      </w:r>
    </w:p>
    <w:p w:rsidR="00BE473A" w:rsidRPr="006E5A80" w:rsidRDefault="00BE473A" w:rsidP="00BE473A">
      <w:pPr>
        <w:pStyle w:val="NormalWeb"/>
        <w:shd w:val="clear" w:color="auto" w:fill="FFFFFF"/>
        <w:spacing w:before="0" w:beforeAutospacing="0" w:after="105" w:afterAutospacing="0"/>
        <w:jc w:val="both"/>
        <w:rPr>
          <w:color w:val="333333"/>
        </w:rPr>
      </w:pPr>
      <w:r w:rsidRPr="006E5A80">
        <w:rPr>
          <w:color w:val="333333"/>
        </w:rPr>
        <w:t>En cuanto a los recién graduados de educación media, la tasa de empleo de la UE alcanzó su punto más bajo en 2013 (68,4 %). Por el contrario, la proporción más alta para esta subpoblación se registró en 76,0 % en 2018. En 2020 hubo una rápida disminución debido a la pandemia de COVID-19, pero la proporción aumentó nuevamente en 2021 a un nivel de 73,1 %.</w:t>
      </w:r>
    </w:p>
    <w:p w:rsidR="00BE473A" w:rsidRDefault="00BE473A" w:rsidP="00BE473A">
      <w:pPr>
        <w:pStyle w:val="NormalWeb"/>
        <w:shd w:val="clear" w:color="auto" w:fill="FFFFFF"/>
        <w:spacing w:before="0" w:beforeAutospacing="0" w:after="105" w:afterAutospacing="0"/>
        <w:jc w:val="both"/>
        <w:rPr>
          <w:color w:val="333333"/>
        </w:rPr>
      </w:pPr>
      <w:r w:rsidRPr="006E5A80">
        <w:rPr>
          <w:color w:val="333333"/>
        </w:rPr>
        <w:t>En 2021, la brecha en las tasas de empleo entre los recién graduados en educación terciaria y los recién graduados en educación media fue de 11,8 puntos porcentuales (pp.), algo mayor que en 2011 y también en 2020 (alrededor de 11,5 pp). Esta brecha fue menor en 2018 (9,0 pp.).</w:t>
      </w:r>
    </w:p>
    <w:p w:rsidR="00BE473A" w:rsidRPr="006E5A80" w:rsidRDefault="00BE473A" w:rsidP="00BE473A">
      <w:pPr>
        <w:pStyle w:val="NormalWeb"/>
        <w:shd w:val="clear" w:color="auto" w:fill="FFFFFF"/>
        <w:spacing w:before="0" w:beforeAutospacing="0" w:after="105" w:afterAutospacing="0"/>
        <w:jc w:val="both"/>
        <w:rPr>
          <w:color w:val="333333"/>
        </w:rPr>
      </w:pPr>
      <w:r w:rsidRPr="006E5A80">
        <w:rPr>
          <w:noProof/>
          <w:color w:val="333333"/>
          <w:lang w:val="en-GB" w:eastAsia="zh-CN"/>
        </w:rPr>
        <w:drawing>
          <wp:inline distT="0" distB="0" distL="0" distR="0">
            <wp:extent cx="5731510" cy="3811209"/>
            <wp:effectExtent l="0" t="0" r="2540" b="0"/>
            <wp:docPr id="125" name="Imagen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7"/>
                    <a:stretch>
                      <a:fillRect/>
                    </a:stretch>
                  </pic:blipFill>
                  <pic:spPr>
                    <a:xfrm>
                      <a:off x="0" y="0"/>
                      <a:ext cx="5731510" cy="3811209"/>
                    </a:xfrm>
                    <a:prstGeom prst="rect">
                      <a:avLst/>
                    </a:prstGeom>
                  </pic:spPr>
                </pic:pic>
              </a:graphicData>
            </a:graphic>
          </wp:inline>
        </w:drawing>
      </w:r>
    </w:p>
    <w:p w:rsidR="00BE473A" w:rsidRDefault="00BE473A" w:rsidP="00BE473A">
      <w:pPr>
        <w:shd w:val="clear" w:color="auto" w:fill="FFFFFF"/>
        <w:spacing w:line="240" w:lineRule="auto"/>
        <w:jc w:val="both"/>
        <w:rPr>
          <w:rFonts w:ascii="Times New Roman" w:hAnsi="Times New Roman" w:cs="Times New Roman"/>
          <w:color w:val="333333"/>
          <w:sz w:val="24"/>
          <w:szCs w:val="24"/>
        </w:rPr>
      </w:pPr>
      <w:r w:rsidRPr="006E5A80">
        <w:rPr>
          <w:rFonts w:ascii="Times New Roman" w:hAnsi="Times New Roman" w:cs="Times New Roman"/>
          <w:color w:val="333333"/>
          <w:sz w:val="24"/>
          <w:szCs w:val="24"/>
        </w:rPr>
        <w:t>Figura 2: Tasas de empleo de recién graduados (de 20 a 34 años) que no estudian ni reciben formación, por nivel educativo, UE, 2011-2021</w:t>
      </w:r>
      <w:r>
        <w:rPr>
          <w:rFonts w:ascii="Times New Roman" w:hAnsi="Times New Roman" w:cs="Times New Roman"/>
          <w:color w:val="333333"/>
          <w:sz w:val="24"/>
          <w:szCs w:val="24"/>
        </w:rPr>
        <w:t xml:space="preserve"> (%)</w:t>
      </w:r>
    </w:p>
    <w:p w:rsidR="00BE473A" w:rsidRPr="003137D2" w:rsidRDefault="00BE473A" w:rsidP="00BE473A">
      <w:pPr>
        <w:shd w:val="clear" w:color="auto" w:fill="FFFFFF"/>
        <w:spacing w:line="240" w:lineRule="auto"/>
        <w:jc w:val="both"/>
        <w:rPr>
          <w:rFonts w:ascii="Times New Roman" w:hAnsi="Times New Roman" w:cs="Times New Roman"/>
          <w:sz w:val="24"/>
          <w:szCs w:val="24"/>
        </w:rPr>
      </w:pPr>
      <w:r w:rsidRPr="006E5A80">
        <w:rPr>
          <w:rFonts w:ascii="Times New Roman" w:hAnsi="Times New Roman" w:cs="Times New Roman"/>
          <w:i/>
          <w:iCs/>
          <w:color w:val="333333"/>
          <w:sz w:val="24"/>
          <w:szCs w:val="24"/>
        </w:rPr>
        <w:t>Fuente:</w:t>
      </w:r>
      <w:r w:rsidRPr="006E5A80">
        <w:rPr>
          <w:rFonts w:ascii="Times New Roman" w:hAnsi="Times New Roman" w:cs="Times New Roman"/>
          <w:color w:val="333333"/>
          <w:sz w:val="24"/>
          <w:szCs w:val="24"/>
        </w:rPr>
        <w:t> Eurostat </w:t>
      </w:r>
      <w:hyperlink r:id="rId198" w:tgtFrame="_blank" w:history="1">
        <w:r w:rsidRPr="003137D2">
          <w:rPr>
            <w:rStyle w:val="Hipervnculo"/>
            <w:rFonts w:ascii="Times New Roman" w:hAnsi="Times New Roman" w:cs="Times New Roman"/>
            <w:color w:val="auto"/>
            <w:sz w:val="24"/>
            <w:szCs w:val="24"/>
          </w:rPr>
          <w:t>(edat_lfse_24)</w:t>
        </w:r>
      </w:hyperlink>
    </w:p>
    <w:p w:rsidR="00BE473A" w:rsidRPr="006E5A80" w:rsidRDefault="00BE473A" w:rsidP="00BE473A">
      <w:pPr>
        <w:pStyle w:val="Ttulo3"/>
        <w:shd w:val="clear" w:color="auto" w:fill="FFFFFF"/>
        <w:spacing w:before="150" w:line="240" w:lineRule="auto"/>
        <w:jc w:val="both"/>
        <w:rPr>
          <w:rStyle w:val="mw-headline"/>
          <w:rFonts w:ascii="Times New Roman" w:hAnsi="Times New Roman" w:cs="Times New Roman"/>
          <w:bCs w:val="0"/>
          <w:color w:val="auto"/>
          <w:sz w:val="24"/>
          <w:szCs w:val="24"/>
        </w:rPr>
      </w:pPr>
      <w:r w:rsidRPr="006E5A80">
        <w:rPr>
          <w:rStyle w:val="mw-headline"/>
          <w:rFonts w:ascii="Times New Roman" w:hAnsi="Times New Roman" w:cs="Times New Roman"/>
          <w:bCs w:val="0"/>
          <w:color w:val="auto"/>
          <w:sz w:val="24"/>
          <w:szCs w:val="24"/>
        </w:rPr>
        <w:t>Los recién graduados masculinos en la UE tenían más probabilidades de encontrar trabajo que sus contrapartes femeninas</w:t>
      </w:r>
      <w:r>
        <w:rPr>
          <w:rStyle w:val="mw-headline"/>
          <w:rFonts w:ascii="Times New Roman" w:hAnsi="Times New Roman" w:cs="Times New Roman"/>
          <w:bCs w:val="0"/>
          <w:color w:val="auto"/>
          <w:sz w:val="24"/>
          <w:szCs w:val="24"/>
        </w:rPr>
        <w:t>.</w:t>
      </w:r>
    </w:p>
    <w:p w:rsidR="00BE473A" w:rsidRPr="006E5A80" w:rsidRDefault="00BE473A" w:rsidP="00BE473A">
      <w:pPr>
        <w:pStyle w:val="NormalWeb"/>
        <w:shd w:val="clear" w:color="auto" w:fill="FFFFFF"/>
        <w:spacing w:before="0" w:beforeAutospacing="0" w:after="105" w:afterAutospacing="0"/>
        <w:jc w:val="both"/>
        <w:rPr>
          <w:rFonts w:asciiTheme="minorHAnsi" w:eastAsiaTheme="minorHAnsi" w:hAnsiTheme="minorHAnsi" w:cstheme="minorBidi"/>
          <w:b/>
          <w:sz w:val="22"/>
          <w:szCs w:val="22"/>
          <w:lang w:eastAsia="en-US"/>
        </w:rPr>
      </w:pPr>
    </w:p>
    <w:p w:rsidR="00BE473A" w:rsidRPr="006E5A80" w:rsidRDefault="00BE473A" w:rsidP="00BE473A">
      <w:pPr>
        <w:pStyle w:val="NormalWeb"/>
        <w:shd w:val="clear" w:color="auto" w:fill="FFFFFF"/>
        <w:spacing w:before="0" w:beforeAutospacing="0" w:after="105" w:afterAutospacing="0"/>
        <w:jc w:val="both"/>
        <w:rPr>
          <w:color w:val="333333"/>
        </w:rPr>
      </w:pPr>
      <w:r w:rsidRPr="006E5A80">
        <w:rPr>
          <w:color w:val="333333"/>
        </w:rPr>
        <w:t xml:space="preserve">En 2021, la tasa de empleo en la UE de los hombres recién graduados fue del 81,1 %, mientras que la tasa correspondiente registrada entre las mujeres recién graduadas fue del 78,2 %, véase la figura 3. Esto constituye una diferencia de 2,9 pp. entre los sexos. Algunas de estas diferencias pueden explicarse por la naturaleza del campo estudiado, ya que existen diferencias en la demanda del mercado laboral. Las mujeres y los hombres también tienden a </w:t>
      </w:r>
      <w:r w:rsidRPr="006E5A80">
        <w:rPr>
          <w:color w:val="333333"/>
        </w:rPr>
        <w:lastRenderedPageBreak/>
        <w:t>estudiar diferentes campos, por ejemplo, una mayor proporción de estudiantes de ciencia y tecnología tienden a ser hombres.</w:t>
      </w:r>
    </w:p>
    <w:p w:rsidR="00BE473A" w:rsidRDefault="00BE473A" w:rsidP="00BE473A">
      <w:pPr>
        <w:pStyle w:val="NormalWeb"/>
        <w:shd w:val="clear" w:color="auto" w:fill="FFFFFF"/>
        <w:spacing w:before="0" w:beforeAutospacing="0" w:after="105" w:afterAutospacing="0"/>
        <w:jc w:val="both"/>
        <w:rPr>
          <w:color w:val="333333"/>
        </w:rPr>
      </w:pPr>
      <w:r w:rsidRPr="006E5A80">
        <w:rPr>
          <w:color w:val="333333"/>
        </w:rPr>
        <w:t>Las diferencias entre los sexos varían entre los Estados miembros de la UE, tanto en magnitud como en qué sexo tiene la tasa de empleo más alta. En dieciocho Estados miembros, los hombres tenían una tasa de empleo superior a la de las mujeres; este también era el caso de Serbia. La mayor diferencia, con mucho, se encontró en Chequia, donde la tasa de empleo de los hombres graduados fue 16,9 pp. más alta que la de las mujeres. Nueve Estados miembros tenían una tasa de empleo más alta para las mujeres. Este fue también el caso en Suiza. La mayor diferencia se encontró en Malta, donde la tasa de empleo fue 12,5 pp. más alta entre las mujeres que entre los hombres.</w:t>
      </w:r>
    </w:p>
    <w:p w:rsidR="00BE473A" w:rsidRPr="006E5A80" w:rsidRDefault="00BE473A" w:rsidP="00BE473A">
      <w:pPr>
        <w:pStyle w:val="NormalWeb"/>
        <w:shd w:val="clear" w:color="auto" w:fill="FFFFFF"/>
        <w:spacing w:before="0" w:beforeAutospacing="0" w:after="105" w:afterAutospacing="0"/>
        <w:jc w:val="both"/>
        <w:rPr>
          <w:color w:val="333333"/>
        </w:rPr>
      </w:pPr>
      <w:r w:rsidRPr="006E5A80">
        <w:rPr>
          <w:noProof/>
          <w:color w:val="333333"/>
          <w:lang w:val="en-GB" w:eastAsia="zh-CN"/>
        </w:rPr>
        <w:drawing>
          <wp:inline distT="0" distB="0" distL="0" distR="0">
            <wp:extent cx="5731510" cy="3429293"/>
            <wp:effectExtent l="0" t="0" r="2540" b="0"/>
            <wp:docPr id="126" name="Imagen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9"/>
                    <a:stretch>
                      <a:fillRect/>
                    </a:stretch>
                  </pic:blipFill>
                  <pic:spPr>
                    <a:xfrm>
                      <a:off x="0" y="0"/>
                      <a:ext cx="5731510" cy="3429293"/>
                    </a:xfrm>
                    <a:prstGeom prst="rect">
                      <a:avLst/>
                    </a:prstGeom>
                  </pic:spPr>
                </pic:pic>
              </a:graphicData>
            </a:graphic>
          </wp:inline>
        </w:drawing>
      </w:r>
    </w:p>
    <w:p w:rsidR="00BE473A" w:rsidRDefault="00BE473A" w:rsidP="00BE473A">
      <w:pPr>
        <w:shd w:val="clear" w:color="auto" w:fill="FFFFFF"/>
        <w:spacing w:line="240" w:lineRule="auto"/>
        <w:jc w:val="both"/>
        <w:rPr>
          <w:rFonts w:ascii="Times New Roman" w:hAnsi="Times New Roman" w:cs="Times New Roman"/>
          <w:color w:val="333333"/>
          <w:sz w:val="24"/>
          <w:szCs w:val="24"/>
        </w:rPr>
      </w:pPr>
      <w:r w:rsidRPr="006E5A80">
        <w:rPr>
          <w:rFonts w:ascii="Times New Roman" w:hAnsi="Times New Roman" w:cs="Times New Roman"/>
          <w:color w:val="333333"/>
          <w:sz w:val="24"/>
          <w:szCs w:val="24"/>
        </w:rPr>
        <w:t>Figura 3: Tasas de empleo de recién graduados (de 20 a 34 años) que no estudian ni reciben formación, por sexo, 2021</w:t>
      </w:r>
      <w:r>
        <w:rPr>
          <w:rFonts w:ascii="Times New Roman" w:hAnsi="Times New Roman" w:cs="Times New Roman"/>
          <w:color w:val="333333"/>
          <w:sz w:val="24"/>
          <w:szCs w:val="24"/>
        </w:rPr>
        <w:t xml:space="preserve"> (%)</w:t>
      </w:r>
    </w:p>
    <w:p w:rsidR="00BE473A" w:rsidRPr="003137D2" w:rsidRDefault="00BE473A" w:rsidP="00BE473A">
      <w:pPr>
        <w:shd w:val="clear" w:color="auto" w:fill="FFFFFF"/>
        <w:spacing w:line="240" w:lineRule="auto"/>
        <w:jc w:val="both"/>
        <w:rPr>
          <w:rFonts w:ascii="Times New Roman" w:hAnsi="Times New Roman" w:cs="Times New Roman"/>
          <w:sz w:val="24"/>
          <w:szCs w:val="24"/>
        </w:rPr>
      </w:pPr>
      <w:r w:rsidRPr="006E5A80">
        <w:rPr>
          <w:rFonts w:ascii="Times New Roman" w:hAnsi="Times New Roman" w:cs="Times New Roman"/>
          <w:i/>
          <w:iCs/>
          <w:color w:val="333333"/>
          <w:sz w:val="24"/>
          <w:szCs w:val="24"/>
        </w:rPr>
        <w:t>Fuente:</w:t>
      </w:r>
      <w:r w:rsidRPr="006E5A80">
        <w:rPr>
          <w:rFonts w:ascii="Times New Roman" w:hAnsi="Times New Roman" w:cs="Times New Roman"/>
          <w:color w:val="333333"/>
          <w:sz w:val="24"/>
          <w:szCs w:val="24"/>
        </w:rPr>
        <w:t> Eurostat </w:t>
      </w:r>
      <w:hyperlink r:id="rId200" w:tgtFrame="_blank" w:history="1">
        <w:r w:rsidRPr="003137D2">
          <w:rPr>
            <w:rStyle w:val="Hipervnculo"/>
            <w:rFonts w:ascii="Times New Roman" w:hAnsi="Times New Roman" w:cs="Times New Roman"/>
            <w:color w:val="auto"/>
            <w:sz w:val="24"/>
            <w:szCs w:val="24"/>
          </w:rPr>
          <w:t>(edat_lfse_24)</w:t>
        </w:r>
      </w:hyperlink>
    </w:p>
    <w:p w:rsidR="00BE473A" w:rsidRPr="006E5A80" w:rsidRDefault="00BE473A" w:rsidP="00BE473A">
      <w:pPr>
        <w:pStyle w:val="Ttulo3"/>
        <w:shd w:val="clear" w:color="auto" w:fill="FFFFFF"/>
        <w:spacing w:before="150" w:line="240" w:lineRule="auto"/>
        <w:jc w:val="both"/>
        <w:rPr>
          <w:rStyle w:val="mw-headline"/>
          <w:rFonts w:ascii="Times New Roman" w:hAnsi="Times New Roman" w:cs="Times New Roman"/>
          <w:bCs w:val="0"/>
          <w:color w:val="auto"/>
          <w:sz w:val="24"/>
          <w:szCs w:val="24"/>
        </w:rPr>
      </w:pPr>
      <w:r w:rsidRPr="006E5A80">
        <w:rPr>
          <w:rStyle w:val="mw-headline"/>
          <w:rFonts w:ascii="Times New Roman" w:hAnsi="Times New Roman" w:cs="Times New Roman"/>
          <w:bCs w:val="0"/>
          <w:color w:val="auto"/>
          <w:sz w:val="24"/>
          <w:szCs w:val="24"/>
        </w:rPr>
        <w:t>Varios países han alcanzado el objetivo a nivel de la UE con respecto a la educación vocacional media para 2025, pero hay diferencias entre los sexos.</w:t>
      </w:r>
    </w:p>
    <w:p w:rsidR="00BE473A" w:rsidRDefault="00BE473A" w:rsidP="00BE473A">
      <w:pPr>
        <w:pStyle w:val="NormalWeb"/>
        <w:shd w:val="clear" w:color="auto" w:fill="FFFFFF"/>
        <w:spacing w:before="0" w:beforeAutospacing="0" w:after="105" w:afterAutospacing="0"/>
        <w:jc w:val="both"/>
        <w:rPr>
          <w:rFonts w:asciiTheme="minorHAnsi" w:eastAsiaTheme="minorHAnsi" w:hAnsiTheme="minorHAnsi" w:cstheme="minorBidi"/>
          <w:b/>
          <w:sz w:val="22"/>
          <w:szCs w:val="22"/>
          <w:lang w:eastAsia="en-US"/>
        </w:rPr>
      </w:pPr>
    </w:p>
    <w:p w:rsidR="00BE473A" w:rsidRPr="006E5A80" w:rsidRDefault="00BE473A" w:rsidP="00BE473A">
      <w:pPr>
        <w:pStyle w:val="NormalWeb"/>
        <w:shd w:val="clear" w:color="auto" w:fill="FFFFFF"/>
        <w:spacing w:before="0" w:beforeAutospacing="0" w:after="105" w:afterAutospacing="0"/>
        <w:jc w:val="both"/>
        <w:rPr>
          <w:color w:val="333333"/>
        </w:rPr>
      </w:pPr>
      <w:r w:rsidRPr="006E5A80">
        <w:rPr>
          <w:color w:val="333333"/>
        </w:rPr>
        <w:t>Teniendo en cuenta que la UE se esfuerza por aumentar las tasas de empleo de los recién graduados de la formación profesional media hasta el 82 % para 2025, esta sección se centra en </w:t>
      </w:r>
      <w:hyperlink r:id="rId201" w:tgtFrame="_blank" w:history="1">
        <w:r w:rsidRPr="003137D2">
          <w:rPr>
            <w:rStyle w:val="Hipervnculo"/>
            <w:color w:val="auto"/>
            <w:u w:val="none"/>
          </w:rPr>
          <w:t>este objetivo</w:t>
        </w:r>
      </w:hyperlink>
      <w:r w:rsidRPr="006E5A80">
        <w:rPr>
          <w:color w:val="333333"/>
        </w:rPr>
        <w:t> . En los Estados miembros de la UE existen amplias variaciones tanto entre países como dentro de los países cuando los resultados se dividen entre mujeres y hombres, véase la Figura 4.</w:t>
      </w:r>
    </w:p>
    <w:p w:rsidR="00BE473A" w:rsidRPr="006E5A80" w:rsidRDefault="00BE473A" w:rsidP="00BE473A">
      <w:pPr>
        <w:pStyle w:val="NormalWeb"/>
        <w:shd w:val="clear" w:color="auto" w:fill="FFFFFF"/>
        <w:spacing w:before="0" w:beforeAutospacing="0" w:after="105" w:afterAutospacing="0"/>
        <w:jc w:val="both"/>
        <w:rPr>
          <w:color w:val="333333"/>
        </w:rPr>
      </w:pPr>
      <w:r w:rsidRPr="006E5A80">
        <w:rPr>
          <w:color w:val="333333"/>
        </w:rPr>
        <w:t>En la UE, la tasa de empleo de los recién graduados de formación profesional media ascendió al 76,4 % en 2021. La proporción fue mayor para los hombres (78,2 %) que para las mujeres (73,9 %), lo que significa una diferencia entre sexos de 4,3 pp.</w:t>
      </w:r>
    </w:p>
    <w:p w:rsidR="00BE473A" w:rsidRPr="006E5A80" w:rsidRDefault="00BE473A" w:rsidP="00BE473A">
      <w:pPr>
        <w:pStyle w:val="NormalWeb"/>
        <w:shd w:val="clear" w:color="auto" w:fill="FFFFFF"/>
        <w:spacing w:before="0" w:beforeAutospacing="0" w:after="105" w:afterAutospacing="0"/>
        <w:jc w:val="both"/>
        <w:rPr>
          <w:color w:val="333333"/>
        </w:rPr>
      </w:pPr>
      <w:r w:rsidRPr="006E5A80">
        <w:rPr>
          <w:color w:val="333333"/>
        </w:rPr>
        <w:t xml:space="preserve">En cuanto a las tasas de empleo de los recién graduados de la formación profesional media, hay 7 Estados miembros de la UE que ya habían alcanzado el objetivo a nivel de la UE en 2021. Los países que ya han alcanzado un nivel de al menos el 82 % son: los Países Bajos, </w:t>
      </w:r>
      <w:r w:rsidRPr="006E5A80">
        <w:rPr>
          <w:color w:val="333333"/>
        </w:rPr>
        <w:lastRenderedPageBreak/>
        <w:t>Alemania, Suecia, Austria, Dinamarca, Chequia y Hungría. En Holanda, Alemania y Suecia también se cumplió el objetivo para hombres y mujeres por separado, no así en el resto de países que habían alcanzado el objetivo. Los países con las tasas de empleo más bajas fueron Grecia (50,4 %), Italia (53,9 %) y Rumanía (61,4 %). Esto significa que las tasas de empleo de los recién graduados de formación profesional media en los Estados miembros de la UE oscilaron entre el 50,4 % en Grecia y el 91,8 % en los Países Bajos en 2021.</w:t>
      </w:r>
    </w:p>
    <w:p w:rsidR="00BE473A" w:rsidRDefault="00BE473A" w:rsidP="00BE473A">
      <w:pPr>
        <w:pStyle w:val="NormalWeb"/>
        <w:shd w:val="clear" w:color="auto" w:fill="FFFFFF"/>
        <w:spacing w:before="0" w:beforeAutospacing="0" w:after="105" w:afterAutospacing="0"/>
        <w:jc w:val="both"/>
        <w:rPr>
          <w:color w:val="333333"/>
        </w:rPr>
      </w:pPr>
      <w:r w:rsidRPr="006E5A80">
        <w:rPr>
          <w:color w:val="333333"/>
        </w:rPr>
        <w:t>Mirando a los Estados miembros de la UE con más detalle, los números muestran que los países tienen diferencias entre los sexos, tanto en magnitud como en qué sexo tiene la tasa de empleo más alta. En 20 Estados miembros, los hombres tenían una tasa de empleo superior a la de las mujeres; este también era el caso de Serbia. La mayor diferencia a favor de los hombres graduados de educación vocacional media se encontró en Rumania (22,5 pp.), seguida de Chequia (19,9 pp.) y Eslovenia (15,5 pp.). Sin embargo, cinco Estados miembros informaron de una tasa de empleo más alta para las mujeres. Este fue también el caso de Suiza. Para esta situación, las mayores diferencias entre sexos se encuentran en Portugal (17,5 pp.), seguido de Malta (15,0 pp.) y Finlandia (7,9 pp.).</w:t>
      </w:r>
    </w:p>
    <w:p w:rsidR="00BE473A" w:rsidRPr="006E5A80" w:rsidRDefault="00BE473A" w:rsidP="00BE473A">
      <w:pPr>
        <w:pStyle w:val="NormalWeb"/>
        <w:shd w:val="clear" w:color="auto" w:fill="FFFFFF"/>
        <w:spacing w:before="0" w:beforeAutospacing="0" w:after="105" w:afterAutospacing="0"/>
        <w:jc w:val="both"/>
        <w:rPr>
          <w:color w:val="333333"/>
        </w:rPr>
      </w:pPr>
      <w:r w:rsidRPr="00197763">
        <w:rPr>
          <w:noProof/>
          <w:color w:val="333333"/>
          <w:lang w:val="en-GB" w:eastAsia="zh-CN"/>
        </w:rPr>
        <w:drawing>
          <wp:inline distT="0" distB="0" distL="0" distR="0">
            <wp:extent cx="5731510" cy="3808333"/>
            <wp:effectExtent l="0" t="0" r="2540" b="1905"/>
            <wp:docPr id="127" name="Imagen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2"/>
                    <a:stretch>
                      <a:fillRect/>
                    </a:stretch>
                  </pic:blipFill>
                  <pic:spPr>
                    <a:xfrm>
                      <a:off x="0" y="0"/>
                      <a:ext cx="5731510" cy="3808333"/>
                    </a:xfrm>
                    <a:prstGeom prst="rect">
                      <a:avLst/>
                    </a:prstGeom>
                  </pic:spPr>
                </pic:pic>
              </a:graphicData>
            </a:graphic>
          </wp:inline>
        </w:drawing>
      </w:r>
    </w:p>
    <w:p w:rsidR="00BE473A" w:rsidRDefault="00BE473A" w:rsidP="00BE473A">
      <w:pPr>
        <w:shd w:val="clear" w:color="auto" w:fill="FFFFFF"/>
        <w:spacing w:line="240" w:lineRule="auto"/>
        <w:jc w:val="both"/>
        <w:rPr>
          <w:rFonts w:ascii="Times New Roman" w:hAnsi="Times New Roman" w:cs="Times New Roman"/>
          <w:color w:val="333333"/>
          <w:sz w:val="24"/>
          <w:szCs w:val="24"/>
        </w:rPr>
      </w:pPr>
      <w:r w:rsidRPr="006E5A80">
        <w:rPr>
          <w:rFonts w:ascii="Times New Roman" w:hAnsi="Times New Roman" w:cs="Times New Roman"/>
          <w:color w:val="333333"/>
          <w:sz w:val="24"/>
          <w:szCs w:val="24"/>
        </w:rPr>
        <w:t>Figura 4: Tasas de empleo de los recién graduados de la educación vocacional media (de 20 a 34 años) que no estudian ni reciben formación por sexo, 2021</w:t>
      </w:r>
      <w:r>
        <w:rPr>
          <w:rFonts w:ascii="Times New Roman" w:hAnsi="Times New Roman" w:cs="Times New Roman"/>
          <w:color w:val="333333"/>
          <w:sz w:val="24"/>
          <w:szCs w:val="24"/>
        </w:rPr>
        <w:t xml:space="preserve"> (%)</w:t>
      </w:r>
    </w:p>
    <w:p w:rsidR="00BE473A" w:rsidRPr="003137D2" w:rsidRDefault="00BE473A" w:rsidP="00BE473A">
      <w:pPr>
        <w:shd w:val="clear" w:color="auto" w:fill="FFFFFF"/>
        <w:spacing w:line="240" w:lineRule="auto"/>
        <w:jc w:val="both"/>
        <w:rPr>
          <w:rFonts w:ascii="Times New Roman" w:hAnsi="Times New Roman" w:cs="Times New Roman"/>
          <w:sz w:val="24"/>
          <w:szCs w:val="24"/>
        </w:rPr>
      </w:pPr>
      <w:r w:rsidRPr="006E5A80">
        <w:rPr>
          <w:rFonts w:ascii="Times New Roman" w:hAnsi="Times New Roman" w:cs="Times New Roman"/>
          <w:i/>
          <w:iCs/>
          <w:color w:val="333333"/>
          <w:sz w:val="24"/>
          <w:szCs w:val="24"/>
        </w:rPr>
        <w:t>Fuente:</w:t>
      </w:r>
      <w:r w:rsidRPr="006E5A80">
        <w:rPr>
          <w:rFonts w:ascii="Times New Roman" w:hAnsi="Times New Roman" w:cs="Times New Roman"/>
          <w:color w:val="333333"/>
          <w:sz w:val="24"/>
          <w:szCs w:val="24"/>
        </w:rPr>
        <w:t> Eurostat </w:t>
      </w:r>
      <w:hyperlink r:id="rId203" w:tgtFrame="_blank" w:history="1">
        <w:r w:rsidRPr="003137D2">
          <w:rPr>
            <w:rStyle w:val="Hipervnculo"/>
            <w:rFonts w:ascii="Times New Roman" w:hAnsi="Times New Roman" w:cs="Times New Roman"/>
            <w:color w:val="auto"/>
            <w:sz w:val="24"/>
            <w:szCs w:val="24"/>
          </w:rPr>
          <w:t>(edat_lfse_24)</w:t>
        </w:r>
      </w:hyperlink>
    </w:p>
    <w:p w:rsidR="00BE473A" w:rsidRPr="00197763" w:rsidRDefault="00BE473A" w:rsidP="00BE473A">
      <w:pPr>
        <w:pStyle w:val="Ttulo3"/>
        <w:shd w:val="clear" w:color="auto" w:fill="FFFFFF"/>
        <w:spacing w:before="150" w:line="240" w:lineRule="auto"/>
        <w:jc w:val="both"/>
        <w:rPr>
          <w:rStyle w:val="mw-headline"/>
          <w:rFonts w:ascii="Times New Roman" w:hAnsi="Times New Roman" w:cs="Times New Roman"/>
          <w:bCs w:val="0"/>
          <w:color w:val="auto"/>
          <w:sz w:val="24"/>
          <w:szCs w:val="24"/>
        </w:rPr>
      </w:pPr>
      <w:r w:rsidRPr="00197763">
        <w:rPr>
          <w:rStyle w:val="mw-headline"/>
          <w:rFonts w:ascii="Times New Roman" w:hAnsi="Times New Roman" w:cs="Times New Roman"/>
          <w:bCs w:val="0"/>
          <w:color w:val="auto"/>
          <w:sz w:val="24"/>
          <w:szCs w:val="24"/>
        </w:rPr>
        <w:t>Los hombres recién graduados de educación vocacional media tuvieron tasas de empleo más altas que las mujeres a lo largo del tiempo</w:t>
      </w:r>
      <w:r>
        <w:rPr>
          <w:rStyle w:val="mw-headline"/>
          <w:rFonts w:ascii="Times New Roman" w:hAnsi="Times New Roman" w:cs="Times New Roman"/>
          <w:bCs w:val="0"/>
          <w:color w:val="auto"/>
          <w:sz w:val="24"/>
          <w:szCs w:val="24"/>
        </w:rPr>
        <w:t>.</w:t>
      </w:r>
    </w:p>
    <w:p w:rsidR="00BE473A" w:rsidRDefault="00BE473A" w:rsidP="00BE473A">
      <w:pPr>
        <w:pStyle w:val="NormalWeb"/>
        <w:shd w:val="clear" w:color="auto" w:fill="FFFFFF"/>
        <w:spacing w:before="0" w:beforeAutospacing="0" w:after="105" w:afterAutospacing="0"/>
        <w:jc w:val="both"/>
        <w:rPr>
          <w:rFonts w:asciiTheme="minorHAnsi" w:eastAsiaTheme="minorHAnsi" w:hAnsiTheme="minorHAnsi" w:cstheme="minorBidi"/>
          <w:b/>
          <w:sz w:val="22"/>
          <w:szCs w:val="22"/>
          <w:lang w:eastAsia="en-US"/>
        </w:rPr>
      </w:pPr>
    </w:p>
    <w:p w:rsidR="00BE473A" w:rsidRDefault="00BE473A" w:rsidP="00BE473A">
      <w:pPr>
        <w:pStyle w:val="NormalWeb"/>
        <w:shd w:val="clear" w:color="auto" w:fill="FFFFFF"/>
        <w:spacing w:before="0" w:beforeAutospacing="0" w:after="105" w:afterAutospacing="0"/>
        <w:jc w:val="both"/>
        <w:rPr>
          <w:color w:val="333333"/>
        </w:rPr>
      </w:pPr>
      <w:r w:rsidRPr="006E5A80">
        <w:rPr>
          <w:color w:val="333333"/>
        </w:rPr>
        <w:t xml:space="preserve">Los resultados de 2021 muestran que en la UE, en general, los hombres tenían una tasa de empleo más alta que las mujeres para los recién graduados de educación vocacional media, lo que también es cierto cuando se mira hacia atrás en el tiempo. Las tasas de empleo han sido más altas para los hombres a lo largo del tiempo, pero el patrón general es similar tanto para </w:t>
      </w:r>
      <w:r w:rsidRPr="006E5A80">
        <w:rPr>
          <w:color w:val="333333"/>
        </w:rPr>
        <w:lastRenderedPageBreak/>
        <w:t>mujeres como para hombres. La brecha de género ha variado en magnitud y alcanzó su punto más bajo en 2014 con 2,7 pp. Luego, en 2018 se observó la mayor diferencia y ascendió a 6,3 pp. a favor de los hombres. Con el inicio de la pandemia de COVID-19 en 2020, las tasas cayeron drásticamente tanto para mujeres como para hombres. En 2021, las tasas para ambos sexos aumentaron ligeramente, lo que podría verse como una indicación de recuperación. Sin embargo, las tasas todavía estaban muy por debajo del nivel previo a la pandemia de 2019. Además, para alcanzar la meta para 2025, el nivel de las tasas de empleo debe aumentar, especialmente para las mujeres.</w:t>
      </w:r>
    </w:p>
    <w:p w:rsidR="00BE473A" w:rsidRPr="006E5A80" w:rsidRDefault="00BE473A" w:rsidP="00BE473A">
      <w:pPr>
        <w:pStyle w:val="NormalWeb"/>
        <w:shd w:val="clear" w:color="auto" w:fill="FFFFFF"/>
        <w:spacing w:before="0" w:beforeAutospacing="0" w:after="105" w:afterAutospacing="0"/>
        <w:jc w:val="both"/>
        <w:rPr>
          <w:color w:val="333333"/>
        </w:rPr>
      </w:pPr>
      <w:r w:rsidRPr="00197763">
        <w:rPr>
          <w:noProof/>
          <w:color w:val="333333"/>
          <w:lang w:val="en-GB" w:eastAsia="zh-CN"/>
        </w:rPr>
        <w:drawing>
          <wp:inline distT="0" distB="0" distL="0" distR="0">
            <wp:extent cx="5731510" cy="3961233"/>
            <wp:effectExtent l="0" t="0" r="2540" b="1270"/>
            <wp:docPr id="128" name="Imagen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4"/>
                    <a:stretch>
                      <a:fillRect/>
                    </a:stretch>
                  </pic:blipFill>
                  <pic:spPr>
                    <a:xfrm>
                      <a:off x="0" y="0"/>
                      <a:ext cx="5731510" cy="3961233"/>
                    </a:xfrm>
                    <a:prstGeom prst="rect">
                      <a:avLst/>
                    </a:prstGeom>
                  </pic:spPr>
                </pic:pic>
              </a:graphicData>
            </a:graphic>
          </wp:inline>
        </w:drawing>
      </w:r>
    </w:p>
    <w:p w:rsidR="00BE473A" w:rsidRDefault="00BE473A" w:rsidP="00BE473A">
      <w:pPr>
        <w:shd w:val="clear" w:color="auto" w:fill="FFFFFF"/>
        <w:spacing w:line="240" w:lineRule="auto"/>
        <w:jc w:val="both"/>
        <w:rPr>
          <w:rFonts w:ascii="Times New Roman" w:hAnsi="Times New Roman" w:cs="Times New Roman"/>
          <w:color w:val="333333"/>
          <w:sz w:val="24"/>
          <w:szCs w:val="24"/>
        </w:rPr>
      </w:pPr>
      <w:r w:rsidRPr="006E5A80">
        <w:rPr>
          <w:rFonts w:ascii="Times New Roman" w:hAnsi="Times New Roman" w:cs="Times New Roman"/>
          <w:color w:val="333333"/>
          <w:sz w:val="24"/>
          <w:szCs w:val="24"/>
        </w:rPr>
        <w:t>Figura 5: Tasas de empleo de los recién graduados de educación vocacional media (de 20 a 34 años) que no están en educación ni formación, por sexo, UE, 2014-2021</w:t>
      </w:r>
      <w:r>
        <w:rPr>
          <w:rFonts w:ascii="Times New Roman" w:hAnsi="Times New Roman" w:cs="Times New Roman"/>
          <w:color w:val="333333"/>
          <w:sz w:val="24"/>
          <w:szCs w:val="24"/>
        </w:rPr>
        <w:t xml:space="preserve"> (%)</w:t>
      </w:r>
    </w:p>
    <w:p w:rsidR="00BE473A" w:rsidRPr="003137D2" w:rsidRDefault="00BE473A" w:rsidP="00BE473A">
      <w:pPr>
        <w:shd w:val="clear" w:color="auto" w:fill="FFFFFF"/>
        <w:spacing w:line="240" w:lineRule="auto"/>
        <w:jc w:val="both"/>
        <w:rPr>
          <w:rFonts w:ascii="Times New Roman" w:hAnsi="Times New Roman" w:cs="Times New Roman"/>
          <w:sz w:val="24"/>
          <w:szCs w:val="24"/>
        </w:rPr>
      </w:pPr>
      <w:r w:rsidRPr="006E5A80">
        <w:rPr>
          <w:rFonts w:ascii="Times New Roman" w:hAnsi="Times New Roman" w:cs="Times New Roman"/>
          <w:i/>
          <w:iCs/>
          <w:color w:val="333333"/>
          <w:sz w:val="24"/>
          <w:szCs w:val="24"/>
        </w:rPr>
        <w:t>Fuente:</w:t>
      </w:r>
      <w:r w:rsidRPr="006E5A80">
        <w:rPr>
          <w:rFonts w:ascii="Times New Roman" w:hAnsi="Times New Roman" w:cs="Times New Roman"/>
          <w:color w:val="333333"/>
          <w:sz w:val="24"/>
          <w:szCs w:val="24"/>
        </w:rPr>
        <w:t> Eurostat </w:t>
      </w:r>
      <w:hyperlink r:id="rId205" w:tgtFrame="_blank" w:history="1">
        <w:r w:rsidRPr="003137D2">
          <w:rPr>
            <w:rStyle w:val="Hipervnculo"/>
            <w:rFonts w:ascii="Times New Roman" w:hAnsi="Times New Roman" w:cs="Times New Roman"/>
            <w:color w:val="auto"/>
            <w:sz w:val="24"/>
            <w:szCs w:val="24"/>
          </w:rPr>
          <w:t>(edat_lfse_24)</w:t>
        </w:r>
      </w:hyperlink>
    </w:p>
    <w:p w:rsidR="00BE473A" w:rsidRPr="00197763" w:rsidRDefault="00BE473A" w:rsidP="00BE473A">
      <w:pPr>
        <w:pStyle w:val="NormalWeb"/>
        <w:shd w:val="clear" w:color="auto" w:fill="FFFFFF"/>
        <w:spacing w:before="0" w:beforeAutospacing="0" w:after="0" w:afterAutospacing="0"/>
        <w:jc w:val="both"/>
        <w:rPr>
          <w:iCs/>
          <w:color w:val="333333"/>
        </w:rPr>
      </w:pPr>
      <w:r w:rsidRPr="00197763">
        <w:rPr>
          <w:b/>
          <w:bCs/>
        </w:rPr>
        <w:t>Estadísticas sobre los jóvenes que no trabajan ni estudian ni reciben formación</w:t>
      </w:r>
      <w:r>
        <w:rPr>
          <w:bCs/>
        </w:rPr>
        <w:t xml:space="preserve"> (</w:t>
      </w:r>
      <w:r>
        <w:rPr>
          <w:iCs/>
          <w:color w:val="333333"/>
        </w:rPr>
        <w:t>Datos extraídos en mayo de 2022)</w:t>
      </w:r>
    </w:p>
    <w:p w:rsidR="00BE473A" w:rsidRDefault="00BE473A" w:rsidP="00BE473A">
      <w:pPr>
        <w:shd w:val="clear" w:color="auto" w:fill="FFFFFF"/>
        <w:spacing w:line="240" w:lineRule="auto"/>
        <w:jc w:val="both"/>
        <w:rPr>
          <w:rFonts w:ascii="Times New Roman" w:eastAsia="Times New Roman" w:hAnsi="Times New Roman" w:cs="Times New Roman"/>
          <w:b/>
          <w:kern w:val="36"/>
          <w:sz w:val="24"/>
          <w:szCs w:val="24"/>
          <w:lang w:eastAsia="es-ES"/>
        </w:rPr>
      </w:pPr>
    </w:p>
    <w:p w:rsidR="00BE473A" w:rsidRPr="00197763" w:rsidRDefault="00BE473A" w:rsidP="00BE473A">
      <w:pPr>
        <w:shd w:val="clear" w:color="auto" w:fill="FFFFFF"/>
        <w:spacing w:line="240" w:lineRule="auto"/>
        <w:jc w:val="both"/>
        <w:rPr>
          <w:rFonts w:ascii="Times New Roman" w:hAnsi="Times New Roman" w:cs="Times New Roman"/>
          <w:b/>
          <w:bCs/>
          <w:color w:val="333333"/>
          <w:sz w:val="24"/>
          <w:szCs w:val="24"/>
        </w:rPr>
      </w:pPr>
      <w:r w:rsidRPr="00197763">
        <w:rPr>
          <w:rFonts w:ascii="Times New Roman" w:hAnsi="Times New Roman" w:cs="Times New Roman"/>
          <w:b/>
          <w:bCs/>
          <w:color w:val="333333"/>
          <w:sz w:val="24"/>
          <w:szCs w:val="24"/>
        </w:rPr>
        <w:t>El 13,1 % de los jóvenes de 15 a 29 años en la UE en 2021 no trabajaban ni estudiaban ni formaban.</w:t>
      </w:r>
    </w:p>
    <w:p w:rsidR="00BE473A" w:rsidRDefault="00BE473A" w:rsidP="00BE473A">
      <w:pPr>
        <w:shd w:val="clear" w:color="auto" w:fill="FFFFFF"/>
        <w:spacing w:line="240" w:lineRule="auto"/>
        <w:jc w:val="both"/>
        <w:rPr>
          <w:rFonts w:ascii="Times New Roman" w:hAnsi="Times New Roman" w:cs="Times New Roman"/>
          <w:b/>
          <w:bCs/>
          <w:color w:val="333333"/>
          <w:sz w:val="24"/>
          <w:szCs w:val="24"/>
        </w:rPr>
      </w:pPr>
      <w:r w:rsidRPr="00197763">
        <w:rPr>
          <w:rFonts w:ascii="Times New Roman" w:hAnsi="Times New Roman" w:cs="Times New Roman"/>
          <w:b/>
          <w:bCs/>
          <w:color w:val="333333"/>
          <w:sz w:val="24"/>
          <w:szCs w:val="24"/>
        </w:rPr>
        <w:t>La proporción de jóvenes de 15 a 29 años en la UE que no trabajaban ni estudiaban ni formaban en 2021 osciló entre el 5,5 % en los Países Bajos y el 23,1 % en Italia.</w:t>
      </w:r>
    </w:p>
    <w:p w:rsidR="00BE473A" w:rsidRPr="00197763" w:rsidRDefault="00BE473A" w:rsidP="00BE473A">
      <w:pPr>
        <w:shd w:val="clear" w:color="auto" w:fill="FFFFFF"/>
        <w:spacing w:line="240" w:lineRule="auto"/>
        <w:jc w:val="both"/>
        <w:rPr>
          <w:rFonts w:ascii="Times New Roman" w:hAnsi="Times New Roman" w:cs="Times New Roman"/>
          <w:b/>
          <w:bCs/>
          <w:color w:val="333333"/>
          <w:sz w:val="24"/>
          <w:szCs w:val="24"/>
        </w:rPr>
      </w:pPr>
      <w:r w:rsidRPr="00164B30">
        <w:rPr>
          <w:rFonts w:ascii="Times New Roman" w:hAnsi="Times New Roman" w:cs="Times New Roman"/>
          <w:b/>
          <w:bCs/>
          <w:noProof/>
          <w:color w:val="333333"/>
          <w:sz w:val="24"/>
          <w:szCs w:val="24"/>
          <w:lang w:val="en-GB" w:eastAsia="zh-CN"/>
        </w:rPr>
        <w:lastRenderedPageBreak/>
        <w:drawing>
          <wp:inline distT="0" distB="0" distL="0" distR="0">
            <wp:extent cx="5731510" cy="2555298"/>
            <wp:effectExtent l="0" t="0" r="2540" b="0"/>
            <wp:docPr id="129" name="Imagen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6"/>
                    <a:stretch>
                      <a:fillRect/>
                    </a:stretch>
                  </pic:blipFill>
                  <pic:spPr>
                    <a:xfrm>
                      <a:off x="0" y="0"/>
                      <a:ext cx="5731510" cy="2555298"/>
                    </a:xfrm>
                    <a:prstGeom prst="rect">
                      <a:avLst/>
                    </a:prstGeom>
                  </pic:spPr>
                </pic:pic>
              </a:graphicData>
            </a:graphic>
          </wp:inline>
        </w:drawing>
      </w:r>
    </w:p>
    <w:p w:rsidR="00BE473A" w:rsidRPr="003137D2" w:rsidRDefault="00BE473A" w:rsidP="00BE473A">
      <w:pPr>
        <w:pStyle w:val="NormalWeb"/>
        <w:shd w:val="clear" w:color="auto" w:fill="FFFFFF"/>
        <w:spacing w:before="0" w:beforeAutospacing="0" w:after="105" w:afterAutospacing="0"/>
        <w:jc w:val="both"/>
      </w:pPr>
      <w:r w:rsidRPr="003137D2">
        <w:t>Este artículo presenta estadísticas relacionadas con </w:t>
      </w:r>
      <w:hyperlink r:id="rId207" w:history="1">
        <w:r w:rsidRPr="003137D2">
          <w:rPr>
            <w:rStyle w:val="Hipervnculo"/>
            <w:color w:val="auto"/>
            <w:u w:val="none"/>
          </w:rPr>
          <w:t>los jóvenes que no trabajan ni estudian ni reciben formación (NINI)</w:t>
        </w:r>
      </w:hyperlink>
      <w:r w:rsidRPr="003137D2">
        <w:t> en la </w:t>
      </w:r>
      <w:hyperlink r:id="rId208" w:history="1">
        <w:r w:rsidRPr="003137D2">
          <w:rPr>
            <w:rStyle w:val="Hipervnculo"/>
            <w:color w:val="auto"/>
            <w:u w:val="none"/>
          </w:rPr>
          <w:t>Unión Europea (UE)</w:t>
        </w:r>
      </w:hyperlink>
      <w:r w:rsidRPr="003137D2">
        <w:t> y forma parte de una </w:t>
      </w:r>
      <w:hyperlink r:id="rId209" w:tooltip="Educación y formación en la UE: hechos y cifras" w:history="1">
        <w:r w:rsidRPr="003137D2">
          <w:rPr>
            <w:rStyle w:val="Hipervnculo"/>
            <w:color w:val="auto"/>
            <w:u w:val="none"/>
          </w:rPr>
          <w:t>publicación en línea</w:t>
        </w:r>
      </w:hyperlink>
      <w:r w:rsidRPr="003137D2">
        <w:t> sobre </w:t>
      </w:r>
      <w:hyperlink r:id="rId210" w:history="1">
        <w:r w:rsidRPr="003137D2">
          <w:rPr>
            <w:rStyle w:val="Hipervnculo"/>
            <w:color w:val="auto"/>
            <w:u w:val="none"/>
          </w:rPr>
          <w:t>educación</w:t>
        </w:r>
      </w:hyperlink>
      <w:r w:rsidRPr="003137D2">
        <w:t> y formación en la UE. Hoy en día, los jóvenes cambian de trabajo con más frecuencia y lleva más tiempo establecerse en el mercado laboral. Por lo tanto, es importante asegurarse de que la transición de la educación al trabajo sea fluida y también resaltar los riesgos de no estar ni en el empleo ni en la educación o la formación. Existen riesgos, tanto para el individuo como a largo plazo para la sociedad, si los adultos jóvenes se ven desvinculados tanto de la educación como del mercado laboral.</w:t>
      </w:r>
    </w:p>
    <w:p w:rsidR="00BE473A" w:rsidRPr="003137D2" w:rsidRDefault="00BE473A" w:rsidP="00BE473A">
      <w:pPr>
        <w:pStyle w:val="NormalWeb"/>
        <w:shd w:val="clear" w:color="auto" w:fill="FFFFFF"/>
        <w:spacing w:before="0" w:beforeAutospacing="0" w:after="105" w:afterAutospacing="0"/>
        <w:jc w:val="both"/>
      </w:pPr>
      <w:r w:rsidRPr="003137D2">
        <w:t>Si bien se proporciona información general para las personas de 15 a 34 años, el principal grupo de edad que se estudia en este artículo consiste en adultos jóvenes de 15 a 29 años. Para este grupo de edad, la Unión Europea ha establecido un </w:t>
      </w:r>
      <w:hyperlink r:id="rId211" w:tgtFrame="_blank" w:history="1">
        <w:r w:rsidRPr="003137D2">
          <w:rPr>
            <w:rStyle w:val="Hipervnculo"/>
            <w:color w:val="auto"/>
            <w:u w:val="none"/>
          </w:rPr>
          <w:t>objetivo a nivel de la UE</w:t>
        </w:r>
      </w:hyperlink>
      <w:r w:rsidRPr="003137D2">
        <w:t> que estipula que la proporción de los jóvenes que no trabajan ni estudian ni reciben formación debería ser inferior al 9 % para 2030. En 2021, se identificó una media del 13,1 % como ninis en la UE. Sin embargo, existen diferencias entre los Estados miembros, ya que varios países ya han alcanzado la meta para 2030.</w:t>
      </w:r>
    </w:p>
    <w:p w:rsidR="00BE473A" w:rsidRPr="00197763" w:rsidRDefault="00BE473A" w:rsidP="00BE473A">
      <w:pPr>
        <w:pStyle w:val="Ttulo3"/>
        <w:shd w:val="clear" w:color="auto" w:fill="FFFFFF"/>
        <w:spacing w:before="150" w:line="240" w:lineRule="auto"/>
        <w:jc w:val="both"/>
        <w:rPr>
          <w:rStyle w:val="mw-headline"/>
          <w:rFonts w:ascii="Times New Roman" w:hAnsi="Times New Roman" w:cs="Times New Roman"/>
          <w:bCs w:val="0"/>
          <w:color w:val="auto"/>
          <w:sz w:val="24"/>
          <w:szCs w:val="24"/>
        </w:rPr>
      </w:pPr>
      <w:r w:rsidRPr="00197763">
        <w:rPr>
          <w:rStyle w:val="mw-headline"/>
          <w:rFonts w:ascii="Times New Roman" w:hAnsi="Times New Roman" w:cs="Times New Roman"/>
          <w:bCs w:val="0"/>
          <w:color w:val="auto"/>
          <w:sz w:val="24"/>
          <w:szCs w:val="24"/>
        </w:rPr>
        <w:t>¿Hasta qué punto los adultos jóvenes no tienen empleo ni reciben educación o capacitación? La transición de la educación al trabajo</w:t>
      </w:r>
    </w:p>
    <w:p w:rsidR="00BE473A" w:rsidRDefault="00BE473A" w:rsidP="00BE473A">
      <w:pPr>
        <w:pStyle w:val="NormalWeb"/>
        <w:shd w:val="clear" w:color="auto" w:fill="FFFFFF"/>
        <w:spacing w:before="0" w:beforeAutospacing="0" w:after="105" w:afterAutospacing="0"/>
        <w:jc w:val="both"/>
        <w:rPr>
          <w:rFonts w:asciiTheme="minorHAnsi" w:eastAsiaTheme="minorHAnsi" w:hAnsiTheme="minorHAnsi" w:cstheme="minorBidi"/>
          <w:b/>
          <w:sz w:val="22"/>
          <w:szCs w:val="22"/>
          <w:lang w:eastAsia="en-US"/>
        </w:rPr>
      </w:pPr>
    </w:p>
    <w:p w:rsidR="00BE473A" w:rsidRPr="00197763" w:rsidRDefault="00BE473A" w:rsidP="00BE473A">
      <w:pPr>
        <w:pStyle w:val="NormalWeb"/>
        <w:shd w:val="clear" w:color="auto" w:fill="FFFFFF"/>
        <w:spacing w:before="0" w:beforeAutospacing="0" w:after="105" w:afterAutospacing="0"/>
        <w:jc w:val="both"/>
        <w:rPr>
          <w:color w:val="333333"/>
        </w:rPr>
      </w:pPr>
      <w:r w:rsidRPr="00197763">
        <w:rPr>
          <w:color w:val="333333"/>
        </w:rPr>
        <w:t>Con el tiempo, la transición de la educación al trabajo se ha vuelto más compleja. Hoy en día, los jóvenes cambian de trabajo con más frecuencia y lleva más tiempo establecerse en el mercado laboral, ya sea por elección o por necesidad. Se ha vuelto más común que los estudiantes de educación terciaria trabajen a tiempo parcial o por temporadas para complementar sus ingresos. Además, también se ha vuelto más común que los jóvenes que tienen un empleo regresen a la educación o la formación para mejorar sus cualificaciones. Como resultado de esto, la transición de la educación al trabajo se ha vuelto menos clara, con una proporción creciente de estudiantes que también trabajan y una proporción creciente de personas con empleo que también estudian.</w:t>
      </w:r>
    </w:p>
    <w:p w:rsidR="00BE473A" w:rsidRDefault="00BE473A" w:rsidP="00BE473A">
      <w:pPr>
        <w:pStyle w:val="NormalWeb"/>
        <w:shd w:val="clear" w:color="auto" w:fill="FFFFFF"/>
        <w:spacing w:before="0" w:beforeAutospacing="0" w:after="105" w:afterAutospacing="0"/>
        <w:jc w:val="both"/>
        <w:rPr>
          <w:color w:val="333333"/>
        </w:rPr>
      </w:pPr>
      <w:r w:rsidRPr="00197763">
        <w:rPr>
          <w:color w:val="333333"/>
        </w:rPr>
        <w:t xml:space="preserve">En la Figura 1, la transición de la educación al trabajo se ilustra mostrando tanto el empleo como el estado educativo o formativo de los jóvenes de entre 15 y 34 años por grupos de edad de 5 años. La figura muestra que estar empleado (pero no en educación y formación) aumenta con la edad, mientras que ocurre lo contrario para la educación (no empleado pero en educación y formación), donde la proporción disminuye considerablemente con la edad. Además, en 2021, el 10,9 % de los jóvenes de entre 15 y 19 años en la UE estaban </w:t>
      </w:r>
      <w:r w:rsidRPr="00197763">
        <w:rPr>
          <w:color w:val="333333"/>
        </w:rPr>
        <w:lastRenderedPageBreak/>
        <w:t>empleados y estudiaban y, por lo tanto, hicieron uso de esta transición más flexible de la educación al trabajo. La proporción aumentó al 19,6 % entre los de 20 a 24 años, antes de caer un poco en los grupos de mayor edad, al 14,9 % entre los de 25 a 29 años y al 10,8 % entre los de 30 a 34 años.</w:t>
      </w:r>
    </w:p>
    <w:p w:rsidR="00BE473A" w:rsidRPr="00197763" w:rsidRDefault="00BE473A" w:rsidP="00BE473A">
      <w:pPr>
        <w:pStyle w:val="NormalWeb"/>
        <w:shd w:val="clear" w:color="auto" w:fill="FFFFFF"/>
        <w:spacing w:before="0" w:beforeAutospacing="0" w:after="105" w:afterAutospacing="0"/>
        <w:jc w:val="both"/>
        <w:rPr>
          <w:color w:val="333333"/>
        </w:rPr>
      </w:pPr>
      <w:r w:rsidRPr="00164B30">
        <w:rPr>
          <w:noProof/>
          <w:color w:val="333333"/>
          <w:lang w:val="en-GB" w:eastAsia="zh-CN"/>
        </w:rPr>
        <w:drawing>
          <wp:inline distT="0" distB="0" distL="0" distR="0">
            <wp:extent cx="5729942" cy="3187700"/>
            <wp:effectExtent l="0" t="0" r="4445" b="0"/>
            <wp:docPr id="130" name="Imagen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2"/>
                    <a:stretch>
                      <a:fillRect/>
                    </a:stretch>
                  </pic:blipFill>
                  <pic:spPr>
                    <a:xfrm>
                      <a:off x="0" y="0"/>
                      <a:ext cx="5731510" cy="3188573"/>
                    </a:xfrm>
                    <a:prstGeom prst="rect">
                      <a:avLst/>
                    </a:prstGeom>
                  </pic:spPr>
                </pic:pic>
              </a:graphicData>
            </a:graphic>
          </wp:inline>
        </w:drawing>
      </w:r>
    </w:p>
    <w:p w:rsidR="00BE473A" w:rsidRDefault="00BE473A" w:rsidP="00BE473A">
      <w:pPr>
        <w:shd w:val="clear" w:color="auto" w:fill="FFFFFF"/>
        <w:spacing w:line="240" w:lineRule="auto"/>
        <w:jc w:val="both"/>
        <w:rPr>
          <w:rFonts w:ascii="Times New Roman" w:hAnsi="Times New Roman" w:cs="Times New Roman"/>
          <w:color w:val="333333"/>
          <w:sz w:val="24"/>
          <w:szCs w:val="24"/>
        </w:rPr>
      </w:pPr>
      <w:r w:rsidRPr="00197763">
        <w:rPr>
          <w:rFonts w:ascii="Times New Roman" w:hAnsi="Times New Roman" w:cs="Times New Roman"/>
          <w:color w:val="333333"/>
          <w:sz w:val="24"/>
          <w:szCs w:val="24"/>
        </w:rPr>
        <w:t>Figura 1: Situación laboral, educativa y formativa de los jóvenes, por edad, UE, 2021</w:t>
      </w:r>
      <w:r>
        <w:rPr>
          <w:rFonts w:ascii="Times New Roman" w:hAnsi="Times New Roman" w:cs="Times New Roman"/>
          <w:color w:val="333333"/>
          <w:sz w:val="24"/>
          <w:szCs w:val="24"/>
        </w:rPr>
        <w:t xml:space="preserve"> (%)</w:t>
      </w:r>
    </w:p>
    <w:p w:rsidR="00BE473A" w:rsidRPr="003137D2" w:rsidRDefault="00BE473A" w:rsidP="00BE473A">
      <w:pPr>
        <w:shd w:val="clear" w:color="auto" w:fill="FFFFFF"/>
        <w:spacing w:line="240" w:lineRule="auto"/>
        <w:jc w:val="both"/>
        <w:rPr>
          <w:rFonts w:ascii="Times New Roman" w:hAnsi="Times New Roman" w:cs="Times New Roman"/>
          <w:sz w:val="24"/>
          <w:szCs w:val="24"/>
        </w:rPr>
      </w:pPr>
      <w:r w:rsidRPr="00197763">
        <w:rPr>
          <w:rFonts w:ascii="Times New Roman" w:hAnsi="Times New Roman" w:cs="Times New Roman"/>
          <w:i/>
          <w:iCs/>
          <w:color w:val="333333"/>
          <w:sz w:val="24"/>
          <w:szCs w:val="24"/>
        </w:rPr>
        <w:t>Fuente:</w:t>
      </w:r>
      <w:r w:rsidRPr="00197763">
        <w:rPr>
          <w:rFonts w:ascii="Times New Roman" w:hAnsi="Times New Roman" w:cs="Times New Roman"/>
          <w:color w:val="333333"/>
          <w:sz w:val="24"/>
          <w:szCs w:val="24"/>
        </w:rPr>
        <w:t> Eurostat </w:t>
      </w:r>
      <w:hyperlink r:id="rId213" w:tgtFrame="_blank" w:history="1">
        <w:r w:rsidRPr="003137D2">
          <w:rPr>
            <w:rStyle w:val="Hipervnculo"/>
            <w:rFonts w:ascii="Times New Roman" w:hAnsi="Times New Roman" w:cs="Times New Roman"/>
            <w:color w:val="auto"/>
            <w:sz w:val="24"/>
            <w:szCs w:val="24"/>
          </w:rPr>
          <w:t>(edat_lfse_18)</w:t>
        </w:r>
      </w:hyperlink>
    </w:p>
    <w:p w:rsidR="00BE473A" w:rsidRPr="00197763" w:rsidRDefault="00BE473A" w:rsidP="00BE473A">
      <w:pPr>
        <w:pStyle w:val="NormalWeb"/>
        <w:shd w:val="clear" w:color="auto" w:fill="FFFFFF"/>
        <w:spacing w:before="0" w:beforeAutospacing="0" w:after="105" w:afterAutospacing="0"/>
        <w:jc w:val="both"/>
        <w:rPr>
          <w:color w:val="333333"/>
        </w:rPr>
      </w:pPr>
      <w:r w:rsidRPr="00197763">
        <w:rPr>
          <w:color w:val="333333"/>
        </w:rPr>
        <w:t>Un factor importante al estudiar a los adultos jóvenes y su transición de la educación al trabajo es el riesgo de convertirse en una persona que no trabaja ni estudia ni recibe formación (NINI). En la Figura 1 se muestra que el nivel de ninis en los respectivos grupos de edad varía y que la proporción aumenta con la edad. Este patrón es plausible dado que la gran mayoría de los jóvenes de entre 15 y 19 años en la UE siguen recibiendo educación y formación, ya sea formal o no informal. Por lo tanto, no sorprende encontrar que relativamente pocas personas en este grupo de edad (6,8 %) eran ninis en 2021.</w:t>
      </w:r>
    </w:p>
    <w:p w:rsidR="00BE473A" w:rsidRPr="00164B30" w:rsidRDefault="00BE473A" w:rsidP="00BE473A">
      <w:pPr>
        <w:pStyle w:val="Ttulo3"/>
        <w:shd w:val="clear" w:color="auto" w:fill="FFFFFF"/>
        <w:spacing w:before="150" w:line="240" w:lineRule="auto"/>
        <w:jc w:val="both"/>
        <w:rPr>
          <w:rStyle w:val="mw-headline"/>
          <w:rFonts w:ascii="Times New Roman" w:hAnsi="Times New Roman" w:cs="Times New Roman"/>
          <w:bCs w:val="0"/>
          <w:color w:val="auto"/>
          <w:sz w:val="24"/>
          <w:szCs w:val="24"/>
        </w:rPr>
      </w:pPr>
      <w:r w:rsidRPr="00164B30">
        <w:rPr>
          <w:rStyle w:val="mw-headline"/>
          <w:rFonts w:ascii="Times New Roman" w:hAnsi="Times New Roman" w:cs="Times New Roman"/>
          <w:bCs w:val="0"/>
          <w:color w:val="auto"/>
          <w:sz w:val="24"/>
          <w:szCs w:val="24"/>
        </w:rPr>
        <w:t>Tasa de ninis en la UE y sus Estados miembros 2021</w:t>
      </w:r>
    </w:p>
    <w:p w:rsidR="00BE473A" w:rsidRDefault="00BE473A" w:rsidP="00BE473A">
      <w:pPr>
        <w:pStyle w:val="NormalWeb"/>
        <w:shd w:val="clear" w:color="auto" w:fill="FFFFFF"/>
        <w:spacing w:before="0" w:beforeAutospacing="0" w:after="105" w:afterAutospacing="0"/>
        <w:jc w:val="both"/>
        <w:rPr>
          <w:rFonts w:asciiTheme="minorHAnsi" w:eastAsiaTheme="minorHAnsi" w:hAnsiTheme="minorHAnsi" w:cstheme="minorBidi"/>
          <w:sz w:val="22"/>
          <w:szCs w:val="22"/>
          <w:lang w:eastAsia="en-US"/>
        </w:rPr>
      </w:pPr>
    </w:p>
    <w:p w:rsidR="00BE473A" w:rsidRPr="00197763" w:rsidRDefault="00BE473A" w:rsidP="00BE473A">
      <w:pPr>
        <w:pStyle w:val="NormalWeb"/>
        <w:shd w:val="clear" w:color="auto" w:fill="FFFFFF"/>
        <w:spacing w:before="0" w:beforeAutospacing="0" w:after="105" w:afterAutospacing="0"/>
        <w:jc w:val="both"/>
        <w:rPr>
          <w:color w:val="333333"/>
        </w:rPr>
      </w:pPr>
      <w:r w:rsidRPr="00197763">
        <w:rPr>
          <w:color w:val="333333"/>
        </w:rPr>
        <w:t>Dado que la UE se esfuerza por reducir la tasa de jóvenes que son ninis entre las personas de 15 a 29 años al 9 % para 2030, el artículo se centrará en este grupo de edad.</w:t>
      </w:r>
    </w:p>
    <w:p w:rsidR="00BE473A" w:rsidRPr="00197763" w:rsidRDefault="00BE473A" w:rsidP="00BE473A">
      <w:pPr>
        <w:pStyle w:val="NormalWeb"/>
        <w:shd w:val="clear" w:color="auto" w:fill="FFFFFF"/>
        <w:spacing w:before="0" w:beforeAutospacing="0" w:after="105" w:afterAutospacing="0"/>
        <w:jc w:val="both"/>
        <w:rPr>
          <w:color w:val="333333"/>
        </w:rPr>
      </w:pPr>
      <w:r w:rsidRPr="00197763">
        <w:rPr>
          <w:color w:val="333333"/>
        </w:rPr>
        <w:t>En los Estados miembros de la UE existen amplias variaciones en 2021 cuando se observan las tasas de ninis para el grupo de edad objetivo, véase la figura 2. Las tasas más bajas ya estaban por debajo del objetivo del 9,0 % y se encontraron en los Países Bajos, Suecia, Eslovenia, Dinamarca y Luxemburgo; este fue también el caso en Islandia y Noruega. Por lo tanto, estos países alcanzaron el objetivo a largo plazo a nivel de la UE para 2030 en 2021 o antes.</w:t>
      </w:r>
    </w:p>
    <w:p w:rsidR="00BE473A" w:rsidRPr="00197763" w:rsidRDefault="00BE473A" w:rsidP="00BE473A">
      <w:pPr>
        <w:pStyle w:val="NormalWeb"/>
        <w:shd w:val="clear" w:color="auto" w:fill="FFFFFF"/>
        <w:spacing w:before="0" w:beforeAutospacing="0" w:after="105" w:afterAutospacing="0"/>
        <w:jc w:val="both"/>
        <w:rPr>
          <w:color w:val="333333"/>
        </w:rPr>
      </w:pPr>
      <w:r w:rsidRPr="00197763">
        <w:rPr>
          <w:color w:val="333333"/>
        </w:rPr>
        <w:t>Además, hubo nueve Estados miembros que registraron tasas de ninis por encima de la media de la UE del 13,1 % en 2021. Entre ellos, las tasas más altas se registraron en Italia y Rumanía, donde más del 20 % de todos los jóvenes de entre 15 y 29 años no estaban ni en empleo ni en la educación o la formación.</w:t>
      </w:r>
    </w:p>
    <w:p w:rsidR="00BE473A" w:rsidRPr="00197763" w:rsidRDefault="00BE473A" w:rsidP="00BE473A">
      <w:pPr>
        <w:pStyle w:val="NormalWeb"/>
        <w:shd w:val="clear" w:color="auto" w:fill="FFFFFF"/>
        <w:spacing w:before="0" w:beforeAutospacing="0" w:after="105" w:afterAutospacing="0"/>
        <w:jc w:val="both"/>
        <w:rPr>
          <w:color w:val="333333"/>
        </w:rPr>
      </w:pPr>
      <w:r w:rsidRPr="00197763">
        <w:rPr>
          <w:color w:val="333333"/>
        </w:rPr>
        <w:lastRenderedPageBreak/>
        <w:t>Una comparación entre los dos Estados miembros de la UE con las tasas más altas y más bajas de ninis en 2021 revela que la proporción de adultos jóvenes que eran ninis era 4,2 veces mayor en Italia que en los Países Bajos.</w:t>
      </w:r>
    </w:p>
    <w:p w:rsidR="00BE473A" w:rsidRDefault="00BE473A" w:rsidP="00BE473A">
      <w:pPr>
        <w:pStyle w:val="NormalWeb"/>
        <w:shd w:val="clear" w:color="auto" w:fill="FFFFFF"/>
        <w:spacing w:before="0" w:beforeAutospacing="0" w:after="105" w:afterAutospacing="0"/>
        <w:jc w:val="both"/>
        <w:rPr>
          <w:color w:val="333333"/>
        </w:rPr>
      </w:pPr>
      <w:r w:rsidRPr="00197763">
        <w:rPr>
          <w:color w:val="333333"/>
        </w:rPr>
        <w:t>La proporción general de ninis disminuyó en la UE en 2,3 puntos porcentuales (pp.) entre 2011 y 2021. Entre los Estados miembros de la UE, la mayor reducción en las tasas de ninis (en términos de puntos porcentuales) entre 2011 y 2021 se produjo con diferencia en Irlanda (-12,6 pp.), seguida de Bulgaria (-7,1 pp.) y Letonia (-7,0 pp.). También hubo cinco Estados miembros que tuvieron aumentos en sus tasas de ninis desde 2011, estos países son: Luxemburgo (2,2 pp.), Austria (0,9 pp.), Rumanía (0,8 pp.),</w:t>
      </w:r>
      <w:r>
        <w:rPr>
          <w:color w:val="333333"/>
        </w:rPr>
        <w:t xml:space="preserve"> Italia y Chipre (ambos 0,6 pp.</w:t>
      </w:r>
      <w:r w:rsidRPr="00197763">
        <w:rPr>
          <w:color w:val="333333"/>
        </w:rPr>
        <w:t>).</w:t>
      </w:r>
    </w:p>
    <w:p w:rsidR="00BE473A" w:rsidRPr="00197763" w:rsidRDefault="00BE473A" w:rsidP="00BE473A">
      <w:pPr>
        <w:pStyle w:val="NormalWeb"/>
        <w:shd w:val="clear" w:color="auto" w:fill="FFFFFF"/>
        <w:spacing w:before="0" w:beforeAutospacing="0" w:after="105" w:afterAutospacing="0"/>
        <w:jc w:val="both"/>
        <w:rPr>
          <w:color w:val="333333"/>
        </w:rPr>
      </w:pPr>
      <w:r w:rsidRPr="00164B30">
        <w:rPr>
          <w:noProof/>
          <w:color w:val="333333"/>
          <w:lang w:val="en-GB" w:eastAsia="zh-CN"/>
        </w:rPr>
        <w:drawing>
          <wp:inline distT="0" distB="0" distL="0" distR="0">
            <wp:extent cx="5731510" cy="3535044"/>
            <wp:effectExtent l="0" t="0" r="2540" b="8890"/>
            <wp:docPr id="131" name="Imagen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4"/>
                    <a:stretch>
                      <a:fillRect/>
                    </a:stretch>
                  </pic:blipFill>
                  <pic:spPr>
                    <a:xfrm>
                      <a:off x="0" y="0"/>
                      <a:ext cx="5731510" cy="3535044"/>
                    </a:xfrm>
                    <a:prstGeom prst="rect">
                      <a:avLst/>
                    </a:prstGeom>
                  </pic:spPr>
                </pic:pic>
              </a:graphicData>
            </a:graphic>
          </wp:inline>
        </w:drawing>
      </w:r>
    </w:p>
    <w:p w:rsidR="00BE473A" w:rsidRDefault="00BE473A" w:rsidP="00BE473A">
      <w:pPr>
        <w:shd w:val="clear" w:color="auto" w:fill="FFFFFF"/>
        <w:spacing w:line="240" w:lineRule="auto"/>
        <w:jc w:val="both"/>
        <w:rPr>
          <w:rFonts w:ascii="Times New Roman" w:hAnsi="Times New Roman" w:cs="Times New Roman"/>
          <w:color w:val="333333"/>
          <w:sz w:val="24"/>
          <w:szCs w:val="24"/>
        </w:rPr>
      </w:pPr>
      <w:r w:rsidRPr="00197763">
        <w:rPr>
          <w:rFonts w:ascii="Times New Roman" w:hAnsi="Times New Roman" w:cs="Times New Roman"/>
          <w:color w:val="333333"/>
          <w:sz w:val="24"/>
          <w:szCs w:val="24"/>
        </w:rPr>
        <w:t>Gráfico 2: Jóvenes (de 15 a 29 años) que no trabajan ni estudian ni reciben formación, 2011 y 2021</w:t>
      </w:r>
      <w:r>
        <w:rPr>
          <w:rFonts w:ascii="Times New Roman" w:hAnsi="Times New Roman" w:cs="Times New Roman"/>
          <w:color w:val="333333"/>
          <w:sz w:val="24"/>
          <w:szCs w:val="24"/>
        </w:rPr>
        <w:t>(%)</w:t>
      </w:r>
    </w:p>
    <w:p w:rsidR="00BE473A" w:rsidRPr="003137D2" w:rsidRDefault="00BE473A" w:rsidP="00BE473A">
      <w:pPr>
        <w:shd w:val="clear" w:color="auto" w:fill="FFFFFF"/>
        <w:spacing w:line="240" w:lineRule="auto"/>
        <w:jc w:val="both"/>
        <w:rPr>
          <w:rFonts w:ascii="Times New Roman" w:hAnsi="Times New Roman" w:cs="Times New Roman"/>
          <w:i/>
          <w:iCs/>
          <w:sz w:val="24"/>
          <w:szCs w:val="24"/>
        </w:rPr>
      </w:pPr>
      <w:r w:rsidRPr="00197763">
        <w:rPr>
          <w:rFonts w:ascii="Times New Roman" w:hAnsi="Times New Roman" w:cs="Times New Roman"/>
          <w:i/>
          <w:iCs/>
          <w:color w:val="333333"/>
          <w:sz w:val="24"/>
          <w:szCs w:val="24"/>
        </w:rPr>
        <w:t>Fuente:</w:t>
      </w:r>
      <w:r w:rsidRPr="00197763">
        <w:rPr>
          <w:rFonts w:ascii="Times New Roman" w:hAnsi="Times New Roman" w:cs="Times New Roman"/>
          <w:color w:val="333333"/>
          <w:sz w:val="24"/>
          <w:szCs w:val="24"/>
        </w:rPr>
        <w:t> Eurostat </w:t>
      </w:r>
      <w:hyperlink r:id="rId215" w:tgtFrame="_blank" w:history="1">
        <w:r w:rsidRPr="003137D2">
          <w:rPr>
            <w:rStyle w:val="Hipervnculo"/>
            <w:rFonts w:ascii="Times New Roman" w:hAnsi="Times New Roman" w:cs="Times New Roman"/>
            <w:color w:val="auto"/>
            <w:sz w:val="24"/>
            <w:szCs w:val="24"/>
          </w:rPr>
          <w:t>(edat_lfse_18)</w:t>
        </w:r>
      </w:hyperlink>
    </w:p>
    <w:p w:rsidR="00BE473A" w:rsidRPr="00164B30" w:rsidRDefault="00BE473A" w:rsidP="00BE473A">
      <w:pPr>
        <w:pStyle w:val="Ttulo3"/>
        <w:shd w:val="clear" w:color="auto" w:fill="FFFFFF"/>
        <w:spacing w:before="150" w:line="240" w:lineRule="auto"/>
        <w:jc w:val="both"/>
        <w:rPr>
          <w:rStyle w:val="mw-headline"/>
          <w:rFonts w:ascii="Times New Roman" w:hAnsi="Times New Roman" w:cs="Times New Roman"/>
          <w:bCs w:val="0"/>
          <w:color w:val="auto"/>
          <w:sz w:val="24"/>
          <w:szCs w:val="24"/>
        </w:rPr>
      </w:pPr>
      <w:r w:rsidRPr="00164B30">
        <w:rPr>
          <w:rStyle w:val="mw-headline"/>
          <w:rFonts w:ascii="Times New Roman" w:hAnsi="Times New Roman" w:cs="Times New Roman"/>
          <w:bCs w:val="0"/>
          <w:color w:val="auto"/>
          <w:sz w:val="24"/>
          <w:szCs w:val="24"/>
        </w:rPr>
        <w:t>Evolución de los ninis en la UE a lo largo del tiempo para diferentes grupos de edad</w:t>
      </w:r>
    </w:p>
    <w:p w:rsidR="00BE473A" w:rsidRDefault="00BE473A" w:rsidP="00BE473A">
      <w:pPr>
        <w:pStyle w:val="NormalWeb"/>
        <w:shd w:val="clear" w:color="auto" w:fill="FFFFFF"/>
        <w:spacing w:before="0" w:beforeAutospacing="0" w:after="105" w:afterAutospacing="0"/>
        <w:jc w:val="both"/>
        <w:rPr>
          <w:rFonts w:asciiTheme="minorHAnsi" w:eastAsiaTheme="minorHAnsi" w:hAnsiTheme="minorHAnsi" w:cstheme="minorBidi"/>
          <w:sz w:val="22"/>
          <w:szCs w:val="22"/>
          <w:lang w:eastAsia="en-US"/>
        </w:rPr>
      </w:pPr>
    </w:p>
    <w:p w:rsidR="00BE473A" w:rsidRPr="00197763" w:rsidRDefault="00BE473A" w:rsidP="00BE473A">
      <w:pPr>
        <w:pStyle w:val="NormalWeb"/>
        <w:shd w:val="clear" w:color="auto" w:fill="FFFFFF"/>
        <w:spacing w:before="0" w:beforeAutospacing="0" w:after="105" w:afterAutospacing="0"/>
        <w:jc w:val="both"/>
        <w:rPr>
          <w:color w:val="333333"/>
        </w:rPr>
      </w:pPr>
      <w:r w:rsidRPr="00197763">
        <w:rPr>
          <w:color w:val="333333"/>
        </w:rPr>
        <w:t>La figura 3 muestra el desarrollo de los ninis para diferentes grupos de edad dentro de la UE desde 2011 hasta 2021. Al comienzo de la serie temporal, la proporción de ninis seguía aumentando como resultado de la crisis financiera de finales de la década de 2000. La proporción alcanzó su punto máximo en 2013 y, después de eso, la proporción de ninis disminuyó continuamente hasta 2019. Sin embargo, con el inicio de la pandemia de COVID-19 en 2020, la proporción de adultos jóvenes que no tienen empleo ni educación o capacitación aumentó. Esto es natural ya que la tasa de ninis para jóvenes está estrechamente relacionada con el desempeño económico y el ciclo económico. La crisis financiera y económica de finales de la década de 2000 provocó un número récord de ninis. A los responsables políticos les preocupaba que esto pudiera dar lugar a que toda una generación de jóvenes de la UE permaneciera fuera del mercado laboral en los próximos años.</w:t>
      </w:r>
    </w:p>
    <w:p w:rsidR="00BE473A" w:rsidRDefault="00BE473A" w:rsidP="00BE473A">
      <w:pPr>
        <w:pStyle w:val="NormalWeb"/>
        <w:shd w:val="clear" w:color="auto" w:fill="FFFFFF"/>
        <w:spacing w:before="0" w:beforeAutospacing="0" w:after="105" w:afterAutospacing="0"/>
        <w:jc w:val="both"/>
        <w:rPr>
          <w:color w:val="333333"/>
        </w:rPr>
      </w:pPr>
      <w:r w:rsidRPr="00197763">
        <w:rPr>
          <w:color w:val="333333"/>
        </w:rPr>
        <w:t xml:space="preserve">La figura 3 muestra que la proporción de ninis disminuyó considerablemente en 2021 en comparación con 2020 para todos los grupos de edad excepto para los de 15 a 19 años. Para </w:t>
      </w:r>
      <w:r w:rsidRPr="00197763">
        <w:rPr>
          <w:color w:val="333333"/>
        </w:rPr>
        <w:lastRenderedPageBreak/>
        <w:t>el grupo de edad del objetivo a nivel de la UE, la proporción de ninis fue del 13,1 % en 2021, la proporción correspondiente fue del 6,8 % para los de 15 a 19 años, el 14,8 % para los de 20 a 24 años y el 17,3 % para los de 25 a 29 años. . En 2021, las acciones aún eran más altas que antes de la pandemia, pero las diferencias eran considerablemente menores, lo que podría ser un indicio de recuperación.</w:t>
      </w:r>
    </w:p>
    <w:p w:rsidR="00BE473A" w:rsidRPr="00197763" w:rsidRDefault="00BE473A" w:rsidP="00BE473A">
      <w:pPr>
        <w:pStyle w:val="NormalWeb"/>
        <w:shd w:val="clear" w:color="auto" w:fill="FFFFFF"/>
        <w:spacing w:before="0" w:beforeAutospacing="0" w:after="105" w:afterAutospacing="0"/>
        <w:jc w:val="both"/>
        <w:rPr>
          <w:color w:val="333333"/>
        </w:rPr>
      </w:pPr>
      <w:r w:rsidRPr="00164B30">
        <w:rPr>
          <w:noProof/>
          <w:color w:val="333333"/>
          <w:lang w:val="en-GB" w:eastAsia="zh-CN"/>
        </w:rPr>
        <w:drawing>
          <wp:inline distT="0" distB="0" distL="0" distR="0">
            <wp:extent cx="5731510" cy="3206216"/>
            <wp:effectExtent l="0" t="0" r="2540" b="0"/>
            <wp:docPr id="133" name="Imagen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6"/>
                    <a:stretch>
                      <a:fillRect/>
                    </a:stretch>
                  </pic:blipFill>
                  <pic:spPr>
                    <a:xfrm>
                      <a:off x="0" y="0"/>
                      <a:ext cx="5731510" cy="3206216"/>
                    </a:xfrm>
                    <a:prstGeom prst="rect">
                      <a:avLst/>
                    </a:prstGeom>
                  </pic:spPr>
                </pic:pic>
              </a:graphicData>
            </a:graphic>
          </wp:inline>
        </w:drawing>
      </w:r>
    </w:p>
    <w:p w:rsidR="00BE473A" w:rsidRDefault="00BE473A" w:rsidP="00BE473A">
      <w:pPr>
        <w:shd w:val="clear" w:color="auto" w:fill="FFFFFF"/>
        <w:spacing w:line="240" w:lineRule="auto"/>
        <w:jc w:val="both"/>
        <w:rPr>
          <w:rFonts w:ascii="Times New Roman" w:hAnsi="Times New Roman" w:cs="Times New Roman"/>
          <w:color w:val="333333"/>
          <w:sz w:val="24"/>
          <w:szCs w:val="24"/>
        </w:rPr>
      </w:pPr>
      <w:r w:rsidRPr="00197763">
        <w:rPr>
          <w:rFonts w:ascii="Times New Roman" w:hAnsi="Times New Roman" w:cs="Times New Roman"/>
          <w:color w:val="333333"/>
          <w:sz w:val="24"/>
          <w:szCs w:val="24"/>
        </w:rPr>
        <w:t>Gráfico 3: Jóvenes que no trabajan ni estudian ni reciben formación, por edad, UE, 2011-2021</w:t>
      </w:r>
      <w:r>
        <w:rPr>
          <w:rFonts w:ascii="Times New Roman" w:hAnsi="Times New Roman" w:cs="Times New Roman"/>
          <w:color w:val="333333"/>
          <w:sz w:val="24"/>
          <w:szCs w:val="24"/>
        </w:rPr>
        <w:t>(%)</w:t>
      </w:r>
    </w:p>
    <w:p w:rsidR="00BE473A" w:rsidRPr="003137D2" w:rsidRDefault="00BE473A" w:rsidP="00BE473A">
      <w:pPr>
        <w:shd w:val="clear" w:color="auto" w:fill="FFFFFF"/>
        <w:spacing w:line="240" w:lineRule="auto"/>
        <w:jc w:val="both"/>
        <w:rPr>
          <w:rFonts w:ascii="Times New Roman" w:hAnsi="Times New Roman" w:cs="Times New Roman"/>
          <w:sz w:val="24"/>
          <w:szCs w:val="24"/>
        </w:rPr>
      </w:pPr>
      <w:r w:rsidRPr="00197763">
        <w:rPr>
          <w:rFonts w:ascii="Times New Roman" w:hAnsi="Times New Roman" w:cs="Times New Roman"/>
          <w:i/>
          <w:iCs/>
          <w:color w:val="333333"/>
          <w:sz w:val="24"/>
          <w:szCs w:val="24"/>
        </w:rPr>
        <w:t>Fuente:</w:t>
      </w:r>
      <w:r w:rsidRPr="00197763">
        <w:rPr>
          <w:rFonts w:ascii="Times New Roman" w:hAnsi="Times New Roman" w:cs="Times New Roman"/>
          <w:color w:val="333333"/>
          <w:sz w:val="24"/>
          <w:szCs w:val="24"/>
        </w:rPr>
        <w:t> Eurostat </w:t>
      </w:r>
      <w:hyperlink r:id="rId217" w:tgtFrame="_blank" w:history="1">
        <w:r w:rsidRPr="003137D2">
          <w:rPr>
            <w:rStyle w:val="Hipervnculo"/>
            <w:rFonts w:ascii="Times New Roman" w:hAnsi="Times New Roman" w:cs="Times New Roman"/>
            <w:color w:val="auto"/>
            <w:sz w:val="24"/>
            <w:szCs w:val="24"/>
          </w:rPr>
          <w:t>(edat_lfse_20)</w:t>
        </w:r>
      </w:hyperlink>
    </w:p>
    <w:p w:rsidR="00BE473A" w:rsidRDefault="00BE473A" w:rsidP="00BE473A">
      <w:pPr>
        <w:pStyle w:val="Ttulo3"/>
        <w:shd w:val="clear" w:color="auto" w:fill="FFFFFF"/>
        <w:spacing w:before="150" w:line="240" w:lineRule="auto"/>
        <w:jc w:val="both"/>
        <w:rPr>
          <w:rStyle w:val="mw-headline"/>
          <w:rFonts w:ascii="Times New Roman" w:hAnsi="Times New Roman" w:cs="Times New Roman"/>
          <w:bCs w:val="0"/>
          <w:color w:val="auto"/>
          <w:sz w:val="24"/>
          <w:szCs w:val="24"/>
        </w:rPr>
      </w:pPr>
      <w:r w:rsidRPr="00164B30">
        <w:rPr>
          <w:rStyle w:val="mw-headline"/>
          <w:rFonts w:ascii="Times New Roman" w:hAnsi="Times New Roman" w:cs="Times New Roman"/>
          <w:bCs w:val="0"/>
          <w:color w:val="auto"/>
          <w:sz w:val="24"/>
          <w:szCs w:val="24"/>
        </w:rPr>
        <w:t>El nivel educativo afecta la proporción de ninis</w:t>
      </w:r>
    </w:p>
    <w:p w:rsidR="00BE473A" w:rsidRPr="00164B30" w:rsidRDefault="00BE473A" w:rsidP="00BE473A"/>
    <w:p w:rsidR="00BE473A" w:rsidRPr="00197763" w:rsidRDefault="00BE473A" w:rsidP="00BE473A">
      <w:pPr>
        <w:pStyle w:val="NormalWeb"/>
        <w:shd w:val="clear" w:color="auto" w:fill="FFFFFF"/>
        <w:spacing w:before="0" w:beforeAutospacing="0" w:after="105" w:afterAutospacing="0"/>
        <w:jc w:val="both"/>
        <w:rPr>
          <w:color w:val="333333"/>
        </w:rPr>
      </w:pPr>
      <w:r w:rsidRPr="00197763">
        <w:rPr>
          <w:color w:val="333333"/>
        </w:rPr>
        <w:t xml:space="preserve">En 2021, la tasa de ninis para jóvenes de entre 15 y 29 años en la UE era del 15,5 % entre los que tenían un nivel educativo bajo, en comparación con el 13,1 % entre los que tenían un nivel educativo medio y el 9,2 % entre los que tenían un </w:t>
      </w:r>
      <w:r>
        <w:rPr>
          <w:color w:val="333333"/>
        </w:rPr>
        <w:t xml:space="preserve">nivel educativo alto </w:t>
      </w:r>
      <w:r w:rsidRPr="00197763">
        <w:rPr>
          <w:color w:val="333333"/>
        </w:rPr>
        <w:t>(ver Figura 4).</w:t>
      </w:r>
    </w:p>
    <w:p w:rsidR="00BE473A" w:rsidRPr="00197763" w:rsidRDefault="00BE473A" w:rsidP="00BE473A">
      <w:pPr>
        <w:pStyle w:val="NormalWeb"/>
        <w:shd w:val="clear" w:color="auto" w:fill="FFFFFF"/>
        <w:spacing w:before="0" w:beforeAutospacing="0" w:after="105" w:afterAutospacing="0"/>
        <w:jc w:val="both"/>
        <w:rPr>
          <w:color w:val="333333"/>
        </w:rPr>
      </w:pPr>
      <w:r w:rsidRPr="00197763">
        <w:rPr>
          <w:color w:val="333333"/>
        </w:rPr>
        <w:t>Las tasas de ninis en los Estados miembros de la UE para personas de 15 a 29 años con un nivel educativo bajo oscilaron entre el 6,4 % en Suecia y el 32,7 % en Rumanía en 2021. Mirando más de cerca estas cifras, seis países tenían tasas de ninis más altas que el promedio para el UE y estos países fueron: Eslovaquia (16,6 %), España (18,4 %), Malta (20,3 %), Italia (23,0 %), Bulgaria (24,4 %) y Rumanía (32,7 %).</w:t>
      </w:r>
    </w:p>
    <w:p w:rsidR="00BE473A" w:rsidRPr="00197763" w:rsidRDefault="00BE473A" w:rsidP="00BE473A">
      <w:pPr>
        <w:pStyle w:val="NormalWeb"/>
        <w:shd w:val="clear" w:color="auto" w:fill="FFFFFF"/>
        <w:spacing w:before="0" w:beforeAutospacing="0" w:after="105" w:afterAutospacing="0"/>
        <w:jc w:val="both"/>
        <w:rPr>
          <w:color w:val="333333"/>
        </w:rPr>
      </w:pPr>
      <w:r w:rsidRPr="00197763">
        <w:rPr>
          <w:color w:val="333333"/>
        </w:rPr>
        <w:t>Entre los jóvenes de 15 a 29 años con un nivel educativo medio, las tasas de ninis oscilaron entre el 4,2 % en los Países Bajos y un máximo del 24,9 % en Italia. Para este nivel educativo, dos países registraron una tasa de ninis del 19 % o superior (Grecia e Italia), mientras que el único país con una proporción inferior al 5,0 % fue Holanda.</w:t>
      </w:r>
    </w:p>
    <w:p w:rsidR="00BE473A" w:rsidRDefault="00BE473A" w:rsidP="00BE473A">
      <w:pPr>
        <w:pStyle w:val="NormalWeb"/>
        <w:shd w:val="clear" w:color="auto" w:fill="FFFFFF"/>
        <w:spacing w:before="0" w:beforeAutospacing="0" w:after="105" w:afterAutospacing="0"/>
        <w:jc w:val="both"/>
        <w:rPr>
          <w:color w:val="333333"/>
        </w:rPr>
      </w:pPr>
      <w:r w:rsidRPr="00197763">
        <w:rPr>
          <w:color w:val="333333"/>
        </w:rPr>
        <w:t>En cuanto a las personas de 15 a 29 años con educación terciaria, sus tasas de ninis fueron en general considerablemente más bajas que para los otros niveles de educación. La proporción más baja fue del 3,1 % en los Países Bajos, pero se informó de un valor tan alto como el 26,8 % en Grecia.</w:t>
      </w:r>
    </w:p>
    <w:p w:rsidR="00BE473A" w:rsidRPr="00197763" w:rsidRDefault="00BE473A" w:rsidP="00BE473A">
      <w:pPr>
        <w:pStyle w:val="NormalWeb"/>
        <w:shd w:val="clear" w:color="auto" w:fill="FFFFFF"/>
        <w:spacing w:before="0" w:beforeAutospacing="0" w:after="105" w:afterAutospacing="0"/>
        <w:jc w:val="both"/>
        <w:rPr>
          <w:color w:val="333333"/>
        </w:rPr>
      </w:pPr>
      <w:r w:rsidRPr="00164B30">
        <w:rPr>
          <w:noProof/>
          <w:color w:val="333333"/>
          <w:lang w:val="en-GB" w:eastAsia="zh-CN"/>
        </w:rPr>
        <w:lastRenderedPageBreak/>
        <w:drawing>
          <wp:inline distT="0" distB="0" distL="0" distR="0">
            <wp:extent cx="5731510" cy="3746913"/>
            <wp:effectExtent l="0" t="0" r="2540" b="6350"/>
            <wp:docPr id="134" name="Imagen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8"/>
                    <a:stretch>
                      <a:fillRect/>
                    </a:stretch>
                  </pic:blipFill>
                  <pic:spPr>
                    <a:xfrm>
                      <a:off x="0" y="0"/>
                      <a:ext cx="5731510" cy="3746913"/>
                    </a:xfrm>
                    <a:prstGeom prst="rect">
                      <a:avLst/>
                    </a:prstGeom>
                  </pic:spPr>
                </pic:pic>
              </a:graphicData>
            </a:graphic>
          </wp:inline>
        </w:drawing>
      </w:r>
    </w:p>
    <w:p w:rsidR="00BE473A" w:rsidRDefault="00BE473A" w:rsidP="00BE473A">
      <w:pPr>
        <w:shd w:val="clear" w:color="auto" w:fill="FFFFFF"/>
        <w:spacing w:line="240" w:lineRule="auto"/>
        <w:jc w:val="both"/>
        <w:rPr>
          <w:rFonts w:ascii="Times New Roman" w:hAnsi="Times New Roman" w:cs="Times New Roman"/>
          <w:color w:val="333333"/>
          <w:sz w:val="24"/>
          <w:szCs w:val="24"/>
        </w:rPr>
      </w:pPr>
      <w:r w:rsidRPr="00197763">
        <w:rPr>
          <w:rFonts w:ascii="Times New Roman" w:hAnsi="Times New Roman" w:cs="Times New Roman"/>
          <w:color w:val="333333"/>
          <w:sz w:val="24"/>
          <w:szCs w:val="24"/>
        </w:rPr>
        <w:t>Gráfico 4: Jóvenes (de 15 a 29 años) que no trabajan ni estudian ni reciben formación, por nivel educativo, 2021</w:t>
      </w:r>
      <w:r>
        <w:rPr>
          <w:rFonts w:ascii="Times New Roman" w:hAnsi="Times New Roman" w:cs="Times New Roman"/>
          <w:color w:val="333333"/>
          <w:sz w:val="24"/>
          <w:szCs w:val="24"/>
        </w:rPr>
        <w:t xml:space="preserve"> (%)</w:t>
      </w:r>
    </w:p>
    <w:p w:rsidR="00BE473A" w:rsidRPr="003137D2" w:rsidRDefault="00BE473A" w:rsidP="00BE473A">
      <w:pPr>
        <w:shd w:val="clear" w:color="auto" w:fill="FFFFFF"/>
        <w:spacing w:line="240" w:lineRule="auto"/>
        <w:jc w:val="both"/>
        <w:rPr>
          <w:rFonts w:ascii="Times New Roman" w:hAnsi="Times New Roman" w:cs="Times New Roman"/>
          <w:sz w:val="24"/>
          <w:szCs w:val="24"/>
        </w:rPr>
      </w:pPr>
      <w:r w:rsidRPr="00197763">
        <w:rPr>
          <w:rFonts w:ascii="Times New Roman" w:hAnsi="Times New Roman" w:cs="Times New Roman"/>
          <w:i/>
          <w:iCs/>
          <w:color w:val="333333"/>
          <w:sz w:val="24"/>
          <w:szCs w:val="24"/>
        </w:rPr>
        <w:t>Fuente:</w:t>
      </w:r>
      <w:r w:rsidRPr="00197763">
        <w:rPr>
          <w:rFonts w:ascii="Times New Roman" w:hAnsi="Times New Roman" w:cs="Times New Roman"/>
          <w:color w:val="333333"/>
          <w:sz w:val="24"/>
          <w:szCs w:val="24"/>
        </w:rPr>
        <w:t> Eurostat </w:t>
      </w:r>
      <w:hyperlink r:id="rId219" w:tgtFrame="_blank" w:history="1">
        <w:r w:rsidRPr="003137D2">
          <w:rPr>
            <w:rStyle w:val="Hipervnculo"/>
            <w:rFonts w:ascii="Times New Roman" w:hAnsi="Times New Roman" w:cs="Times New Roman"/>
            <w:color w:val="auto"/>
            <w:sz w:val="24"/>
            <w:szCs w:val="24"/>
          </w:rPr>
          <w:t>(edat_lfse_21)</w:t>
        </w:r>
      </w:hyperlink>
    </w:p>
    <w:p w:rsidR="00BE473A" w:rsidRPr="00197763" w:rsidRDefault="00BE473A" w:rsidP="00BE473A">
      <w:pPr>
        <w:pStyle w:val="NormalWeb"/>
        <w:shd w:val="clear" w:color="auto" w:fill="FFFFFF"/>
        <w:spacing w:before="0" w:beforeAutospacing="0" w:after="105" w:afterAutospacing="0"/>
        <w:jc w:val="both"/>
        <w:rPr>
          <w:color w:val="333333"/>
        </w:rPr>
      </w:pPr>
      <w:r w:rsidRPr="00197763">
        <w:rPr>
          <w:color w:val="333333"/>
        </w:rPr>
        <w:t>Es común tener tasas altas de NINI para personas con un bajo nivel de educación y bajas tasas de NINI para personas con un alto nivel de educación. Al comparar los tres niveles de educación a nivel de Estado miembro, las tasas de ninis fueron casi siempre más altas para los adultos jóvenes con un nivel de educación bajo o medio en comparación con la educación terciaria (la única excepción es Grecia). En el otro extremo de la escala, los adultos jóvenes con educación terciaria registraron las tasas NINI más bajas en 2021 en todos los Estados miembros de la UE excepto seis (a saber, Portugal, Chequia, Croacia, Chipre, España y Grecia), donde se encontraron las tasas NINI más bajas para aquellos con nivel medio (España) o bajo nivel educativo (los otros cinco países).</w:t>
      </w:r>
    </w:p>
    <w:p w:rsidR="00BE473A" w:rsidRPr="00164B30" w:rsidRDefault="00BE473A" w:rsidP="00BE473A">
      <w:pPr>
        <w:pStyle w:val="Ttulo3"/>
        <w:shd w:val="clear" w:color="auto" w:fill="FFFFFF"/>
        <w:spacing w:before="150" w:line="240" w:lineRule="auto"/>
        <w:jc w:val="both"/>
        <w:rPr>
          <w:rStyle w:val="mw-headline"/>
          <w:rFonts w:ascii="Times New Roman" w:hAnsi="Times New Roman" w:cs="Times New Roman"/>
          <w:bCs w:val="0"/>
          <w:color w:val="auto"/>
          <w:sz w:val="24"/>
          <w:szCs w:val="24"/>
        </w:rPr>
      </w:pPr>
      <w:r w:rsidRPr="00164B30">
        <w:rPr>
          <w:rStyle w:val="mw-headline"/>
          <w:rFonts w:ascii="Times New Roman" w:hAnsi="Times New Roman" w:cs="Times New Roman"/>
          <w:bCs w:val="0"/>
          <w:color w:val="auto"/>
          <w:sz w:val="24"/>
          <w:szCs w:val="24"/>
        </w:rPr>
        <w:t>Las mujeres jóvenes tienen más probabilidades que los hombres jóvenes de no tener empleo ni recibir educación o capacitación</w:t>
      </w:r>
    </w:p>
    <w:p w:rsidR="00BE473A" w:rsidRDefault="00BE473A" w:rsidP="00BE473A">
      <w:pPr>
        <w:pStyle w:val="NormalWeb"/>
        <w:shd w:val="clear" w:color="auto" w:fill="FFFFFF"/>
        <w:spacing w:before="0" w:beforeAutospacing="0" w:after="105" w:afterAutospacing="0"/>
        <w:jc w:val="both"/>
        <w:rPr>
          <w:rFonts w:asciiTheme="minorHAnsi" w:eastAsiaTheme="minorHAnsi" w:hAnsiTheme="minorHAnsi" w:cstheme="minorBidi"/>
          <w:sz w:val="22"/>
          <w:szCs w:val="22"/>
          <w:lang w:eastAsia="en-US"/>
        </w:rPr>
      </w:pPr>
    </w:p>
    <w:p w:rsidR="00BE473A" w:rsidRPr="00164B30" w:rsidRDefault="00BE473A" w:rsidP="00BE473A">
      <w:pPr>
        <w:pStyle w:val="NormalWeb"/>
        <w:shd w:val="clear" w:color="auto" w:fill="FFFFFF"/>
        <w:spacing w:before="0" w:beforeAutospacing="0" w:after="105" w:afterAutospacing="0"/>
        <w:jc w:val="both"/>
      </w:pPr>
      <w:r w:rsidRPr="00164B30">
        <w:t>La Figura 5 muestra que existe una diferencia entre los sexos en relación con la proporción de adultos jóvenes que no tenían empleo ni educación o capacitación. En 2021, el 14,5 % de las mujeres jóvenes de entre 15 y 29 años en la UE eran ninis, mientras que la proporción correspondiente entre los hombres jóvenes fue 2,7 puntos porcentuales más baja, con un 11,8 %.</w:t>
      </w:r>
    </w:p>
    <w:p w:rsidR="00BE473A" w:rsidRDefault="00BE473A" w:rsidP="00BE473A">
      <w:pPr>
        <w:pStyle w:val="NormalWeb"/>
        <w:shd w:val="clear" w:color="auto" w:fill="FFFFFF"/>
        <w:spacing w:before="0" w:beforeAutospacing="0" w:after="105" w:afterAutospacing="0"/>
        <w:jc w:val="both"/>
        <w:rPr>
          <w:color w:val="333333"/>
        </w:rPr>
      </w:pPr>
      <w:r w:rsidRPr="00197763">
        <w:rPr>
          <w:color w:val="333333"/>
        </w:rPr>
        <w:t xml:space="preserve">Hay una serie de factores que pueden explicar la brecha de género. Por ejemplo, las convenciones o presiones sociales, que tienden a dar mayor importancia al papel de la mujer dentro de la familia y al papel del hombre para mantener a la familia a través del trabajo. Además, existe el riesgo de problemas del mercado laboral, tales como: empleadores que prefieren contratar a hombres jóvenes en lugar de mujeres jóvenes; mujeres jóvenes que </w:t>
      </w:r>
      <w:r w:rsidRPr="00197763">
        <w:rPr>
          <w:color w:val="333333"/>
        </w:rPr>
        <w:lastRenderedPageBreak/>
        <w:t>enfrentan dificultades de asimilación al regresar al trabajo después del parto; las mujeres jóvenes tienen más probabilidades de tener trabajos mal pagados o empleos precarios, etc.</w:t>
      </w:r>
    </w:p>
    <w:p w:rsidR="00BE473A" w:rsidRPr="00197763" w:rsidRDefault="00BE473A" w:rsidP="00BE473A">
      <w:pPr>
        <w:pStyle w:val="NormalWeb"/>
        <w:shd w:val="clear" w:color="auto" w:fill="FFFFFF"/>
        <w:spacing w:before="0" w:beforeAutospacing="0" w:after="105" w:afterAutospacing="0"/>
        <w:jc w:val="both"/>
        <w:rPr>
          <w:color w:val="333333"/>
        </w:rPr>
      </w:pPr>
      <w:r w:rsidRPr="00164B30">
        <w:rPr>
          <w:noProof/>
          <w:color w:val="333333"/>
          <w:lang w:val="en-GB" w:eastAsia="zh-CN"/>
        </w:rPr>
        <w:drawing>
          <wp:inline distT="0" distB="0" distL="0" distR="0">
            <wp:extent cx="5731510" cy="3026188"/>
            <wp:effectExtent l="0" t="0" r="2540" b="3175"/>
            <wp:docPr id="135" name="Imagen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0"/>
                    <a:stretch>
                      <a:fillRect/>
                    </a:stretch>
                  </pic:blipFill>
                  <pic:spPr>
                    <a:xfrm>
                      <a:off x="0" y="0"/>
                      <a:ext cx="5731510" cy="3026188"/>
                    </a:xfrm>
                    <a:prstGeom prst="rect">
                      <a:avLst/>
                    </a:prstGeom>
                  </pic:spPr>
                </pic:pic>
              </a:graphicData>
            </a:graphic>
          </wp:inline>
        </w:drawing>
      </w:r>
    </w:p>
    <w:p w:rsidR="00BE473A" w:rsidRDefault="00BE473A" w:rsidP="00BE473A">
      <w:pPr>
        <w:shd w:val="clear" w:color="auto" w:fill="FFFFFF"/>
        <w:spacing w:line="240" w:lineRule="auto"/>
        <w:jc w:val="both"/>
        <w:rPr>
          <w:rFonts w:ascii="Times New Roman" w:hAnsi="Times New Roman" w:cs="Times New Roman"/>
          <w:color w:val="333333"/>
          <w:sz w:val="24"/>
          <w:szCs w:val="24"/>
        </w:rPr>
      </w:pPr>
      <w:r w:rsidRPr="00197763">
        <w:rPr>
          <w:rFonts w:ascii="Times New Roman" w:hAnsi="Times New Roman" w:cs="Times New Roman"/>
          <w:color w:val="333333"/>
          <w:sz w:val="24"/>
          <w:szCs w:val="24"/>
        </w:rPr>
        <w:t>Gráfico 5: Jóvenes (de 15 a 29 años) que no trabajan ni estudian ni reciben formación, por sexo, 2021</w:t>
      </w:r>
      <w:r>
        <w:rPr>
          <w:rFonts w:ascii="Times New Roman" w:hAnsi="Times New Roman" w:cs="Times New Roman"/>
          <w:color w:val="333333"/>
          <w:sz w:val="24"/>
          <w:szCs w:val="24"/>
        </w:rPr>
        <w:t xml:space="preserve"> (%)</w:t>
      </w:r>
    </w:p>
    <w:p w:rsidR="00BE473A" w:rsidRPr="003137D2" w:rsidRDefault="00BE473A" w:rsidP="00BE473A">
      <w:pPr>
        <w:shd w:val="clear" w:color="auto" w:fill="FFFFFF"/>
        <w:spacing w:line="240" w:lineRule="auto"/>
        <w:jc w:val="both"/>
        <w:rPr>
          <w:rFonts w:ascii="Times New Roman" w:hAnsi="Times New Roman" w:cs="Times New Roman"/>
          <w:sz w:val="24"/>
          <w:szCs w:val="24"/>
        </w:rPr>
      </w:pPr>
      <w:r w:rsidRPr="00197763">
        <w:rPr>
          <w:rFonts w:ascii="Times New Roman" w:hAnsi="Times New Roman" w:cs="Times New Roman"/>
          <w:i/>
          <w:iCs/>
          <w:color w:val="333333"/>
          <w:sz w:val="24"/>
          <w:szCs w:val="24"/>
        </w:rPr>
        <w:t>Fuente:</w:t>
      </w:r>
      <w:r w:rsidRPr="00197763">
        <w:rPr>
          <w:rFonts w:ascii="Times New Roman" w:hAnsi="Times New Roman" w:cs="Times New Roman"/>
          <w:color w:val="333333"/>
          <w:sz w:val="24"/>
          <w:szCs w:val="24"/>
        </w:rPr>
        <w:t> Eurostat </w:t>
      </w:r>
      <w:hyperlink r:id="rId221" w:tgtFrame="_blank" w:history="1">
        <w:r w:rsidRPr="003137D2">
          <w:rPr>
            <w:rStyle w:val="Hipervnculo"/>
            <w:rFonts w:ascii="Times New Roman" w:hAnsi="Times New Roman" w:cs="Times New Roman"/>
            <w:color w:val="auto"/>
            <w:sz w:val="24"/>
            <w:szCs w:val="24"/>
          </w:rPr>
          <w:t>(edat_lfse_20)</w:t>
        </w:r>
      </w:hyperlink>
    </w:p>
    <w:p w:rsidR="00BE473A" w:rsidRPr="00197763" w:rsidRDefault="00BE473A" w:rsidP="00BE473A">
      <w:pPr>
        <w:pStyle w:val="NormalWeb"/>
        <w:shd w:val="clear" w:color="auto" w:fill="FFFFFF"/>
        <w:spacing w:before="0" w:beforeAutospacing="0" w:after="105" w:afterAutospacing="0"/>
        <w:jc w:val="both"/>
        <w:rPr>
          <w:color w:val="333333"/>
        </w:rPr>
      </w:pPr>
      <w:r w:rsidRPr="00197763">
        <w:rPr>
          <w:color w:val="333333"/>
        </w:rPr>
        <w:t>En 2021, había dos Estados miembros de la UE donde la proporción de mujeres jóvenes ninis era al menos 10 puntos porcentuales (pp.) superior a la proporción correspondiente de hombres jóvenes. La mayor diferencia se encontró en Chequia (12,5 pp.), seguida de Rumanía (11,7 pp.). Sin embargo, cinco países tenían tasas de NINI más altas para los hombres en comparación con las mujeres, pero en mucha menor medida. Finlandia tuvo la mayor diferencia; aquí la participación de los hombres fue 0,9 pp. más alta que la de las mujeres, seguida por Bélgica, Luxemburgo, España e Irlanda.</w:t>
      </w:r>
    </w:p>
    <w:p w:rsidR="00BE473A" w:rsidRPr="00164B30" w:rsidRDefault="00BE473A" w:rsidP="00BE473A">
      <w:pPr>
        <w:pStyle w:val="NormalWeb"/>
        <w:shd w:val="clear" w:color="auto" w:fill="FFFFFF"/>
        <w:spacing w:before="0" w:beforeAutospacing="0" w:after="105" w:afterAutospacing="0"/>
        <w:jc w:val="both"/>
        <w:rPr>
          <w:color w:val="333333"/>
        </w:rPr>
      </w:pPr>
      <w:r w:rsidRPr="00164B30">
        <w:rPr>
          <w:b/>
          <w:bCs/>
          <w:iCs/>
          <w:color w:val="333333"/>
        </w:rPr>
        <w:t>A medida que las mujeres jóvenes envejecen, es más frecuente que no tengan empleo ni educación o capacitación.</w:t>
      </w:r>
    </w:p>
    <w:p w:rsidR="00BE473A" w:rsidRPr="00197763" w:rsidRDefault="00BE473A" w:rsidP="00BE473A">
      <w:pPr>
        <w:pStyle w:val="NormalWeb"/>
        <w:shd w:val="clear" w:color="auto" w:fill="FFFFFF"/>
        <w:spacing w:before="0" w:beforeAutospacing="0" w:after="105" w:afterAutospacing="0"/>
        <w:jc w:val="both"/>
        <w:rPr>
          <w:color w:val="333333"/>
        </w:rPr>
      </w:pPr>
      <w:r w:rsidRPr="00197763">
        <w:rPr>
          <w:color w:val="333333"/>
        </w:rPr>
        <w:t>Un análisis de los tres diferentes grupos de edad de jóvenes (de 15 a 19 años, de 20 a 24 y de 25 a 29 años) muestra que la brecha de género en la UE para los ninis aumentó en relación con la edad en 2021, véase la Tabla 1. Para el grupo de edad más joven los hombres tenían una mayor proporción de ninis que las mujeres, la diferencia era de 0,7 puntos porcentuales (pp.). En el siguiente grupo de edad, de 20 a 24 años, hay un cambio y la tasa de nini para las mujeres jóvenes fue 1,0 pp. más alta que la de los hombres jóvenes. La brecha entre los sexos se amplió a 7,6 pp. entre las personas de 25 a 29 años. Este patrón puede estar relacionado, al menos en parte, con el creciente número de mujeres que posponen el parto, una baja proporción de hombres que interrumpen sus carreras para ayudar a formar una familia y una serie de dificultades que enfrentan las mujeres que desean integrarse en una carrera pro</w:t>
      </w:r>
      <w:r>
        <w:rPr>
          <w:color w:val="333333"/>
        </w:rPr>
        <w:t xml:space="preserve">fesional, </w:t>
      </w:r>
      <w:r w:rsidRPr="00197763">
        <w:rPr>
          <w:color w:val="333333"/>
        </w:rPr>
        <w:t>con su rol maternal.</w:t>
      </w:r>
    </w:p>
    <w:p w:rsidR="00BE473A" w:rsidRPr="00197763" w:rsidRDefault="00BE473A" w:rsidP="00BE473A">
      <w:pPr>
        <w:pStyle w:val="NormalWeb"/>
        <w:shd w:val="clear" w:color="auto" w:fill="FFFFFF"/>
        <w:spacing w:before="0" w:beforeAutospacing="0" w:after="105" w:afterAutospacing="0"/>
        <w:jc w:val="both"/>
        <w:rPr>
          <w:color w:val="333333"/>
        </w:rPr>
      </w:pPr>
      <w:r w:rsidRPr="00197763">
        <w:rPr>
          <w:color w:val="333333"/>
        </w:rPr>
        <w:t>En 2021, la tasa de ninis para jóvenes de 15 a 19 años fue más baja para las mujeres que para los hombres en todos los Estados miembros de la UE excepto en Rumanía, Bulgaria, los Países Bajos, Hungría, Suecia y Polonia.</w:t>
      </w:r>
    </w:p>
    <w:p w:rsidR="00BE473A" w:rsidRPr="00197763" w:rsidRDefault="00BE473A" w:rsidP="00BE473A">
      <w:pPr>
        <w:pStyle w:val="NormalWeb"/>
        <w:shd w:val="clear" w:color="auto" w:fill="FFFFFF"/>
        <w:spacing w:before="0" w:beforeAutospacing="0" w:after="105" w:afterAutospacing="0"/>
        <w:jc w:val="both"/>
        <w:rPr>
          <w:color w:val="333333"/>
        </w:rPr>
      </w:pPr>
      <w:r w:rsidRPr="00197763">
        <w:rPr>
          <w:color w:val="333333"/>
        </w:rPr>
        <w:lastRenderedPageBreak/>
        <w:t>Entre las personas de 20 a 24 años, el panorama era más heterogéneo y 12 Estados miembros tenían una tasa de NINI más baja para las mujeres en comparación con los hombres, mientras que 15 Estados miembros tenían una tasa de NINI más alta para las mujeres. Además, hubo grandes diferencias entre los países donde Eslovenia y Portugal solo tenían 0,1 pp. de diferencia entre los sexos, mientras que Rumania informó la mayor diferencia; aquí la tasa NINI para mujeres fue 12,0 puntos porcentuales más alta que la tasa correspondiente para hombres.</w:t>
      </w:r>
    </w:p>
    <w:p w:rsidR="00BE473A" w:rsidRDefault="00BE473A" w:rsidP="00BE473A">
      <w:pPr>
        <w:pStyle w:val="NormalWeb"/>
        <w:shd w:val="clear" w:color="auto" w:fill="FFFFFF"/>
        <w:spacing w:before="0" w:beforeAutospacing="0" w:after="105" w:afterAutospacing="0"/>
        <w:jc w:val="both"/>
        <w:rPr>
          <w:color w:val="333333"/>
        </w:rPr>
      </w:pPr>
      <w:r w:rsidRPr="00197763">
        <w:rPr>
          <w:color w:val="333333"/>
        </w:rPr>
        <w:t>Como se dijo anteriormente, la brecha de género de la UE para los ninis aumentó en relación con la edad y esto es claro cuando se observa el grupo de mayor edad, los de 25 a 29 años. Para este grupo, la tasa de ninis fue sistemáticamente más alta para las mujeres que para los hombres en todos los Estados miembros de la UE. La diferencia entre hombres y mujeres osciló entre 0,2 pp. en Finlandia y 27,0 pp. en Chequia.</w:t>
      </w:r>
    </w:p>
    <w:p w:rsidR="00BE473A" w:rsidRPr="00197763" w:rsidRDefault="00BE473A" w:rsidP="00BE473A">
      <w:pPr>
        <w:pStyle w:val="NormalWeb"/>
        <w:shd w:val="clear" w:color="auto" w:fill="FFFFFF"/>
        <w:spacing w:before="0" w:beforeAutospacing="0" w:after="105" w:afterAutospacing="0"/>
        <w:jc w:val="both"/>
        <w:rPr>
          <w:color w:val="333333"/>
        </w:rPr>
      </w:pPr>
      <w:r w:rsidRPr="00164B30">
        <w:rPr>
          <w:noProof/>
          <w:color w:val="333333"/>
          <w:lang w:val="en-GB" w:eastAsia="zh-CN"/>
        </w:rPr>
        <w:drawing>
          <wp:inline distT="0" distB="0" distL="0" distR="0">
            <wp:extent cx="5733616" cy="4254500"/>
            <wp:effectExtent l="0" t="0" r="635" b="0"/>
            <wp:docPr id="136" name="Imagen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2"/>
                    <a:stretch>
                      <a:fillRect/>
                    </a:stretch>
                  </pic:blipFill>
                  <pic:spPr>
                    <a:xfrm>
                      <a:off x="0" y="0"/>
                      <a:ext cx="5731510" cy="4252937"/>
                    </a:xfrm>
                    <a:prstGeom prst="rect">
                      <a:avLst/>
                    </a:prstGeom>
                  </pic:spPr>
                </pic:pic>
              </a:graphicData>
            </a:graphic>
          </wp:inline>
        </w:drawing>
      </w:r>
    </w:p>
    <w:p w:rsidR="00BE473A" w:rsidRDefault="00BE473A" w:rsidP="00BE473A">
      <w:pPr>
        <w:shd w:val="clear" w:color="auto" w:fill="FFFFFF"/>
        <w:spacing w:line="240" w:lineRule="auto"/>
        <w:jc w:val="both"/>
        <w:rPr>
          <w:rFonts w:ascii="Times New Roman" w:hAnsi="Times New Roman" w:cs="Times New Roman"/>
          <w:color w:val="333333"/>
          <w:sz w:val="24"/>
          <w:szCs w:val="24"/>
        </w:rPr>
      </w:pPr>
      <w:r w:rsidRPr="00197763">
        <w:rPr>
          <w:rFonts w:ascii="Times New Roman" w:hAnsi="Times New Roman" w:cs="Times New Roman"/>
          <w:color w:val="333333"/>
          <w:sz w:val="24"/>
          <w:szCs w:val="24"/>
        </w:rPr>
        <w:t>Tabla 1: Jóvenes (de 15 a 29 años) que no trabajan ni estudian ni reciben formación, por sexo y edad, 2021</w:t>
      </w:r>
      <w:r>
        <w:rPr>
          <w:rFonts w:ascii="Times New Roman" w:hAnsi="Times New Roman" w:cs="Times New Roman"/>
          <w:color w:val="333333"/>
          <w:sz w:val="24"/>
          <w:szCs w:val="24"/>
        </w:rPr>
        <w:t xml:space="preserve"> (%)</w:t>
      </w:r>
    </w:p>
    <w:p w:rsidR="00BE473A" w:rsidRPr="003137D2" w:rsidRDefault="00BE473A" w:rsidP="00BE473A">
      <w:pPr>
        <w:shd w:val="clear" w:color="auto" w:fill="FFFFFF"/>
        <w:spacing w:line="240" w:lineRule="auto"/>
        <w:jc w:val="both"/>
        <w:rPr>
          <w:rFonts w:ascii="Times New Roman" w:hAnsi="Times New Roman" w:cs="Times New Roman"/>
          <w:sz w:val="24"/>
          <w:szCs w:val="24"/>
        </w:rPr>
      </w:pPr>
      <w:r w:rsidRPr="00197763">
        <w:rPr>
          <w:rFonts w:ascii="Times New Roman" w:hAnsi="Times New Roman" w:cs="Times New Roman"/>
          <w:i/>
          <w:iCs/>
          <w:color w:val="333333"/>
          <w:sz w:val="24"/>
          <w:szCs w:val="24"/>
        </w:rPr>
        <w:t>Fuente:</w:t>
      </w:r>
      <w:r w:rsidRPr="00197763">
        <w:rPr>
          <w:rFonts w:ascii="Times New Roman" w:hAnsi="Times New Roman" w:cs="Times New Roman"/>
          <w:color w:val="333333"/>
          <w:sz w:val="24"/>
          <w:szCs w:val="24"/>
        </w:rPr>
        <w:t> Eurostat </w:t>
      </w:r>
      <w:hyperlink r:id="rId223" w:tgtFrame="_blank" w:history="1">
        <w:r w:rsidRPr="003137D2">
          <w:rPr>
            <w:rStyle w:val="Hipervnculo"/>
            <w:rFonts w:ascii="Times New Roman" w:hAnsi="Times New Roman" w:cs="Times New Roman"/>
            <w:color w:val="auto"/>
            <w:sz w:val="24"/>
            <w:szCs w:val="24"/>
          </w:rPr>
          <w:t>(edat_lfse_20)</w:t>
        </w:r>
      </w:hyperlink>
    </w:p>
    <w:p w:rsidR="00BE473A" w:rsidRPr="00164B30" w:rsidRDefault="00BE473A" w:rsidP="00BE473A">
      <w:pPr>
        <w:pStyle w:val="NormalWeb"/>
        <w:shd w:val="clear" w:color="auto" w:fill="FFFFFF"/>
        <w:spacing w:before="0" w:beforeAutospacing="0" w:after="105" w:afterAutospacing="0"/>
        <w:jc w:val="both"/>
        <w:rPr>
          <w:color w:val="333333"/>
        </w:rPr>
      </w:pPr>
      <w:r w:rsidRPr="00164B30">
        <w:rPr>
          <w:b/>
          <w:bCs/>
          <w:iCs/>
          <w:color w:val="333333"/>
        </w:rPr>
        <w:t>Las jóvenes NINI tenían más probabilidades de estar fuera de la fuerza laboral que los jóvenes NINI masculinos</w:t>
      </w:r>
    </w:p>
    <w:p w:rsidR="00BE473A" w:rsidRPr="00197763" w:rsidRDefault="00BE473A" w:rsidP="00BE473A">
      <w:pPr>
        <w:pStyle w:val="NormalWeb"/>
        <w:shd w:val="clear" w:color="auto" w:fill="FFFFFF"/>
        <w:spacing w:before="0" w:beforeAutospacing="0" w:after="105" w:afterAutospacing="0"/>
        <w:jc w:val="both"/>
        <w:rPr>
          <w:color w:val="333333"/>
        </w:rPr>
      </w:pPr>
      <w:r w:rsidRPr="00197763">
        <w:rPr>
          <w:color w:val="333333"/>
        </w:rPr>
        <w:t xml:space="preserve">La Tabla 2 muestra que una mayor proporción de mujeres jóvenes NiNi de 15 a 29 años en la UE estaban fuera de la fuerza laboral (no buscando trabajo activamente) en comparación con los hombres jóvenes NiNi de la misma edad. La proporción de hombres jóvenes fuera de la fuerza laboral fue del 6,3 %, en comparación con el 10,2 % entre las mujeres. Esta diferencia de género, que asciende a 3,9 pp., en la UE puede atribuirse, en parte, a las estructuras familiares, ya que una mayor proporción de mujeres jóvenes (que de hombres jóvenes) </w:t>
      </w:r>
      <w:r w:rsidRPr="00197763">
        <w:rPr>
          <w:color w:val="333333"/>
        </w:rPr>
        <w:lastRenderedPageBreak/>
        <w:t>pueden dedicar tiempo al cuidado de niños y/u otros miembros de la familia. Entre los Estados miembros, Luxemburgo fue el único país en el que ocurrió lo contrario, es decir, que los hombres jóvenes estaban fuera de la población activa en una medida algo mayor que las mujeres jóvenes. Por otro lado, Chequia y Rumania tenían las mayores diferencias entre los sexos. Estas diferencias superaron las 10 pp. en desventaja para las mujeres, es decir</w:t>
      </w:r>
    </w:p>
    <w:p w:rsidR="00BE473A" w:rsidRPr="00197763" w:rsidRDefault="00BE473A" w:rsidP="00BE473A">
      <w:pPr>
        <w:pStyle w:val="NormalWeb"/>
        <w:shd w:val="clear" w:color="auto" w:fill="FFFFFF"/>
        <w:spacing w:before="0" w:beforeAutospacing="0" w:after="105" w:afterAutospacing="0"/>
        <w:jc w:val="both"/>
        <w:rPr>
          <w:color w:val="333333"/>
        </w:rPr>
      </w:pPr>
      <w:r w:rsidRPr="00197763">
        <w:rPr>
          <w:color w:val="333333"/>
        </w:rPr>
        <w:t>Al observar a los NINI desempleados, los resultados se invierten y una mayor proporción de hombres eran NINI desempleados en comparación con las mujeres. En la UE, la proporción de ninis varones jóvenes que estaban desempleados ascendió al 5,5 %, la proporción correspondiente para las mujeres fue del 4,3 %. Este patrón fue el mismo en todos los Estados miembros de la UE, excepto en Portugal, Eslovenia y Grecia, donde más mujeres eran ninis desempleadas.</w:t>
      </w:r>
    </w:p>
    <w:p w:rsidR="00BE473A" w:rsidRDefault="00BE473A" w:rsidP="00BE473A">
      <w:pPr>
        <w:pStyle w:val="NormalWeb"/>
        <w:shd w:val="clear" w:color="auto" w:fill="FFFFFF"/>
        <w:spacing w:before="0" w:beforeAutospacing="0" w:after="105" w:afterAutospacing="0"/>
        <w:jc w:val="both"/>
        <w:rPr>
          <w:color w:val="333333"/>
        </w:rPr>
      </w:pPr>
      <w:r w:rsidRPr="00197763">
        <w:rPr>
          <w:color w:val="333333"/>
        </w:rPr>
        <w:t>Estos números muestran que las mujeres que no están empleadas ni en educación y capacitación parecen estar fuera de la fuerza laboral en mayor medida que los hombres, mientras que los hombres están desempleados en mayor medida que las mujeres. Estar desempleado sugiere que el individuo todavía tiene algún tipo de conexión con el mercado laboral mientras que las personas fuera de la fuerza laboral no tienen esta conexión, y tener diferencias de género tan pronunciadas puede ser motivo de preocupación.</w:t>
      </w:r>
    </w:p>
    <w:p w:rsidR="00BE473A" w:rsidRPr="00197763" w:rsidRDefault="00BE473A" w:rsidP="00BE473A">
      <w:pPr>
        <w:pStyle w:val="NormalWeb"/>
        <w:shd w:val="clear" w:color="auto" w:fill="FFFFFF"/>
        <w:spacing w:before="0" w:beforeAutospacing="0" w:after="105" w:afterAutospacing="0"/>
        <w:jc w:val="both"/>
        <w:rPr>
          <w:color w:val="333333"/>
        </w:rPr>
      </w:pPr>
      <w:r w:rsidRPr="00164B30">
        <w:rPr>
          <w:noProof/>
          <w:color w:val="333333"/>
          <w:lang w:val="en-GB" w:eastAsia="zh-CN"/>
        </w:rPr>
        <w:drawing>
          <wp:inline distT="0" distB="0" distL="0" distR="0">
            <wp:extent cx="5731787" cy="4895850"/>
            <wp:effectExtent l="0" t="0" r="2540" b="0"/>
            <wp:docPr id="137" name="Imagen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4"/>
                    <a:stretch>
                      <a:fillRect/>
                    </a:stretch>
                  </pic:blipFill>
                  <pic:spPr>
                    <a:xfrm>
                      <a:off x="0" y="0"/>
                      <a:ext cx="5731510" cy="4895614"/>
                    </a:xfrm>
                    <a:prstGeom prst="rect">
                      <a:avLst/>
                    </a:prstGeom>
                  </pic:spPr>
                </pic:pic>
              </a:graphicData>
            </a:graphic>
          </wp:inline>
        </w:drawing>
      </w:r>
    </w:p>
    <w:p w:rsidR="00BE473A" w:rsidRDefault="00BE473A" w:rsidP="00BE473A">
      <w:pPr>
        <w:shd w:val="clear" w:color="auto" w:fill="FFFFFF"/>
        <w:spacing w:line="240" w:lineRule="auto"/>
        <w:jc w:val="both"/>
        <w:rPr>
          <w:rFonts w:ascii="Times New Roman" w:hAnsi="Times New Roman" w:cs="Times New Roman"/>
          <w:color w:val="333333"/>
          <w:sz w:val="24"/>
          <w:szCs w:val="24"/>
        </w:rPr>
      </w:pPr>
      <w:r w:rsidRPr="00197763">
        <w:rPr>
          <w:rFonts w:ascii="Times New Roman" w:hAnsi="Times New Roman" w:cs="Times New Roman"/>
          <w:color w:val="333333"/>
          <w:sz w:val="24"/>
          <w:szCs w:val="24"/>
        </w:rPr>
        <w:t>Tabla 2: Jóvenes (de 15 a 29 años) que no trabajan ni estudian ni reciben formación, por sexo y estado de actividad, 2021</w:t>
      </w:r>
      <w:r>
        <w:rPr>
          <w:rFonts w:ascii="Times New Roman" w:hAnsi="Times New Roman" w:cs="Times New Roman"/>
          <w:color w:val="333333"/>
          <w:sz w:val="24"/>
          <w:szCs w:val="24"/>
        </w:rPr>
        <w:t xml:space="preserve"> (%)</w:t>
      </w:r>
    </w:p>
    <w:p w:rsidR="00BE473A" w:rsidRPr="003137D2" w:rsidRDefault="00BE473A" w:rsidP="00BE473A">
      <w:pPr>
        <w:shd w:val="clear" w:color="auto" w:fill="FFFFFF"/>
        <w:spacing w:line="240" w:lineRule="auto"/>
        <w:jc w:val="both"/>
        <w:rPr>
          <w:rFonts w:ascii="Times New Roman" w:hAnsi="Times New Roman" w:cs="Times New Roman"/>
          <w:sz w:val="24"/>
          <w:szCs w:val="24"/>
        </w:rPr>
      </w:pPr>
      <w:r w:rsidRPr="00197763">
        <w:rPr>
          <w:rFonts w:ascii="Times New Roman" w:hAnsi="Times New Roman" w:cs="Times New Roman"/>
          <w:i/>
          <w:iCs/>
          <w:color w:val="333333"/>
          <w:sz w:val="24"/>
          <w:szCs w:val="24"/>
        </w:rPr>
        <w:t>Fuente:</w:t>
      </w:r>
      <w:r w:rsidRPr="00197763">
        <w:rPr>
          <w:rFonts w:ascii="Times New Roman" w:hAnsi="Times New Roman" w:cs="Times New Roman"/>
          <w:color w:val="333333"/>
          <w:sz w:val="24"/>
          <w:szCs w:val="24"/>
        </w:rPr>
        <w:t> Eurostat </w:t>
      </w:r>
      <w:hyperlink r:id="rId225" w:tgtFrame="_blank" w:history="1">
        <w:r w:rsidRPr="003137D2">
          <w:rPr>
            <w:rStyle w:val="Hipervnculo"/>
            <w:rFonts w:ascii="Times New Roman" w:hAnsi="Times New Roman" w:cs="Times New Roman"/>
            <w:color w:val="auto"/>
            <w:sz w:val="24"/>
            <w:szCs w:val="24"/>
          </w:rPr>
          <w:t>(edat_lfse_20)</w:t>
        </w:r>
      </w:hyperlink>
    </w:p>
    <w:p w:rsidR="00BE473A" w:rsidRDefault="00BE473A" w:rsidP="00BE473A">
      <w:pPr>
        <w:pStyle w:val="Ttulo3"/>
        <w:shd w:val="clear" w:color="auto" w:fill="FFFFFF"/>
        <w:spacing w:before="150" w:line="240" w:lineRule="auto"/>
        <w:jc w:val="both"/>
        <w:rPr>
          <w:rStyle w:val="mw-headline"/>
          <w:rFonts w:ascii="Times New Roman" w:hAnsi="Times New Roman" w:cs="Times New Roman"/>
          <w:bCs w:val="0"/>
          <w:color w:val="auto"/>
          <w:sz w:val="24"/>
          <w:szCs w:val="24"/>
        </w:rPr>
      </w:pPr>
      <w:r w:rsidRPr="00BF023D">
        <w:rPr>
          <w:rStyle w:val="mw-headline"/>
          <w:rFonts w:ascii="Times New Roman" w:hAnsi="Times New Roman" w:cs="Times New Roman"/>
          <w:bCs w:val="0"/>
          <w:color w:val="auto"/>
          <w:sz w:val="24"/>
          <w:szCs w:val="24"/>
        </w:rPr>
        <w:lastRenderedPageBreak/>
        <w:t>¿Importa dónde vives? Un vistazo al grado de urbanización</w:t>
      </w:r>
    </w:p>
    <w:p w:rsidR="00BE473A" w:rsidRPr="00BF023D" w:rsidRDefault="00BE473A" w:rsidP="00BE473A"/>
    <w:p w:rsidR="00BE473A" w:rsidRPr="003137D2" w:rsidRDefault="00BE473A" w:rsidP="00BE473A">
      <w:pPr>
        <w:pStyle w:val="NormalWeb"/>
        <w:shd w:val="clear" w:color="auto" w:fill="FFFFFF"/>
        <w:spacing w:before="0" w:beforeAutospacing="0" w:after="105" w:afterAutospacing="0"/>
        <w:jc w:val="both"/>
      </w:pPr>
      <w:r w:rsidRPr="003137D2">
        <w:t>El gráfico 6 presenta información sobre los jóvenes (de 15 a 29 años) que no trabajaban ni estudiaban ni formaban, según su lugar de residencia, definido en términos de su </w:t>
      </w:r>
      <w:hyperlink r:id="rId226" w:history="1">
        <w:r w:rsidRPr="003137D2">
          <w:rPr>
            <w:rStyle w:val="Hipervnculo"/>
            <w:color w:val="auto"/>
            <w:u w:val="none"/>
          </w:rPr>
          <w:t>grado de urbanización</w:t>
        </w:r>
      </w:hyperlink>
      <w:r w:rsidRPr="003137D2">
        <w:t> .</w:t>
      </w:r>
    </w:p>
    <w:p w:rsidR="00BE473A" w:rsidRPr="003137D2" w:rsidRDefault="00BE473A" w:rsidP="00BE473A">
      <w:pPr>
        <w:pStyle w:val="NormalWeb"/>
        <w:shd w:val="clear" w:color="auto" w:fill="FFFFFF"/>
        <w:spacing w:before="0" w:beforeAutospacing="0" w:after="105" w:afterAutospacing="0"/>
        <w:jc w:val="both"/>
      </w:pPr>
      <w:r w:rsidRPr="003137D2">
        <w:t>En 2021, la proporción de jóvenes (entre 15 y 29 años) en la UE que eran ninis fue más baja en las ciudades (12,2 %) y aproximadamente el mismo nivel en pueblos, suburbios (13,9 %) y áreas rurales (13,7 %). El patrón de tasas más bajas de ninis en las ciudades (en comparación con las áreas rurales y los pueblos y suburbios) se repitió en 15 Estados miembros de la UE. Las mayores diferencias de las tasas entre las ciudades y las zonas rurales en términos de puntos porcentuales (pp.) se registraron en Rumania (17,7 pp.) y en Bulgaria (18,2 pp.).</w:t>
      </w:r>
    </w:p>
    <w:p w:rsidR="00BE473A" w:rsidRPr="00197763" w:rsidRDefault="00BE473A" w:rsidP="00BE473A">
      <w:pPr>
        <w:pStyle w:val="NormalWeb"/>
        <w:shd w:val="clear" w:color="auto" w:fill="FFFFFF"/>
        <w:spacing w:before="0" w:beforeAutospacing="0" w:after="105" w:afterAutospacing="0"/>
        <w:jc w:val="both"/>
        <w:rPr>
          <w:color w:val="333333"/>
        </w:rPr>
      </w:pPr>
      <w:r w:rsidRPr="00BF023D">
        <w:rPr>
          <w:noProof/>
          <w:color w:val="333333"/>
          <w:lang w:val="en-GB" w:eastAsia="zh-CN"/>
        </w:rPr>
        <w:drawing>
          <wp:inline distT="0" distB="0" distL="0" distR="0">
            <wp:extent cx="5731510" cy="4491520"/>
            <wp:effectExtent l="0" t="0" r="2540" b="4445"/>
            <wp:docPr id="138" name="Imagen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7"/>
                    <a:stretch>
                      <a:fillRect/>
                    </a:stretch>
                  </pic:blipFill>
                  <pic:spPr>
                    <a:xfrm>
                      <a:off x="0" y="0"/>
                      <a:ext cx="5731510" cy="4491520"/>
                    </a:xfrm>
                    <a:prstGeom prst="rect">
                      <a:avLst/>
                    </a:prstGeom>
                  </pic:spPr>
                </pic:pic>
              </a:graphicData>
            </a:graphic>
          </wp:inline>
        </w:drawing>
      </w:r>
    </w:p>
    <w:p w:rsidR="00BE473A" w:rsidRDefault="00BE473A" w:rsidP="00BE473A">
      <w:pPr>
        <w:shd w:val="clear" w:color="auto" w:fill="FFFFFF"/>
        <w:spacing w:line="240" w:lineRule="auto"/>
        <w:jc w:val="both"/>
        <w:rPr>
          <w:rFonts w:ascii="Times New Roman" w:hAnsi="Times New Roman" w:cs="Times New Roman"/>
          <w:color w:val="333333"/>
          <w:sz w:val="24"/>
          <w:szCs w:val="24"/>
        </w:rPr>
      </w:pPr>
      <w:r w:rsidRPr="00197763">
        <w:rPr>
          <w:rFonts w:ascii="Times New Roman" w:hAnsi="Times New Roman" w:cs="Times New Roman"/>
          <w:color w:val="333333"/>
          <w:sz w:val="24"/>
          <w:szCs w:val="24"/>
        </w:rPr>
        <w:t>Gráfico 6: Jóvenes (de 15 a 29 años) que no trabajan ni estudian ni reciben formación, por grado de urbanización, 2021</w:t>
      </w:r>
      <w:r>
        <w:rPr>
          <w:rFonts w:ascii="Times New Roman" w:hAnsi="Times New Roman" w:cs="Times New Roman"/>
          <w:color w:val="333333"/>
          <w:sz w:val="24"/>
          <w:szCs w:val="24"/>
        </w:rPr>
        <w:t xml:space="preserve"> (%)</w:t>
      </w:r>
    </w:p>
    <w:p w:rsidR="00BE473A" w:rsidRPr="003137D2" w:rsidRDefault="00BE473A" w:rsidP="00BE473A">
      <w:pPr>
        <w:shd w:val="clear" w:color="auto" w:fill="FFFFFF"/>
        <w:spacing w:line="240" w:lineRule="auto"/>
        <w:jc w:val="both"/>
        <w:rPr>
          <w:rFonts w:ascii="Arial" w:hAnsi="Arial" w:cs="Arial"/>
          <w:sz w:val="21"/>
          <w:szCs w:val="21"/>
        </w:rPr>
      </w:pPr>
      <w:r w:rsidRPr="00197763">
        <w:rPr>
          <w:rFonts w:ascii="Times New Roman" w:hAnsi="Times New Roman" w:cs="Times New Roman"/>
          <w:i/>
          <w:iCs/>
          <w:color w:val="333333"/>
          <w:sz w:val="24"/>
          <w:szCs w:val="24"/>
        </w:rPr>
        <w:t>Fuente:</w:t>
      </w:r>
      <w:r w:rsidRPr="00197763">
        <w:rPr>
          <w:rFonts w:ascii="Times New Roman" w:hAnsi="Times New Roman" w:cs="Times New Roman"/>
          <w:color w:val="333333"/>
          <w:sz w:val="24"/>
          <w:szCs w:val="24"/>
        </w:rPr>
        <w:t> Eurostat </w:t>
      </w:r>
      <w:hyperlink r:id="rId228" w:tgtFrame="_blank" w:history="1">
        <w:r w:rsidRPr="003137D2">
          <w:rPr>
            <w:rStyle w:val="Hipervnculo"/>
            <w:rFonts w:ascii="Times New Roman" w:hAnsi="Times New Roman" w:cs="Times New Roman"/>
            <w:color w:val="auto"/>
            <w:sz w:val="24"/>
            <w:szCs w:val="24"/>
          </w:rPr>
          <w:t>(edat_lfse_29)</w:t>
        </w:r>
      </w:hyperlink>
    </w:p>
    <w:p w:rsidR="00BE473A" w:rsidRPr="008A1C60" w:rsidRDefault="00BE473A" w:rsidP="00C50652">
      <w:pPr>
        <w:spacing w:line="240" w:lineRule="auto"/>
        <w:jc w:val="both"/>
        <w:rPr>
          <w:rFonts w:ascii="Times New Roman" w:hAnsi="Times New Roman" w:cs="Times New Roman"/>
          <w:sz w:val="24"/>
          <w:szCs w:val="24"/>
        </w:rPr>
      </w:pPr>
    </w:p>
    <w:p w:rsidR="00C50652" w:rsidRPr="008A1C60" w:rsidRDefault="00C50652" w:rsidP="00EF5FA4">
      <w:pPr>
        <w:spacing w:line="240" w:lineRule="auto"/>
        <w:jc w:val="both"/>
        <w:rPr>
          <w:rFonts w:ascii="Times New Roman" w:hAnsi="Times New Roman" w:cs="Times New Roman"/>
          <w:b/>
          <w:sz w:val="24"/>
          <w:szCs w:val="24"/>
        </w:rPr>
      </w:pPr>
    </w:p>
    <w:p w:rsidR="00EF5FA4" w:rsidRPr="008A1C60" w:rsidRDefault="00EF5FA4" w:rsidP="00EF5FA4">
      <w:pPr>
        <w:spacing w:line="240" w:lineRule="auto"/>
        <w:jc w:val="both"/>
        <w:rPr>
          <w:rFonts w:ascii="Times New Roman" w:hAnsi="Times New Roman" w:cs="Times New Roman"/>
          <w:sz w:val="24"/>
          <w:szCs w:val="24"/>
        </w:rPr>
      </w:pPr>
    </w:p>
    <w:p w:rsidR="00EF5FA4" w:rsidRPr="008A1C60" w:rsidRDefault="00EF5FA4" w:rsidP="00EF5FA4">
      <w:pPr>
        <w:spacing w:line="240" w:lineRule="auto"/>
        <w:jc w:val="both"/>
        <w:rPr>
          <w:rFonts w:ascii="Times New Roman" w:hAnsi="Times New Roman" w:cs="Times New Roman"/>
          <w:sz w:val="24"/>
          <w:szCs w:val="24"/>
        </w:rPr>
      </w:pPr>
    </w:p>
    <w:sectPr w:rsidR="00EF5FA4" w:rsidRPr="008A1C60" w:rsidSect="00E55F23">
      <w:pgSz w:w="11906" w:h="16838"/>
      <w:pgMar w:top="1440" w:right="1440" w:bottom="1440" w:left="1440"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36A2461"/>
    <w:multiLevelType w:val="multilevel"/>
    <w:tmpl w:val="963634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5245C24"/>
    <w:multiLevelType w:val="hybridMultilevel"/>
    <w:tmpl w:val="E2AC6FD6"/>
    <w:lvl w:ilvl="0" w:tplc="8F7CFD80">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
    <w:nsid w:val="086133F1"/>
    <w:multiLevelType w:val="hybridMultilevel"/>
    <w:tmpl w:val="E398E4B2"/>
    <w:lvl w:ilvl="0" w:tplc="ECBEE9A4">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
    <w:nsid w:val="08664EA8"/>
    <w:multiLevelType w:val="hybridMultilevel"/>
    <w:tmpl w:val="E050FFAE"/>
    <w:lvl w:ilvl="0" w:tplc="9C6C53C4">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
    <w:nsid w:val="08B41575"/>
    <w:multiLevelType w:val="multilevel"/>
    <w:tmpl w:val="C2583A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0E700898"/>
    <w:multiLevelType w:val="multilevel"/>
    <w:tmpl w:val="A8E4A7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143D2C4A"/>
    <w:multiLevelType w:val="hybridMultilevel"/>
    <w:tmpl w:val="079EA1FE"/>
    <w:lvl w:ilvl="0" w:tplc="D56AC916">
      <w:numFmt w:val="bullet"/>
      <w:lvlText w:val="-"/>
      <w:lvlJc w:val="left"/>
      <w:pPr>
        <w:ind w:left="720" w:hanging="360"/>
      </w:pPr>
      <w:rPr>
        <w:rFonts w:ascii="Times New Roman" w:eastAsia="Times New Roman"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7">
    <w:nsid w:val="17D32CA6"/>
    <w:multiLevelType w:val="multilevel"/>
    <w:tmpl w:val="178CA6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187D1A53"/>
    <w:multiLevelType w:val="multilevel"/>
    <w:tmpl w:val="2F624B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3EA20BD7"/>
    <w:multiLevelType w:val="multilevel"/>
    <w:tmpl w:val="CD8036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5ADE4D76"/>
    <w:multiLevelType w:val="multilevel"/>
    <w:tmpl w:val="DFB83C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5E0F31EA"/>
    <w:multiLevelType w:val="hybridMultilevel"/>
    <w:tmpl w:val="3EA477D4"/>
    <w:lvl w:ilvl="0" w:tplc="4328C746">
      <w:start w:val="1"/>
      <w:numFmt w:val="bullet"/>
      <w:lvlText w:val=""/>
      <w:lvlJc w:val="left"/>
      <w:pPr>
        <w:ind w:left="927" w:hanging="360"/>
      </w:pPr>
      <w:rPr>
        <w:rFonts w:ascii="Symbol" w:hAnsi="Symbol" w:hint="default"/>
      </w:rPr>
    </w:lvl>
    <w:lvl w:ilvl="1" w:tplc="08090003">
      <w:start w:val="1"/>
      <w:numFmt w:val="bullet"/>
      <w:lvlText w:val="o"/>
      <w:lvlJc w:val="left"/>
      <w:pPr>
        <w:ind w:left="1647" w:hanging="360"/>
      </w:pPr>
      <w:rPr>
        <w:rFonts w:ascii="Courier New" w:hAnsi="Courier New" w:cs="Courier New" w:hint="default"/>
      </w:rPr>
    </w:lvl>
    <w:lvl w:ilvl="2" w:tplc="08090005">
      <w:start w:val="1"/>
      <w:numFmt w:val="bullet"/>
      <w:lvlText w:val=""/>
      <w:lvlJc w:val="left"/>
      <w:pPr>
        <w:ind w:left="2367" w:hanging="360"/>
      </w:pPr>
      <w:rPr>
        <w:rFonts w:ascii="Wingdings" w:hAnsi="Wingdings" w:hint="default"/>
      </w:rPr>
    </w:lvl>
    <w:lvl w:ilvl="3" w:tplc="08090001">
      <w:start w:val="1"/>
      <w:numFmt w:val="bullet"/>
      <w:lvlText w:val=""/>
      <w:lvlJc w:val="left"/>
      <w:pPr>
        <w:ind w:left="3087" w:hanging="360"/>
      </w:pPr>
      <w:rPr>
        <w:rFonts w:ascii="Symbol" w:hAnsi="Symbol" w:hint="default"/>
      </w:rPr>
    </w:lvl>
    <w:lvl w:ilvl="4" w:tplc="08090003">
      <w:start w:val="1"/>
      <w:numFmt w:val="bullet"/>
      <w:lvlText w:val="o"/>
      <w:lvlJc w:val="left"/>
      <w:pPr>
        <w:ind w:left="3807" w:hanging="360"/>
      </w:pPr>
      <w:rPr>
        <w:rFonts w:ascii="Courier New" w:hAnsi="Courier New" w:cs="Courier New" w:hint="default"/>
      </w:rPr>
    </w:lvl>
    <w:lvl w:ilvl="5" w:tplc="08090005">
      <w:start w:val="1"/>
      <w:numFmt w:val="bullet"/>
      <w:lvlText w:val=""/>
      <w:lvlJc w:val="left"/>
      <w:pPr>
        <w:ind w:left="4527" w:hanging="360"/>
      </w:pPr>
      <w:rPr>
        <w:rFonts w:ascii="Wingdings" w:hAnsi="Wingdings" w:hint="default"/>
      </w:rPr>
    </w:lvl>
    <w:lvl w:ilvl="6" w:tplc="08090001">
      <w:start w:val="1"/>
      <w:numFmt w:val="bullet"/>
      <w:lvlText w:val=""/>
      <w:lvlJc w:val="left"/>
      <w:pPr>
        <w:ind w:left="5247" w:hanging="360"/>
      </w:pPr>
      <w:rPr>
        <w:rFonts w:ascii="Symbol" w:hAnsi="Symbol" w:hint="default"/>
      </w:rPr>
    </w:lvl>
    <w:lvl w:ilvl="7" w:tplc="08090003">
      <w:start w:val="1"/>
      <w:numFmt w:val="bullet"/>
      <w:lvlText w:val="o"/>
      <w:lvlJc w:val="left"/>
      <w:pPr>
        <w:ind w:left="5967" w:hanging="360"/>
      </w:pPr>
      <w:rPr>
        <w:rFonts w:ascii="Courier New" w:hAnsi="Courier New" w:cs="Courier New" w:hint="default"/>
      </w:rPr>
    </w:lvl>
    <w:lvl w:ilvl="8" w:tplc="08090005">
      <w:start w:val="1"/>
      <w:numFmt w:val="bullet"/>
      <w:lvlText w:val=""/>
      <w:lvlJc w:val="left"/>
      <w:pPr>
        <w:ind w:left="6687" w:hanging="360"/>
      </w:pPr>
      <w:rPr>
        <w:rFonts w:ascii="Wingdings" w:hAnsi="Wingdings" w:hint="default"/>
      </w:rPr>
    </w:lvl>
  </w:abstractNum>
  <w:abstractNum w:abstractNumId="12">
    <w:nsid w:val="6A84264C"/>
    <w:multiLevelType w:val="hybridMultilevel"/>
    <w:tmpl w:val="A386F3B2"/>
    <w:lvl w:ilvl="0" w:tplc="32EE31BE">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3">
    <w:nsid w:val="7ABE1521"/>
    <w:multiLevelType w:val="hybridMultilevel"/>
    <w:tmpl w:val="A998ADBE"/>
    <w:lvl w:ilvl="0" w:tplc="06820024">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4">
    <w:nsid w:val="7CE51DD6"/>
    <w:multiLevelType w:val="multilevel"/>
    <w:tmpl w:val="9628F0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1"/>
  </w:num>
  <w:num w:numId="2">
    <w:abstractNumId w:val="14"/>
  </w:num>
  <w:num w:numId="3">
    <w:abstractNumId w:val="4"/>
  </w:num>
  <w:num w:numId="4">
    <w:abstractNumId w:val="10"/>
  </w:num>
  <w:num w:numId="5">
    <w:abstractNumId w:val="0"/>
  </w:num>
  <w:num w:numId="6">
    <w:abstractNumId w:val="8"/>
  </w:num>
  <w:num w:numId="7">
    <w:abstractNumId w:val="5"/>
  </w:num>
  <w:num w:numId="8">
    <w:abstractNumId w:val="9"/>
  </w:num>
  <w:num w:numId="9">
    <w:abstractNumId w:val="1"/>
  </w:num>
  <w:num w:numId="10">
    <w:abstractNumId w:val="12"/>
  </w:num>
  <w:num w:numId="11">
    <w:abstractNumId w:val="2"/>
  </w:num>
  <w:num w:numId="12">
    <w:abstractNumId w:val="13"/>
  </w:num>
  <w:num w:numId="13">
    <w:abstractNumId w:val="7"/>
  </w:num>
  <w:num w:numId="14">
    <w:abstractNumId w:val="3"/>
  </w:num>
  <w:num w:numId="15">
    <w:abstractNumId w:val="6"/>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50"/>
  <w:proofState w:spelling="clean" w:grammar="clean"/>
  <w:defaultTabStop w:val="708"/>
  <w:hyphenationZone w:val="425"/>
  <w:characterSpacingControl w:val="doNotCompress"/>
  <w:compat/>
  <w:rsids>
    <w:rsidRoot w:val="00EF5FA4"/>
    <w:rsid w:val="00005B64"/>
    <w:rsid w:val="0006618D"/>
    <w:rsid w:val="000C762E"/>
    <w:rsid w:val="000E3E57"/>
    <w:rsid w:val="00132D15"/>
    <w:rsid w:val="00151B4C"/>
    <w:rsid w:val="001824C0"/>
    <w:rsid w:val="00224DE5"/>
    <w:rsid w:val="00271A17"/>
    <w:rsid w:val="002D2A82"/>
    <w:rsid w:val="003137D2"/>
    <w:rsid w:val="004121AC"/>
    <w:rsid w:val="004551D8"/>
    <w:rsid w:val="00460D79"/>
    <w:rsid w:val="00463CC3"/>
    <w:rsid w:val="004B2C1A"/>
    <w:rsid w:val="004E5645"/>
    <w:rsid w:val="00503695"/>
    <w:rsid w:val="005C228A"/>
    <w:rsid w:val="005C5ABE"/>
    <w:rsid w:val="005C70F3"/>
    <w:rsid w:val="005E6FDF"/>
    <w:rsid w:val="00635579"/>
    <w:rsid w:val="006E3C79"/>
    <w:rsid w:val="006F628A"/>
    <w:rsid w:val="007151C3"/>
    <w:rsid w:val="00750AD1"/>
    <w:rsid w:val="00823FC8"/>
    <w:rsid w:val="0083512D"/>
    <w:rsid w:val="00855036"/>
    <w:rsid w:val="0089198E"/>
    <w:rsid w:val="008A1C60"/>
    <w:rsid w:val="008A5BC7"/>
    <w:rsid w:val="008B1677"/>
    <w:rsid w:val="008C1FDB"/>
    <w:rsid w:val="0092401C"/>
    <w:rsid w:val="009B77FA"/>
    <w:rsid w:val="00A40EDF"/>
    <w:rsid w:val="00A54B52"/>
    <w:rsid w:val="00A92A7A"/>
    <w:rsid w:val="00AB3D48"/>
    <w:rsid w:val="00AC25C0"/>
    <w:rsid w:val="00AF5C7D"/>
    <w:rsid w:val="00B77091"/>
    <w:rsid w:val="00B973B6"/>
    <w:rsid w:val="00BC563A"/>
    <w:rsid w:val="00BD1FDC"/>
    <w:rsid w:val="00BE473A"/>
    <w:rsid w:val="00C00CA5"/>
    <w:rsid w:val="00C477D8"/>
    <w:rsid w:val="00C50652"/>
    <w:rsid w:val="00C70773"/>
    <w:rsid w:val="00CB1788"/>
    <w:rsid w:val="00D25651"/>
    <w:rsid w:val="00D333D6"/>
    <w:rsid w:val="00D56083"/>
    <w:rsid w:val="00DC36AA"/>
    <w:rsid w:val="00DE3903"/>
    <w:rsid w:val="00DF2BF3"/>
    <w:rsid w:val="00DF598E"/>
    <w:rsid w:val="00E2308B"/>
    <w:rsid w:val="00E431F8"/>
    <w:rsid w:val="00E54D9D"/>
    <w:rsid w:val="00E55F23"/>
    <w:rsid w:val="00EC6E4F"/>
    <w:rsid w:val="00ED16BD"/>
    <w:rsid w:val="00EE4557"/>
    <w:rsid w:val="00EF5FA4"/>
    <w:rsid w:val="00F15BA3"/>
    <w:rsid w:val="00F17F90"/>
    <w:rsid w:val="00F24821"/>
    <w:rsid w:val="00F37AC2"/>
    <w:rsid w:val="00FC7C13"/>
    <w:rsid w:val="00FD1CC5"/>
  </w:rsids>
  <m:mathPr>
    <m:mathFont m:val="Cambria Math"/>
    <m:brkBin m:val="before"/>
    <m:brkBinSub m:val="--"/>
    <m:smallFrac/>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F5FA4"/>
  </w:style>
  <w:style w:type="paragraph" w:styleId="Ttulo1">
    <w:name w:val="heading 1"/>
    <w:basedOn w:val="Normal"/>
    <w:link w:val="Ttulo1Car"/>
    <w:uiPriority w:val="9"/>
    <w:qFormat/>
    <w:rsid w:val="00EF5FA4"/>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es-ES"/>
    </w:rPr>
  </w:style>
  <w:style w:type="paragraph" w:styleId="Ttulo2">
    <w:name w:val="heading 2"/>
    <w:basedOn w:val="Normal"/>
    <w:next w:val="Normal"/>
    <w:link w:val="Ttulo2Car"/>
    <w:uiPriority w:val="9"/>
    <w:unhideWhenUsed/>
    <w:qFormat/>
    <w:rsid w:val="00EF5FA4"/>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Ttulo3">
    <w:name w:val="heading 3"/>
    <w:basedOn w:val="Normal"/>
    <w:next w:val="Normal"/>
    <w:link w:val="Ttulo3Car"/>
    <w:uiPriority w:val="9"/>
    <w:unhideWhenUsed/>
    <w:qFormat/>
    <w:rsid w:val="00EF5FA4"/>
    <w:pPr>
      <w:keepNext/>
      <w:keepLines/>
      <w:spacing w:before="200" w:after="0"/>
      <w:outlineLvl w:val="2"/>
    </w:pPr>
    <w:rPr>
      <w:rFonts w:asciiTheme="majorHAnsi" w:eastAsiaTheme="majorEastAsia" w:hAnsiTheme="majorHAnsi" w:cstheme="majorBidi"/>
      <w:b/>
      <w:bCs/>
      <w:color w:val="4F81BD" w:themeColor="accent1"/>
    </w:rPr>
  </w:style>
  <w:style w:type="paragraph" w:styleId="Ttulo5">
    <w:name w:val="heading 5"/>
    <w:basedOn w:val="Normal"/>
    <w:next w:val="Normal"/>
    <w:link w:val="Ttulo5Car"/>
    <w:uiPriority w:val="9"/>
    <w:semiHidden/>
    <w:unhideWhenUsed/>
    <w:qFormat/>
    <w:rsid w:val="00BE473A"/>
    <w:pPr>
      <w:keepNext/>
      <w:keepLines/>
      <w:spacing w:before="200" w:after="0"/>
      <w:outlineLvl w:val="4"/>
    </w:pPr>
    <w:rPr>
      <w:rFonts w:asciiTheme="majorHAnsi" w:eastAsiaTheme="majorEastAsia" w:hAnsiTheme="majorHAnsi" w:cstheme="majorBidi"/>
      <w:color w:val="243F60" w:themeColor="accent1" w:themeShade="7F"/>
    </w:rPr>
  </w:style>
  <w:style w:type="paragraph" w:styleId="Ttulo6">
    <w:name w:val="heading 6"/>
    <w:basedOn w:val="Normal"/>
    <w:next w:val="Normal"/>
    <w:link w:val="Ttulo6Car"/>
    <w:uiPriority w:val="9"/>
    <w:semiHidden/>
    <w:unhideWhenUsed/>
    <w:qFormat/>
    <w:rsid w:val="00BE473A"/>
    <w:pPr>
      <w:keepNext/>
      <w:keepLines/>
      <w:spacing w:before="200" w:after="0"/>
      <w:outlineLvl w:val="5"/>
    </w:pPr>
    <w:rPr>
      <w:rFonts w:asciiTheme="majorHAnsi" w:eastAsiaTheme="majorEastAsia" w:hAnsiTheme="majorHAnsi" w:cstheme="majorBidi"/>
      <w:i/>
      <w:iCs/>
      <w:color w:val="243F60" w:themeColor="accent1" w:themeShade="7F"/>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qFormat/>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EF5FA4"/>
    <w:rPr>
      <w:rFonts w:ascii="Times New Roman" w:eastAsia="Times New Roman" w:hAnsi="Times New Roman" w:cs="Times New Roman"/>
      <w:b/>
      <w:bCs/>
      <w:kern w:val="36"/>
      <w:sz w:val="48"/>
      <w:szCs w:val="48"/>
      <w:lang w:eastAsia="es-ES"/>
    </w:rPr>
  </w:style>
  <w:style w:type="character" w:customStyle="1" w:styleId="Ttulo2Car">
    <w:name w:val="Título 2 Car"/>
    <w:basedOn w:val="Fuentedeprrafopredeter"/>
    <w:link w:val="Ttulo2"/>
    <w:uiPriority w:val="9"/>
    <w:rsid w:val="00EF5FA4"/>
    <w:rPr>
      <w:rFonts w:asciiTheme="majorHAnsi" w:eastAsiaTheme="majorEastAsia" w:hAnsiTheme="majorHAnsi" w:cstheme="majorBidi"/>
      <w:b/>
      <w:bCs/>
      <w:color w:val="4F81BD" w:themeColor="accent1"/>
      <w:sz w:val="26"/>
      <w:szCs w:val="26"/>
    </w:rPr>
  </w:style>
  <w:style w:type="character" w:customStyle="1" w:styleId="Ttulo3Car">
    <w:name w:val="Título 3 Car"/>
    <w:basedOn w:val="Fuentedeprrafopredeter"/>
    <w:link w:val="Ttulo3"/>
    <w:uiPriority w:val="9"/>
    <w:rsid w:val="00EF5FA4"/>
    <w:rPr>
      <w:rFonts w:asciiTheme="majorHAnsi" w:eastAsiaTheme="majorEastAsia" w:hAnsiTheme="majorHAnsi" w:cstheme="majorBidi"/>
      <w:b/>
      <w:bCs/>
      <w:color w:val="4F81BD" w:themeColor="accent1"/>
    </w:rPr>
  </w:style>
  <w:style w:type="paragraph" w:styleId="NormalWeb">
    <w:name w:val="Normal (Web)"/>
    <w:basedOn w:val="Normal"/>
    <w:uiPriority w:val="99"/>
    <w:unhideWhenUsed/>
    <w:rsid w:val="00EF5FA4"/>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styleId="Textodeglobo">
    <w:name w:val="Balloon Text"/>
    <w:basedOn w:val="Normal"/>
    <w:link w:val="TextodegloboCar"/>
    <w:uiPriority w:val="99"/>
    <w:semiHidden/>
    <w:unhideWhenUsed/>
    <w:rsid w:val="00EF5FA4"/>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EF5FA4"/>
    <w:rPr>
      <w:rFonts w:ascii="Tahoma" w:hAnsi="Tahoma" w:cs="Tahoma"/>
      <w:sz w:val="16"/>
      <w:szCs w:val="16"/>
    </w:rPr>
  </w:style>
  <w:style w:type="character" w:styleId="Hipervnculo">
    <w:name w:val="Hyperlink"/>
    <w:basedOn w:val="Fuentedeprrafopredeter"/>
    <w:uiPriority w:val="99"/>
    <w:semiHidden/>
    <w:unhideWhenUsed/>
    <w:rsid w:val="00EF5FA4"/>
    <w:rPr>
      <w:color w:val="0000FF"/>
      <w:u w:val="single"/>
    </w:rPr>
  </w:style>
  <w:style w:type="character" w:styleId="Textoennegrita">
    <w:name w:val="Strong"/>
    <w:basedOn w:val="Fuentedeprrafopredeter"/>
    <w:uiPriority w:val="22"/>
    <w:qFormat/>
    <w:rsid w:val="00EF5FA4"/>
    <w:rPr>
      <w:b/>
      <w:bCs/>
    </w:rPr>
  </w:style>
  <w:style w:type="character" w:customStyle="1" w:styleId="NormalHanging12aChar">
    <w:name w:val="NormalHanging12a Char"/>
    <w:basedOn w:val="Fuentedeprrafopredeter"/>
    <w:link w:val="NormalHanging12a"/>
    <w:locked/>
    <w:rsid w:val="00EF5FA4"/>
    <w:rPr>
      <w:sz w:val="24"/>
      <w:lang w:val="es-ES_tradnl"/>
    </w:rPr>
  </w:style>
  <w:style w:type="paragraph" w:customStyle="1" w:styleId="NormalHanging12a">
    <w:name w:val="NormalHanging12a"/>
    <w:basedOn w:val="Normal"/>
    <w:link w:val="NormalHanging12aChar"/>
    <w:rsid w:val="00EF5FA4"/>
    <w:pPr>
      <w:widowControl w:val="0"/>
      <w:spacing w:after="240" w:line="240" w:lineRule="auto"/>
      <w:ind w:left="567" w:hanging="567"/>
    </w:pPr>
    <w:rPr>
      <w:sz w:val="24"/>
      <w:lang w:val="es-ES_tradnl"/>
    </w:rPr>
  </w:style>
  <w:style w:type="paragraph" w:customStyle="1" w:styleId="ATHeading1">
    <w:name w:val="AT Heading 1"/>
    <w:basedOn w:val="Normal"/>
    <w:next w:val="Normal"/>
    <w:rsid w:val="00EF5FA4"/>
    <w:pPr>
      <w:keepNext/>
      <w:keepLines/>
      <w:spacing w:before="480" w:after="120" w:line="240" w:lineRule="auto"/>
      <w:outlineLvl w:val="0"/>
    </w:pPr>
    <w:rPr>
      <w:rFonts w:ascii="Times New Roman" w:eastAsia="Times New Roman" w:hAnsi="Times New Roman" w:cs="Times New Roman"/>
      <w:b/>
      <w:sz w:val="28"/>
      <w:szCs w:val="20"/>
      <w:lang w:val="es-ES_tradnl" w:eastAsia="fr-FR"/>
    </w:rPr>
  </w:style>
  <w:style w:type="paragraph" w:customStyle="1" w:styleId="ATHeading2">
    <w:name w:val="AT Heading 2"/>
    <w:basedOn w:val="Normal"/>
    <w:next w:val="Normal"/>
    <w:rsid w:val="00EF5FA4"/>
    <w:pPr>
      <w:spacing w:before="120" w:after="120" w:line="240" w:lineRule="auto"/>
      <w:outlineLvl w:val="1"/>
    </w:pPr>
    <w:rPr>
      <w:rFonts w:ascii="Times New Roman" w:eastAsia="Times New Roman" w:hAnsi="Times New Roman" w:cs="Times New Roman"/>
      <w:b/>
      <w:sz w:val="28"/>
      <w:szCs w:val="20"/>
      <w:lang w:val="es-ES_tradnl" w:eastAsia="fr-FR"/>
    </w:rPr>
  </w:style>
  <w:style w:type="paragraph" w:customStyle="1" w:styleId="ATHeading3">
    <w:name w:val="AT Heading 3"/>
    <w:basedOn w:val="Normal"/>
    <w:next w:val="Normal"/>
    <w:rsid w:val="00EF5FA4"/>
    <w:pPr>
      <w:keepNext/>
      <w:keepLines/>
      <w:spacing w:before="120" w:after="120" w:line="240" w:lineRule="auto"/>
      <w:outlineLvl w:val="2"/>
    </w:pPr>
    <w:rPr>
      <w:rFonts w:ascii="Times New Roman" w:eastAsia="Times New Roman" w:hAnsi="Times New Roman" w:cs="Times New Roman"/>
      <w:b/>
      <w:sz w:val="24"/>
      <w:szCs w:val="20"/>
      <w:lang w:val="es-ES_tradnl" w:eastAsia="fr-FR"/>
    </w:rPr>
  </w:style>
  <w:style w:type="paragraph" w:customStyle="1" w:styleId="EPComma">
    <w:name w:val="EPComma"/>
    <w:basedOn w:val="Normal"/>
    <w:rsid w:val="00EF5FA4"/>
    <w:pPr>
      <w:widowControl w:val="0"/>
      <w:spacing w:before="480" w:after="240" w:line="240" w:lineRule="auto"/>
    </w:pPr>
    <w:rPr>
      <w:rFonts w:ascii="Times New Roman" w:eastAsia="Times New Roman" w:hAnsi="Times New Roman" w:cs="Times New Roman"/>
      <w:sz w:val="24"/>
      <w:szCs w:val="20"/>
      <w:lang w:val="es-ES_tradnl" w:eastAsia="en-GB"/>
    </w:rPr>
  </w:style>
  <w:style w:type="character" w:customStyle="1" w:styleId="current">
    <w:name w:val="current"/>
    <w:basedOn w:val="Fuentedeprrafopredeter"/>
    <w:rsid w:val="00EF5FA4"/>
  </w:style>
  <w:style w:type="paragraph" w:styleId="Prrafodelista">
    <w:name w:val="List Paragraph"/>
    <w:basedOn w:val="Normal"/>
    <w:uiPriority w:val="34"/>
    <w:qFormat/>
    <w:rsid w:val="00EF5FA4"/>
    <w:pPr>
      <w:ind w:left="720"/>
      <w:contextualSpacing/>
    </w:pPr>
  </w:style>
  <w:style w:type="character" w:customStyle="1" w:styleId="Ttulo5Car">
    <w:name w:val="Título 5 Car"/>
    <w:basedOn w:val="Fuentedeprrafopredeter"/>
    <w:link w:val="Ttulo5"/>
    <w:uiPriority w:val="9"/>
    <w:semiHidden/>
    <w:rsid w:val="00BE473A"/>
    <w:rPr>
      <w:rFonts w:asciiTheme="majorHAnsi" w:eastAsiaTheme="majorEastAsia" w:hAnsiTheme="majorHAnsi" w:cstheme="majorBidi"/>
      <w:color w:val="243F60" w:themeColor="accent1" w:themeShade="7F"/>
    </w:rPr>
  </w:style>
  <w:style w:type="character" w:customStyle="1" w:styleId="Ttulo6Car">
    <w:name w:val="Título 6 Car"/>
    <w:basedOn w:val="Fuentedeprrafopredeter"/>
    <w:link w:val="Ttulo6"/>
    <w:uiPriority w:val="9"/>
    <w:semiHidden/>
    <w:rsid w:val="00BE473A"/>
    <w:rPr>
      <w:rFonts w:asciiTheme="majorHAnsi" w:eastAsiaTheme="majorEastAsia" w:hAnsiTheme="majorHAnsi" w:cstheme="majorBidi"/>
      <w:i/>
      <w:iCs/>
      <w:color w:val="243F60" w:themeColor="accent1" w:themeShade="7F"/>
    </w:rPr>
  </w:style>
  <w:style w:type="character" w:customStyle="1" w:styleId="webprefix-num">
    <w:name w:val="web_prefix-num"/>
    <w:basedOn w:val="Fuentedeprrafopredeter"/>
    <w:rsid w:val="00BE473A"/>
  </w:style>
  <w:style w:type="paragraph" w:customStyle="1" w:styleId="webnote">
    <w:name w:val="web_note"/>
    <w:basedOn w:val="Normal"/>
    <w:rsid w:val="00BE473A"/>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customStyle="1" w:styleId="websource">
    <w:name w:val="web_source"/>
    <w:basedOn w:val="Normal"/>
    <w:rsid w:val="00BE473A"/>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webbibref">
    <w:name w:val="web_bibref"/>
    <w:basedOn w:val="Fuentedeprrafopredeter"/>
    <w:rsid w:val="00BE473A"/>
  </w:style>
  <w:style w:type="character" w:customStyle="1" w:styleId="tlabel">
    <w:name w:val="tlabel"/>
    <w:basedOn w:val="Fuentedeprrafopredeter"/>
    <w:rsid w:val="00BE473A"/>
  </w:style>
  <w:style w:type="character" w:customStyle="1" w:styleId="mw-headline">
    <w:name w:val="mw-headline"/>
    <w:basedOn w:val="Fuentedeprrafopredeter"/>
    <w:rsid w:val="00BE473A"/>
  </w:style>
  <w:style w:type="character" w:customStyle="1" w:styleId="Ttulo10">
    <w:name w:val="Título1"/>
    <w:basedOn w:val="Fuentedeprrafopredeter"/>
    <w:rsid w:val="00BE473A"/>
  </w:style>
  <w:style w:type="character" w:customStyle="1" w:styleId="datetimecreated">
    <w:name w:val="datetime__created"/>
    <w:basedOn w:val="Fuentedeprrafopredeter"/>
    <w:rsid w:val="00BE473A"/>
  </w:style>
  <w:style w:type="paragraph" w:customStyle="1" w:styleId="bodyobject">
    <w:name w:val="bodyobject"/>
    <w:basedOn w:val="Normal"/>
    <w:rsid w:val="00BE473A"/>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TextonotapieCar">
    <w:name w:val="Texto nota pie Car"/>
    <w:basedOn w:val="Fuentedeprrafopredeter"/>
    <w:link w:val="Textonotapie"/>
    <w:semiHidden/>
    <w:rsid w:val="00BE473A"/>
    <w:rPr>
      <w:rFonts w:ascii="Times New Roman" w:eastAsia="Times New Roman" w:hAnsi="Times New Roman" w:cs="Times New Roman"/>
      <w:szCs w:val="20"/>
      <w:lang w:val="fr-FR" w:eastAsia="fr-FR"/>
    </w:rPr>
  </w:style>
  <w:style w:type="paragraph" w:styleId="Textonotapie">
    <w:name w:val="footnote text"/>
    <w:basedOn w:val="Normal"/>
    <w:link w:val="TextonotapieCar"/>
    <w:semiHidden/>
    <w:unhideWhenUsed/>
    <w:rsid w:val="00BE473A"/>
    <w:pPr>
      <w:keepLines/>
      <w:spacing w:after="0" w:line="260" w:lineRule="exact"/>
      <w:ind w:left="425" w:hanging="425"/>
    </w:pPr>
    <w:rPr>
      <w:rFonts w:ascii="Times New Roman" w:eastAsia="Times New Roman" w:hAnsi="Times New Roman" w:cs="Times New Roman"/>
      <w:szCs w:val="20"/>
      <w:lang w:val="fr-FR" w:eastAsia="fr-FR"/>
    </w:rPr>
  </w:style>
  <w:style w:type="paragraph" w:customStyle="1" w:styleId="EPBodyTA1">
    <w:name w:val="EPBodyTA1"/>
    <w:basedOn w:val="Normal"/>
    <w:rsid w:val="00BE473A"/>
    <w:pPr>
      <w:widowControl w:val="0"/>
      <w:spacing w:after="0" w:line="240" w:lineRule="auto"/>
      <w:jc w:val="center"/>
    </w:pPr>
    <w:rPr>
      <w:rFonts w:ascii="Arial" w:eastAsia="Times New Roman" w:hAnsi="Arial" w:cs="Arial"/>
      <w:b/>
      <w:lang w:val="es-ES_tradnl" w:eastAsia="en-GB"/>
    </w:rPr>
  </w:style>
  <w:style w:type="paragraph" w:customStyle="1" w:styleId="LineTop">
    <w:name w:val="LineTop"/>
    <w:basedOn w:val="Normal"/>
    <w:next w:val="Normal"/>
    <w:rsid w:val="00BE473A"/>
    <w:pPr>
      <w:widowControl w:val="0"/>
      <w:pBdr>
        <w:top w:val="single" w:sz="4" w:space="1" w:color="auto"/>
      </w:pBdr>
      <w:spacing w:after="0" w:line="240" w:lineRule="auto"/>
      <w:jc w:val="center"/>
    </w:pPr>
    <w:rPr>
      <w:rFonts w:ascii="Arial" w:eastAsia="Times New Roman" w:hAnsi="Arial" w:cs="Arial"/>
      <w:sz w:val="16"/>
      <w:szCs w:val="16"/>
      <w:lang w:val="es-ES_tradnl" w:eastAsia="en-GB"/>
    </w:rPr>
  </w:style>
  <w:style w:type="paragraph" w:customStyle="1" w:styleId="LineBottom">
    <w:name w:val="LineBottom"/>
    <w:basedOn w:val="Normal"/>
    <w:next w:val="Normal"/>
    <w:rsid w:val="00BE473A"/>
    <w:pPr>
      <w:widowControl w:val="0"/>
      <w:pBdr>
        <w:bottom w:val="single" w:sz="4" w:space="1" w:color="auto"/>
      </w:pBdr>
      <w:spacing w:after="240" w:line="240" w:lineRule="auto"/>
      <w:jc w:val="center"/>
    </w:pPr>
    <w:rPr>
      <w:rFonts w:ascii="Arial" w:eastAsia="Times New Roman" w:hAnsi="Arial" w:cs="Arial"/>
      <w:sz w:val="16"/>
      <w:szCs w:val="16"/>
      <w:lang w:val="es-ES_tradnl" w:eastAsia="en-GB"/>
    </w:rPr>
  </w:style>
  <w:style w:type="paragraph" w:customStyle="1" w:styleId="EPName">
    <w:name w:val="EPName"/>
    <w:basedOn w:val="Normal"/>
    <w:rsid w:val="00BE473A"/>
    <w:pPr>
      <w:widowControl w:val="0"/>
      <w:spacing w:before="80" w:after="80" w:line="240" w:lineRule="auto"/>
    </w:pPr>
    <w:rPr>
      <w:rFonts w:ascii="Arial Narrow" w:eastAsia="Times New Roman" w:hAnsi="Arial Narrow" w:cs="Arial"/>
      <w:b/>
      <w:sz w:val="32"/>
      <w:lang w:val="es-ES_tradnl" w:eastAsia="en-GB"/>
    </w:rPr>
  </w:style>
  <w:style w:type="paragraph" w:customStyle="1" w:styleId="EPTerm">
    <w:name w:val="EPTerm"/>
    <w:basedOn w:val="Normal"/>
    <w:next w:val="Normal"/>
    <w:rsid w:val="00BE473A"/>
    <w:pPr>
      <w:widowControl w:val="0"/>
      <w:spacing w:after="80" w:line="240" w:lineRule="auto"/>
    </w:pPr>
    <w:rPr>
      <w:rFonts w:ascii="Arial" w:eastAsia="Times New Roman" w:hAnsi="Arial" w:cs="Arial"/>
      <w:sz w:val="20"/>
      <w:lang w:val="es-ES_tradnl" w:eastAsia="en-GB"/>
    </w:rPr>
  </w:style>
  <w:style w:type="paragraph" w:customStyle="1" w:styleId="EPLogo">
    <w:name w:val="EPLogo"/>
    <w:basedOn w:val="Normal"/>
    <w:qFormat/>
    <w:rsid w:val="00BE473A"/>
    <w:pPr>
      <w:widowControl w:val="0"/>
      <w:spacing w:after="0" w:line="240" w:lineRule="auto"/>
      <w:jc w:val="right"/>
    </w:pPr>
    <w:rPr>
      <w:rFonts w:ascii="Times New Roman" w:eastAsia="Times New Roman" w:hAnsi="Times New Roman" w:cs="Times New Roman"/>
      <w:sz w:val="24"/>
      <w:szCs w:val="20"/>
      <w:lang w:val="es-ES_tradnl" w:eastAsia="en-GB"/>
    </w:rPr>
  </w:style>
  <w:style w:type="character" w:customStyle="1" w:styleId="HideTWBExt">
    <w:name w:val="HideTWBExt"/>
    <w:rsid w:val="00BE473A"/>
    <w:rPr>
      <w:rFonts w:ascii="Arial" w:hAnsi="Arial" w:cs="Arial" w:hint="default"/>
      <w:noProof/>
      <w:vanish/>
      <w:webHidden w:val="0"/>
      <w:color w:val="000080"/>
      <w:sz w:val="20"/>
      <w:specVanish w:val="0"/>
    </w:rPr>
  </w:style>
  <w:style w:type="character" w:customStyle="1" w:styleId="meta">
    <w:name w:val="meta"/>
    <w:basedOn w:val="Fuentedeprrafopredeter"/>
    <w:rsid w:val="00BE473A"/>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F5FA4"/>
  </w:style>
  <w:style w:type="paragraph" w:styleId="Ttulo1">
    <w:name w:val="heading 1"/>
    <w:basedOn w:val="Normal"/>
    <w:link w:val="Ttulo1Car"/>
    <w:uiPriority w:val="9"/>
    <w:qFormat/>
    <w:rsid w:val="00EF5FA4"/>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es-ES"/>
    </w:rPr>
  </w:style>
  <w:style w:type="paragraph" w:styleId="Ttulo2">
    <w:name w:val="heading 2"/>
    <w:basedOn w:val="Normal"/>
    <w:next w:val="Normal"/>
    <w:link w:val="Ttulo2Car"/>
    <w:uiPriority w:val="9"/>
    <w:unhideWhenUsed/>
    <w:qFormat/>
    <w:rsid w:val="00EF5FA4"/>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Ttulo3">
    <w:name w:val="heading 3"/>
    <w:basedOn w:val="Normal"/>
    <w:next w:val="Normal"/>
    <w:link w:val="Ttulo3Car"/>
    <w:uiPriority w:val="9"/>
    <w:unhideWhenUsed/>
    <w:qFormat/>
    <w:rsid w:val="00EF5FA4"/>
    <w:pPr>
      <w:keepNext/>
      <w:keepLines/>
      <w:spacing w:before="200" w:after="0"/>
      <w:outlineLvl w:val="2"/>
    </w:pPr>
    <w:rPr>
      <w:rFonts w:asciiTheme="majorHAnsi" w:eastAsiaTheme="majorEastAsia" w:hAnsiTheme="majorHAnsi" w:cstheme="majorBidi"/>
      <w:b/>
      <w:bCs/>
      <w:color w:val="4F81BD" w:themeColor="accent1"/>
    </w:rPr>
  </w:style>
  <w:style w:type="paragraph" w:styleId="Ttulo5">
    <w:name w:val="heading 5"/>
    <w:basedOn w:val="Normal"/>
    <w:next w:val="Normal"/>
    <w:link w:val="Ttulo5Car"/>
    <w:uiPriority w:val="9"/>
    <w:semiHidden/>
    <w:unhideWhenUsed/>
    <w:qFormat/>
    <w:rsid w:val="00BE473A"/>
    <w:pPr>
      <w:keepNext/>
      <w:keepLines/>
      <w:spacing w:before="200" w:after="0"/>
      <w:outlineLvl w:val="4"/>
    </w:pPr>
    <w:rPr>
      <w:rFonts w:asciiTheme="majorHAnsi" w:eastAsiaTheme="majorEastAsia" w:hAnsiTheme="majorHAnsi" w:cstheme="majorBidi"/>
      <w:color w:val="243F60" w:themeColor="accent1" w:themeShade="7F"/>
    </w:rPr>
  </w:style>
  <w:style w:type="paragraph" w:styleId="Ttulo6">
    <w:name w:val="heading 6"/>
    <w:basedOn w:val="Normal"/>
    <w:next w:val="Normal"/>
    <w:link w:val="Ttulo6Car"/>
    <w:uiPriority w:val="9"/>
    <w:semiHidden/>
    <w:unhideWhenUsed/>
    <w:qFormat/>
    <w:rsid w:val="00BE473A"/>
    <w:pPr>
      <w:keepNext/>
      <w:keepLines/>
      <w:spacing w:before="200" w:after="0"/>
      <w:outlineLvl w:val="5"/>
    </w:pPr>
    <w:rPr>
      <w:rFonts w:asciiTheme="majorHAnsi" w:eastAsiaTheme="majorEastAsia" w:hAnsiTheme="majorHAnsi" w:cstheme="majorBidi"/>
      <w:i/>
      <w:iCs/>
      <w:color w:val="243F60" w:themeColor="accent1" w:themeShade="7F"/>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EF5FA4"/>
    <w:rPr>
      <w:rFonts w:ascii="Times New Roman" w:eastAsia="Times New Roman" w:hAnsi="Times New Roman" w:cs="Times New Roman"/>
      <w:b/>
      <w:bCs/>
      <w:kern w:val="36"/>
      <w:sz w:val="48"/>
      <w:szCs w:val="48"/>
      <w:lang w:eastAsia="es-ES"/>
    </w:rPr>
  </w:style>
  <w:style w:type="character" w:customStyle="1" w:styleId="Ttulo2Car">
    <w:name w:val="Título 2 Car"/>
    <w:basedOn w:val="Fuentedeprrafopredeter"/>
    <w:link w:val="Ttulo2"/>
    <w:uiPriority w:val="9"/>
    <w:rsid w:val="00EF5FA4"/>
    <w:rPr>
      <w:rFonts w:asciiTheme="majorHAnsi" w:eastAsiaTheme="majorEastAsia" w:hAnsiTheme="majorHAnsi" w:cstheme="majorBidi"/>
      <w:b/>
      <w:bCs/>
      <w:color w:val="4F81BD" w:themeColor="accent1"/>
      <w:sz w:val="26"/>
      <w:szCs w:val="26"/>
    </w:rPr>
  </w:style>
  <w:style w:type="character" w:customStyle="1" w:styleId="Ttulo3Car">
    <w:name w:val="Título 3 Car"/>
    <w:basedOn w:val="Fuentedeprrafopredeter"/>
    <w:link w:val="Ttulo3"/>
    <w:uiPriority w:val="9"/>
    <w:rsid w:val="00EF5FA4"/>
    <w:rPr>
      <w:rFonts w:asciiTheme="majorHAnsi" w:eastAsiaTheme="majorEastAsia" w:hAnsiTheme="majorHAnsi" w:cstheme="majorBidi"/>
      <w:b/>
      <w:bCs/>
      <w:color w:val="4F81BD" w:themeColor="accent1"/>
    </w:rPr>
  </w:style>
  <w:style w:type="paragraph" w:styleId="NormalWeb">
    <w:name w:val="Normal (Web)"/>
    <w:basedOn w:val="Normal"/>
    <w:uiPriority w:val="99"/>
    <w:unhideWhenUsed/>
    <w:rsid w:val="00EF5FA4"/>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styleId="Textodeglobo">
    <w:name w:val="Balloon Text"/>
    <w:basedOn w:val="Normal"/>
    <w:link w:val="TextodegloboCar"/>
    <w:uiPriority w:val="99"/>
    <w:semiHidden/>
    <w:unhideWhenUsed/>
    <w:rsid w:val="00EF5FA4"/>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EF5FA4"/>
    <w:rPr>
      <w:rFonts w:ascii="Tahoma" w:hAnsi="Tahoma" w:cs="Tahoma"/>
      <w:sz w:val="16"/>
      <w:szCs w:val="16"/>
    </w:rPr>
  </w:style>
  <w:style w:type="character" w:styleId="Hipervnculo">
    <w:name w:val="Hyperlink"/>
    <w:basedOn w:val="Fuentedeprrafopredeter"/>
    <w:uiPriority w:val="99"/>
    <w:semiHidden/>
    <w:unhideWhenUsed/>
    <w:rsid w:val="00EF5FA4"/>
    <w:rPr>
      <w:color w:val="0000FF"/>
      <w:u w:val="single"/>
    </w:rPr>
  </w:style>
  <w:style w:type="character" w:styleId="Textoennegrita">
    <w:name w:val="Strong"/>
    <w:basedOn w:val="Fuentedeprrafopredeter"/>
    <w:uiPriority w:val="22"/>
    <w:qFormat/>
    <w:rsid w:val="00EF5FA4"/>
    <w:rPr>
      <w:b/>
      <w:bCs/>
    </w:rPr>
  </w:style>
  <w:style w:type="character" w:customStyle="1" w:styleId="NormalHanging12aChar">
    <w:name w:val="NormalHanging12a Char"/>
    <w:basedOn w:val="Fuentedeprrafopredeter"/>
    <w:link w:val="NormalHanging12a"/>
    <w:locked/>
    <w:rsid w:val="00EF5FA4"/>
    <w:rPr>
      <w:sz w:val="24"/>
      <w:lang w:val="es-ES_tradnl"/>
    </w:rPr>
  </w:style>
  <w:style w:type="paragraph" w:customStyle="1" w:styleId="NormalHanging12a">
    <w:name w:val="NormalHanging12a"/>
    <w:basedOn w:val="Normal"/>
    <w:link w:val="NormalHanging12aChar"/>
    <w:rsid w:val="00EF5FA4"/>
    <w:pPr>
      <w:widowControl w:val="0"/>
      <w:spacing w:after="240" w:line="240" w:lineRule="auto"/>
      <w:ind w:left="567" w:hanging="567"/>
    </w:pPr>
    <w:rPr>
      <w:sz w:val="24"/>
      <w:lang w:val="es-ES_tradnl"/>
    </w:rPr>
  </w:style>
  <w:style w:type="paragraph" w:customStyle="1" w:styleId="ATHeading1">
    <w:name w:val="AT Heading 1"/>
    <w:basedOn w:val="Normal"/>
    <w:next w:val="Normal"/>
    <w:rsid w:val="00EF5FA4"/>
    <w:pPr>
      <w:keepNext/>
      <w:keepLines/>
      <w:spacing w:before="480" w:after="120" w:line="240" w:lineRule="auto"/>
      <w:outlineLvl w:val="0"/>
    </w:pPr>
    <w:rPr>
      <w:rFonts w:ascii="Times New Roman" w:eastAsia="Times New Roman" w:hAnsi="Times New Roman" w:cs="Times New Roman"/>
      <w:b/>
      <w:sz w:val="28"/>
      <w:szCs w:val="20"/>
      <w:lang w:val="es-ES_tradnl" w:eastAsia="fr-FR"/>
    </w:rPr>
  </w:style>
  <w:style w:type="paragraph" w:customStyle="1" w:styleId="ATHeading2">
    <w:name w:val="AT Heading 2"/>
    <w:basedOn w:val="Normal"/>
    <w:next w:val="Normal"/>
    <w:rsid w:val="00EF5FA4"/>
    <w:pPr>
      <w:spacing w:before="120" w:after="120" w:line="240" w:lineRule="auto"/>
      <w:outlineLvl w:val="1"/>
    </w:pPr>
    <w:rPr>
      <w:rFonts w:ascii="Times New Roman" w:eastAsia="Times New Roman" w:hAnsi="Times New Roman" w:cs="Times New Roman"/>
      <w:b/>
      <w:sz w:val="28"/>
      <w:szCs w:val="20"/>
      <w:lang w:val="es-ES_tradnl" w:eastAsia="fr-FR"/>
    </w:rPr>
  </w:style>
  <w:style w:type="paragraph" w:customStyle="1" w:styleId="ATHeading3">
    <w:name w:val="AT Heading 3"/>
    <w:basedOn w:val="Normal"/>
    <w:next w:val="Normal"/>
    <w:rsid w:val="00EF5FA4"/>
    <w:pPr>
      <w:keepNext/>
      <w:keepLines/>
      <w:spacing w:before="120" w:after="120" w:line="240" w:lineRule="auto"/>
      <w:outlineLvl w:val="2"/>
    </w:pPr>
    <w:rPr>
      <w:rFonts w:ascii="Times New Roman" w:eastAsia="Times New Roman" w:hAnsi="Times New Roman" w:cs="Times New Roman"/>
      <w:b/>
      <w:sz w:val="24"/>
      <w:szCs w:val="20"/>
      <w:lang w:val="es-ES_tradnl" w:eastAsia="fr-FR"/>
    </w:rPr>
  </w:style>
  <w:style w:type="paragraph" w:customStyle="1" w:styleId="EPComma">
    <w:name w:val="EPComma"/>
    <w:basedOn w:val="Normal"/>
    <w:rsid w:val="00EF5FA4"/>
    <w:pPr>
      <w:widowControl w:val="0"/>
      <w:spacing w:before="480" w:after="240" w:line="240" w:lineRule="auto"/>
    </w:pPr>
    <w:rPr>
      <w:rFonts w:ascii="Times New Roman" w:eastAsia="Times New Roman" w:hAnsi="Times New Roman" w:cs="Times New Roman"/>
      <w:sz w:val="24"/>
      <w:szCs w:val="20"/>
      <w:lang w:val="es-ES_tradnl" w:eastAsia="en-GB"/>
    </w:rPr>
  </w:style>
  <w:style w:type="character" w:customStyle="1" w:styleId="current">
    <w:name w:val="current"/>
    <w:basedOn w:val="Fuentedeprrafopredeter"/>
    <w:rsid w:val="00EF5FA4"/>
  </w:style>
  <w:style w:type="paragraph" w:styleId="Prrafodelista">
    <w:name w:val="List Paragraph"/>
    <w:basedOn w:val="Normal"/>
    <w:uiPriority w:val="34"/>
    <w:qFormat/>
    <w:rsid w:val="00EF5FA4"/>
    <w:pPr>
      <w:ind w:left="720"/>
      <w:contextualSpacing/>
    </w:pPr>
  </w:style>
  <w:style w:type="character" w:customStyle="1" w:styleId="Ttulo5Car">
    <w:name w:val="Título 5 Car"/>
    <w:basedOn w:val="Fuentedeprrafopredeter"/>
    <w:link w:val="Ttulo5"/>
    <w:uiPriority w:val="9"/>
    <w:semiHidden/>
    <w:rsid w:val="00BE473A"/>
    <w:rPr>
      <w:rFonts w:asciiTheme="majorHAnsi" w:eastAsiaTheme="majorEastAsia" w:hAnsiTheme="majorHAnsi" w:cstheme="majorBidi"/>
      <w:color w:val="243F60" w:themeColor="accent1" w:themeShade="7F"/>
    </w:rPr>
  </w:style>
  <w:style w:type="character" w:customStyle="1" w:styleId="Ttulo6Car">
    <w:name w:val="Título 6 Car"/>
    <w:basedOn w:val="Fuentedeprrafopredeter"/>
    <w:link w:val="Ttulo6"/>
    <w:uiPriority w:val="9"/>
    <w:semiHidden/>
    <w:rsid w:val="00BE473A"/>
    <w:rPr>
      <w:rFonts w:asciiTheme="majorHAnsi" w:eastAsiaTheme="majorEastAsia" w:hAnsiTheme="majorHAnsi" w:cstheme="majorBidi"/>
      <w:i/>
      <w:iCs/>
      <w:color w:val="243F60" w:themeColor="accent1" w:themeShade="7F"/>
    </w:rPr>
  </w:style>
  <w:style w:type="character" w:customStyle="1" w:styleId="webprefix-num">
    <w:name w:val="web_prefix-num"/>
    <w:basedOn w:val="Fuentedeprrafopredeter"/>
    <w:rsid w:val="00BE473A"/>
  </w:style>
  <w:style w:type="paragraph" w:customStyle="1" w:styleId="webnote">
    <w:name w:val="web_note"/>
    <w:basedOn w:val="Normal"/>
    <w:rsid w:val="00BE473A"/>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customStyle="1" w:styleId="websource">
    <w:name w:val="web_source"/>
    <w:basedOn w:val="Normal"/>
    <w:rsid w:val="00BE473A"/>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webbibref">
    <w:name w:val="web_bibref"/>
    <w:basedOn w:val="Fuentedeprrafopredeter"/>
    <w:rsid w:val="00BE473A"/>
  </w:style>
  <w:style w:type="character" w:customStyle="1" w:styleId="tlabel">
    <w:name w:val="tlabel"/>
    <w:basedOn w:val="Fuentedeprrafopredeter"/>
    <w:rsid w:val="00BE473A"/>
  </w:style>
  <w:style w:type="character" w:customStyle="1" w:styleId="mw-headline">
    <w:name w:val="mw-headline"/>
    <w:basedOn w:val="Fuentedeprrafopredeter"/>
    <w:rsid w:val="00BE473A"/>
  </w:style>
  <w:style w:type="character" w:customStyle="1" w:styleId="Ttulo10">
    <w:name w:val="Título1"/>
    <w:basedOn w:val="Fuentedeprrafopredeter"/>
    <w:rsid w:val="00BE473A"/>
  </w:style>
  <w:style w:type="character" w:customStyle="1" w:styleId="datetimecreated">
    <w:name w:val="datetime__created"/>
    <w:basedOn w:val="Fuentedeprrafopredeter"/>
    <w:rsid w:val="00BE473A"/>
  </w:style>
  <w:style w:type="paragraph" w:customStyle="1" w:styleId="bodyobject">
    <w:name w:val="bodyobject"/>
    <w:basedOn w:val="Normal"/>
    <w:rsid w:val="00BE473A"/>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TextonotapieCar">
    <w:name w:val="Texto nota pie Car"/>
    <w:basedOn w:val="Fuentedeprrafopredeter"/>
    <w:link w:val="Textonotapie"/>
    <w:semiHidden/>
    <w:rsid w:val="00BE473A"/>
    <w:rPr>
      <w:rFonts w:ascii="Times New Roman" w:eastAsia="Times New Roman" w:hAnsi="Times New Roman" w:cs="Times New Roman"/>
      <w:szCs w:val="20"/>
      <w:lang w:val="fr-FR" w:eastAsia="fr-FR"/>
    </w:rPr>
  </w:style>
  <w:style w:type="paragraph" w:styleId="Textonotapie">
    <w:name w:val="footnote text"/>
    <w:basedOn w:val="Normal"/>
    <w:link w:val="TextonotapieCar"/>
    <w:semiHidden/>
    <w:unhideWhenUsed/>
    <w:rsid w:val="00BE473A"/>
    <w:pPr>
      <w:keepLines/>
      <w:spacing w:after="0" w:line="260" w:lineRule="exact"/>
      <w:ind w:left="425" w:hanging="425"/>
    </w:pPr>
    <w:rPr>
      <w:rFonts w:ascii="Times New Roman" w:eastAsia="Times New Roman" w:hAnsi="Times New Roman" w:cs="Times New Roman"/>
      <w:szCs w:val="20"/>
      <w:lang w:val="fr-FR" w:eastAsia="fr-FR"/>
    </w:rPr>
  </w:style>
  <w:style w:type="paragraph" w:customStyle="1" w:styleId="EPBodyTA1">
    <w:name w:val="EPBodyTA1"/>
    <w:basedOn w:val="Normal"/>
    <w:rsid w:val="00BE473A"/>
    <w:pPr>
      <w:widowControl w:val="0"/>
      <w:spacing w:after="0" w:line="240" w:lineRule="auto"/>
      <w:jc w:val="center"/>
    </w:pPr>
    <w:rPr>
      <w:rFonts w:ascii="Arial" w:eastAsia="Times New Roman" w:hAnsi="Arial" w:cs="Arial"/>
      <w:b/>
      <w:lang w:val="es-ES_tradnl" w:eastAsia="en-GB"/>
    </w:rPr>
  </w:style>
  <w:style w:type="paragraph" w:customStyle="1" w:styleId="LineTop">
    <w:name w:val="LineTop"/>
    <w:basedOn w:val="Normal"/>
    <w:next w:val="Normal"/>
    <w:rsid w:val="00BE473A"/>
    <w:pPr>
      <w:widowControl w:val="0"/>
      <w:pBdr>
        <w:top w:val="single" w:sz="4" w:space="1" w:color="auto"/>
      </w:pBdr>
      <w:spacing w:after="0" w:line="240" w:lineRule="auto"/>
      <w:jc w:val="center"/>
    </w:pPr>
    <w:rPr>
      <w:rFonts w:ascii="Arial" w:eastAsia="Times New Roman" w:hAnsi="Arial" w:cs="Arial"/>
      <w:sz w:val="16"/>
      <w:szCs w:val="16"/>
      <w:lang w:val="es-ES_tradnl" w:eastAsia="en-GB"/>
    </w:rPr>
  </w:style>
  <w:style w:type="paragraph" w:customStyle="1" w:styleId="LineBottom">
    <w:name w:val="LineBottom"/>
    <w:basedOn w:val="Normal"/>
    <w:next w:val="Normal"/>
    <w:rsid w:val="00BE473A"/>
    <w:pPr>
      <w:widowControl w:val="0"/>
      <w:pBdr>
        <w:bottom w:val="single" w:sz="4" w:space="1" w:color="auto"/>
      </w:pBdr>
      <w:spacing w:after="240" w:line="240" w:lineRule="auto"/>
      <w:jc w:val="center"/>
    </w:pPr>
    <w:rPr>
      <w:rFonts w:ascii="Arial" w:eastAsia="Times New Roman" w:hAnsi="Arial" w:cs="Arial"/>
      <w:sz w:val="16"/>
      <w:szCs w:val="16"/>
      <w:lang w:val="es-ES_tradnl" w:eastAsia="en-GB"/>
    </w:rPr>
  </w:style>
  <w:style w:type="paragraph" w:customStyle="1" w:styleId="EPName">
    <w:name w:val="EPName"/>
    <w:basedOn w:val="Normal"/>
    <w:rsid w:val="00BE473A"/>
    <w:pPr>
      <w:widowControl w:val="0"/>
      <w:spacing w:before="80" w:after="80" w:line="240" w:lineRule="auto"/>
    </w:pPr>
    <w:rPr>
      <w:rFonts w:ascii="Arial Narrow" w:eastAsia="Times New Roman" w:hAnsi="Arial Narrow" w:cs="Arial"/>
      <w:b/>
      <w:sz w:val="32"/>
      <w:lang w:val="es-ES_tradnl" w:eastAsia="en-GB"/>
    </w:rPr>
  </w:style>
  <w:style w:type="paragraph" w:customStyle="1" w:styleId="EPTerm">
    <w:name w:val="EPTerm"/>
    <w:basedOn w:val="Normal"/>
    <w:next w:val="Normal"/>
    <w:rsid w:val="00BE473A"/>
    <w:pPr>
      <w:widowControl w:val="0"/>
      <w:spacing w:after="80" w:line="240" w:lineRule="auto"/>
    </w:pPr>
    <w:rPr>
      <w:rFonts w:ascii="Arial" w:eastAsia="Times New Roman" w:hAnsi="Arial" w:cs="Arial"/>
      <w:sz w:val="20"/>
      <w:lang w:val="es-ES_tradnl" w:eastAsia="en-GB"/>
    </w:rPr>
  </w:style>
  <w:style w:type="paragraph" w:customStyle="1" w:styleId="EPLogo">
    <w:name w:val="EPLogo"/>
    <w:basedOn w:val="Normal"/>
    <w:qFormat/>
    <w:rsid w:val="00BE473A"/>
    <w:pPr>
      <w:widowControl w:val="0"/>
      <w:spacing w:after="0" w:line="240" w:lineRule="auto"/>
      <w:jc w:val="right"/>
    </w:pPr>
    <w:rPr>
      <w:rFonts w:ascii="Times New Roman" w:eastAsia="Times New Roman" w:hAnsi="Times New Roman" w:cs="Times New Roman"/>
      <w:sz w:val="24"/>
      <w:szCs w:val="20"/>
      <w:lang w:val="es-ES_tradnl" w:eastAsia="en-GB"/>
    </w:rPr>
  </w:style>
  <w:style w:type="character" w:customStyle="1" w:styleId="HideTWBExt">
    <w:name w:val="HideTWBExt"/>
    <w:rsid w:val="00BE473A"/>
    <w:rPr>
      <w:rFonts w:ascii="Arial" w:hAnsi="Arial" w:cs="Arial" w:hint="default"/>
      <w:noProof/>
      <w:vanish/>
      <w:webHidden w:val="0"/>
      <w:color w:val="000080"/>
      <w:sz w:val="20"/>
      <w:specVanish w:val="0"/>
    </w:rPr>
  </w:style>
  <w:style w:type="character" w:customStyle="1" w:styleId="meta">
    <w:name w:val="meta"/>
    <w:basedOn w:val="Fuentedeprrafopredeter"/>
    <w:rsid w:val="00BE473A"/>
  </w:style>
</w:styles>
</file>

<file path=word/webSettings.xml><?xml version="1.0" encoding="utf-8"?>
<w:webSettings xmlns:r="http://schemas.openxmlformats.org/officeDocument/2006/relationships" xmlns:w="http://schemas.openxmlformats.org/wordprocessingml/2006/main">
  <w:divs>
    <w:div w:id="49114257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89.png"/><Relationship Id="rId21" Type="http://schemas.openxmlformats.org/officeDocument/2006/relationships/image" Target="media/image15.png"/><Relationship Id="rId42" Type="http://schemas.openxmlformats.org/officeDocument/2006/relationships/image" Target="media/image35.png"/><Relationship Id="rId63" Type="http://schemas.openxmlformats.org/officeDocument/2006/relationships/image" Target="media/image56.png"/><Relationship Id="rId84" Type="http://schemas.openxmlformats.org/officeDocument/2006/relationships/image" Target="media/image75.png"/><Relationship Id="rId138" Type="http://schemas.openxmlformats.org/officeDocument/2006/relationships/hyperlink" Target="https://ec.europa.eu/eurostat/databrowser/view/yth_empl_120/default/table?lang=en" TargetMode="External"/><Relationship Id="rId159" Type="http://schemas.openxmlformats.org/officeDocument/2006/relationships/image" Target="media/image104.png"/><Relationship Id="rId170" Type="http://schemas.openxmlformats.org/officeDocument/2006/relationships/hyperlink" Target="https://ec.europa.eu/eurostat/statistics-explained/index.php?title=Glossary:Severe_material_and_social_deprivation_rate_(SMSD)" TargetMode="External"/><Relationship Id="rId191" Type="http://schemas.openxmlformats.org/officeDocument/2006/relationships/hyperlink" Target="https://european-union.europa.eu/priorities-and-actions/actions-topic/education-training-and-youth_en" TargetMode="External"/><Relationship Id="rId205" Type="http://schemas.openxmlformats.org/officeDocument/2006/relationships/hyperlink" Target="https://ec.europa.eu/eurostat/databrowser/view/edat_lfse_24/default/table?lang=en" TargetMode="External"/><Relationship Id="rId226" Type="http://schemas.openxmlformats.org/officeDocument/2006/relationships/hyperlink" Target="https://ec.europa.eu/eurostat/statistics-explained/index.php?title=Glossary:Degree_of_urbanisation" TargetMode="External"/><Relationship Id="rId107" Type="http://schemas.openxmlformats.org/officeDocument/2006/relationships/hyperlink" Target="https://ec.europa.eu/eurostat/statistics-explained/index.php?title=File:Employment_rate_for_young_people_aged_15-29_years,_by_sex,_2019_(%25)_BYIE20.png" TargetMode="External"/><Relationship Id="rId11" Type="http://schemas.openxmlformats.org/officeDocument/2006/relationships/image" Target="media/image7.jpeg"/><Relationship Id="rId32" Type="http://schemas.openxmlformats.org/officeDocument/2006/relationships/image" Target="media/image25.png"/><Relationship Id="rId53" Type="http://schemas.openxmlformats.org/officeDocument/2006/relationships/image" Target="media/image46.png"/><Relationship Id="rId74" Type="http://schemas.openxmlformats.org/officeDocument/2006/relationships/image" Target="media/image67.png"/><Relationship Id="rId128" Type="http://schemas.openxmlformats.org/officeDocument/2006/relationships/hyperlink" Target="https://ec.europa.eu/eurostat/databrowser/view/yth_empl_100/default/table?lang=en" TargetMode="External"/><Relationship Id="rId149" Type="http://schemas.openxmlformats.org/officeDocument/2006/relationships/hyperlink" Target="https://ec.europa.eu/eurostat/statistics-explained/index.php?title=Glossary:At-risk-of-poverty_rate" TargetMode="External"/><Relationship Id="rId5" Type="http://schemas.openxmlformats.org/officeDocument/2006/relationships/image" Target="media/image1.jpeg"/><Relationship Id="rId95" Type="http://schemas.openxmlformats.org/officeDocument/2006/relationships/hyperlink" Target="https://ec.europa.eu/eurostat/databrowser/view/yth_empl_150/default/table?lang=en" TargetMode="External"/><Relationship Id="rId160" Type="http://schemas.openxmlformats.org/officeDocument/2006/relationships/hyperlink" Target="https://ec.europa.eu/eurostat/databrowser/view/ilc_peps01n/default/table?lang=en" TargetMode="External"/><Relationship Id="rId181" Type="http://schemas.openxmlformats.org/officeDocument/2006/relationships/image" Target="media/image112.png"/><Relationship Id="rId216" Type="http://schemas.openxmlformats.org/officeDocument/2006/relationships/image" Target="media/image123.png"/><Relationship Id="rId22" Type="http://schemas.openxmlformats.org/officeDocument/2006/relationships/image" Target="media/image16.png"/><Relationship Id="rId27" Type="http://schemas.openxmlformats.org/officeDocument/2006/relationships/image" Target="media/image20.jpeg"/><Relationship Id="rId43" Type="http://schemas.openxmlformats.org/officeDocument/2006/relationships/image" Target="media/image36.png"/><Relationship Id="rId48" Type="http://schemas.openxmlformats.org/officeDocument/2006/relationships/image" Target="media/image41.png"/><Relationship Id="rId64" Type="http://schemas.openxmlformats.org/officeDocument/2006/relationships/image" Target="media/image57.png"/><Relationship Id="rId69" Type="http://schemas.openxmlformats.org/officeDocument/2006/relationships/image" Target="media/image62.png"/><Relationship Id="rId113" Type="http://schemas.openxmlformats.org/officeDocument/2006/relationships/image" Target="media/image87.png"/><Relationship Id="rId118" Type="http://schemas.openxmlformats.org/officeDocument/2006/relationships/hyperlink" Target="https://ec.europa.eu/eurostat/databrowser/view/yth_empl_060/default/table?lang=en" TargetMode="External"/><Relationship Id="rId134" Type="http://schemas.openxmlformats.org/officeDocument/2006/relationships/hyperlink" Target="https://ec.europa.eu/eurostat/databrowser/view/yth_empl_090/default/table?lang=en" TargetMode="External"/><Relationship Id="rId139" Type="http://schemas.openxmlformats.org/officeDocument/2006/relationships/image" Target="media/image99.png"/><Relationship Id="rId80" Type="http://schemas.openxmlformats.org/officeDocument/2006/relationships/hyperlink" Target="https://ec.europa.eu/eurostat/statistics-explained/index.php?title=File:Young_people,_by_education_and_employment_status,_EU-27,_2019_(%25)_BYIE20.png" TargetMode="External"/><Relationship Id="rId85" Type="http://schemas.openxmlformats.org/officeDocument/2006/relationships/hyperlink" Target="https://ec.europa.eu/eurostat/databrowser/view/edat_lfse_18/default/table?lang=en" TargetMode="External"/><Relationship Id="rId150" Type="http://schemas.openxmlformats.org/officeDocument/2006/relationships/hyperlink" Target="https://ec.europa.eu/eurostat/statistics-explained/index.php?title=Glossary:Severe_material_and_social_deprivation_rate_(SMSD)" TargetMode="External"/><Relationship Id="rId155" Type="http://schemas.openxmlformats.org/officeDocument/2006/relationships/image" Target="media/image102.png"/><Relationship Id="rId171" Type="http://schemas.openxmlformats.org/officeDocument/2006/relationships/image" Target="media/image108.png"/><Relationship Id="rId176" Type="http://schemas.openxmlformats.org/officeDocument/2006/relationships/image" Target="media/image110.png"/><Relationship Id="rId192" Type="http://schemas.openxmlformats.org/officeDocument/2006/relationships/hyperlink" Target="https://education.ec.europa.eu/eu-policy-in-the-field-of-vocational-education-and-training" TargetMode="External"/><Relationship Id="rId197" Type="http://schemas.openxmlformats.org/officeDocument/2006/relationships/image" Target="media/image116.png"/><Relationship Id="rId206" Type="http://schemas.openxmlformats.org/officeDocument/2006/relationships/image" Target="media/image120.png"/><Relationship Id="rId227" Type="http://schemas.openxmlformats.org/officeDocument/2006/relationships/image" Target="media/image128.png"/><Relationship Id="rId201" Type="http://schemas.openxmlformats.org/officeDocument/2006/relationships/hyperlink" Target="http://eur-lex.europa.eu/LexUriServ/LexUriServ.do?uri=CELEX:32020H1202(01):EN:NOT" TargetMode="External"/><Relationship Id="rId222" Type="http://schemas.openxmlformats.org/officeDocument/2006/relationships/image" Target="media/image126.png"/><Relationship Id="rId12" Type="http://schemas.openxmlformats.org/officeDocument/2006/relationships/image" Target="media/image8.jpeg"/><Relationship Id="rId17" Type="http://schemas.openxmlformats.org/officeDocument/2006/relationships/image" Target="media/image13.png"/><Relationship Id="rId33" Type="http://schemas.openxmlformats.org/officeDocument/2006/relationships/image" Target="media/image26.png"/><Relationship Id="rId38" Type="http://schemas.openxmlformats.org/officeDocument/2006/relationships/image" Target="media/image31.png"/><Relationship Id="rId59" Type="http://schemas.openxmlformats.org/officeDocument/2006/relationships/image" Target="media/image52.png"/><Relationship Id="rId103" Type="http://schemas.openxmlformats.org/officeDocument/2006/relationships/hyperlink" Target="https://ec.europa.eu/eurostat/databrowser/view/yth_empl_010/default/table?lang=en" TargetMode="External"/><Relationship Id="rId108" Type="http://schemas.openxmlformats.org/officeDocument/2006/relationships/image" Target="media/image85.png"/><Relationship Id="rId124" Type="http://schemas.openxmlformats.org/officeDocument/2006/relationships/hyperlink" Target="https://ec.europa.eu/eurostat/databrowser/view/yth_empl_070/default/table?lang=en" TargetMode="External"/><Relationship Id="rId129" Type="http://schemas.openxmlformats.org/officeDocument/2006/relationships/hyperlink" Target="https://ec.europa.eu/eurostat/statistics-explained/index.php?title=Glossary:Youth_unemployment_ratio" TargetMode="External"/><Relationship Id="rId54" Type="http://schemas.openxmlformats.org/officeDocument/2006/relationships/image" Target="media/image47.png"/><Relationship Id="rId70" Type="http://schemas.openxmlformats.org/officeDocument/2006/relationships/image" Target="media/image63.png"/><Relationship Id="rId75" Type="http://schemas.openxmlformats.org/officeDocument/2006/relationships/image" Target="media/image68.png"/><Relationship Id="rId91" Type="http://schemas.openxmlformats.org/officeDocument/2006/relationships/hyperlink" Target="https://ec.europa.eu/eurostat/databrowser/view/yth_empl_150/default/table?lang=en" TargetMode="External"/><Relationship Id="rId96" Type="http://schemas.openxmlformats.org/officeDocument/2006/relationships/image" Target="media/image81.png"/><Relationship Id="rId140" Type="http://schemas.openxmlformats.org/officeDocument/2006/relationships/hyperlink" Target="https://ec.europa.eu/eurostat/databrowser/view/yth_empl_120/default/table?lang=en" TargetMode="External"/><Relationship Id="rId145" Type="http://schemas.openxmlformats.org/officeDocument/2006/relationships/hyperlink" Target="https://ec.europa.eu/eurostat/statistics-explained/index.php?title=Glossary:European_Union_(EU)" TargetMode="External"/><Relationship Id="rId161" Type="http://schemas.openxmlformats.org/officeDocument/2006/relationships/hyperlink" Target="https://ec.europa.eu/eurostat/statistics-explained/index.php?title=Glossary:At-risk-of-poverty_rate" TargetMode="External"/><Relationship Id="rId166" Type="http://schemas.openxmlformats.org/officeDocument/2006/relationships/image" Target="media/image106.png"/><Relationship Id="rId182" Type="http://schemas.openxmlformats.org/officeDocument/2006/relationships/hyperlink" Target="https://ec.europa.eu/eurostat/databrowser/view/ilc_lvhl11n/default/table?lang=en" TargetMode="External"/><Relationship Id="rId187" Type="http://schemas.openxmlformats.org/officeDocument/2006/relationships/hyperlink" Target="https://ec.europa.eu/eurostat/statistics-explained/index.php?title=Glossary:European_Union_(EU)" TargetMode="External"/><Relationship Id="rId217" Type="http://schemas.openxmlformats.org/officeDocument/2006/relationships/hyperlink" Target="https://ec.europa.eu/eurostat/databrowser/view/edat_lfse_20/default/table?lang=en" TargetMode="External"/><Relationship Id="rId1" Type="http://schemas.openxmlformats.org/officeDocument/2006/relationships/numbering" Target="numbering.xml"/><Relationship Id="rId6" Type="http://schemas.openxmlformats.org/officeDocument/2006/relationships/image" Target="media/image2.png"/><Relationship Id="rId212" Type="http://schemas.openxmlformats.org/officeDocument/2006/relationships/image" Target="media/image121.png"/><Relationship Id="rId23" Type="http://schemas.openxmlformats.org/officeDocument/2006/relationships/image" Target="media/image17.png"/><Relationship Id="rId28" Type="http://schemas.openxmlformats.org/officeDocument/2006/relationships/image" Target="media/image21.jpeg"/><Relationship Id="rId49" Type="http://schemas.openxmlformats.org/officeDocument/2006/relationships/image" Target="media/image42.png"/><Relationship Id="rId114" Type="http://schemas.openxmlformats.org/officeDocument/2006/relationships/hyperlink" Target="https://ec.europa.eu/eurostat/databrowser/view/yth_empl_050/default/table?lang=en" TargetMode="External"/><Relationship Id="rId119" Type="http://schemas.openxmlformats.org/officeDocument/2006/relationships/image" Target="media/image90.png"/><Relationship Id="rId44" Type="http://schemas.openxmlformats.org/officeDocument/2006/relationships/image" Target="media/image37.png"/><Relationship Id="rId60" Type="http://schemas.openxmlformats.org/officeDocument/2006/relationships/image" Target="media/image53.png"/><Relationship Id="rId65" Type="http://schemas.openxmlformats.org/officeDocument/2006/relationships/image" Target="media/image58.png"/><Relationship Id="rId81" Type="http://schemas.openxmlformats.org/officeDocument/2006/relationships/image" Target="media/image73.png"/><Relationship Id="rId86" Type="http://schemas.openxmlformats.org/officeDocument/2006/relationships/image" Target="media/image76.png"/><Relationship Id="rId130" Type="http://schemas.openxmlformats.org/officeDocument/2006/relationships/hyperlink" Target="https://ec.europa.eu/eurostat/statistics-explained/index.php?title=File:Unemployment_ratio_for_young_people,_by_age_group,_2019_(%25)_BYIE20.png" TargetMode="External"/><Relationship Id="rId135" Type="http://schemas.openxmlformats.org/officeDocument/2006/relationships/image" Target="media/image97.png"/><Relationship Id="rId151" Type="http://schemas.openxmlformats.org/officeDocument/2006/relationships/hyperlink" Target="https://ec.europa.eu/eurostat/statistics-explained/index.php?title=Glossary:Persons_living_in_households_with_low_work_intensity" TargetMode="External"/><Relationship Id="rId156" Type="http://schemas.openxmlformats.org/officeDocument/2006/relationships/hyperlink" Target="https://ec.europa.eu/eurostat/databrowser/view/ilc_peps01n/default/table?lang=en" TargetMode="External"/><Relationship Id="rId177" Type="http://schemas.openxmlformats.org/officeDocument/2006/relationships/hyperlink" Target="https://ec.europa.eu/eurostat/databrowser/view/ilc_mdsd11/default/table?lang=en" TargetMode="External"/><Relationship Id="rId198" Type="http://schemas.openxmlformats.org/officeDocument/2006/relationships/hyperlink" Target="https://ec.europa.eu/eurostat/databrowser/view/edat_lfse_24/default/table?lang=en" TargetMode="External"/><Relationship Id="rId172" Type="http://schemas.openxmlformats.org/officeDocument/2006/relationships/hyperlink" Target="https://ec.europa.eu/eurostat/databrowser/view/ilc_mdsd11/default/table?lang=en" TargetMode="External"/><Relationship Id="rId193" Type="http://schemas.openxmlformats.org/officeDocument/2006/relationships/hyperlink" Target="https://ec.europa.eu/eurostat/statistics-explained/index.php?title=Glossary:Lifelong_learning_(LLL)" TargetMode="External"/><Relationship Id="rId202" Type="http://schemas.openxmlformats.org/officeDocument/2006/relationships/image" Target="media/image118.png"/><Relationship Id="rId207" Type="http://schemas.openxmlformats.org/officeDocument/2006/relationships/hyperlink" Target="https://ec.europa.eu/eurostat/statistics-explained/index.php?title=Glossary:NEET" TargetMode="External"/><Relationship Id="rId223" Type="http://schemas.openxmlformats.org/officeDocument/2006/relationships/hyperlink" Target="https://ec.europa.eu/eurostat/databrowser/view/edat_lfse_20/default/table?lang=en" TargetMode="External"/><Relationship Id="rId228" Type="http://schemas.openxmlformats.org/officeDocument/2006/relationships/hyperlink" Target="https://ec.europa.eu/eurostat/databrowser/view/edat_lfse_29/default/table?lang=en" TargetMode="External"/><Relationship Id="rId13" Type="http://schemas.openxmlformats.org/officeDocument/2006/relationships/image" Target="media/image9.jpeg"/><Relationship Id="rId18" Type="http://schemas.openxmlformats.org/officeDocument/2006/relationships/hyperlink" Target="https://www.elconfidencial.com/autores/rocio-romero-4183/" TargetMode="External"/><Relationship Id="rId39" Type="http://schemas.openxmlformats.org/officeDocument/2006/relationships/image" Target="media/image32.png"/><Relationship Id="rId109" Type="http://schemas.openxmlformats.org/officeDocument/2006/relationships/hyperlink" Target="https://ec.europa.eu/eurostat/databrowser/view/yth_empl_010/default/table?lang=en" TargetMode="External"/><Relationship Id="rId34" Type="http://schemas.openxmlformats.org/officeDocument/2006/relationships/image" Target="media/image27.png"/><Relationship Id="rId50" Type="http://schemas.openxmlformats.org/officeDocument/2006/relationships/image" Target="media/image43.png"/><Relationship Id="rId55" Type="http://schemas.openxmlformats.org/officeDocument/2006/relationships/image" Target="media/image48.png"/><Relationship Id="rId76" Type="http://schemas.openxmlformats.org/officeDocument/2006/relationships/image" Target="media/image69.png"/><Relationship Id="rId97" Type="http://schemas.openxmlformats.org/officeDocument/2006/relationships/hyperlink" Target="https://ec.europa.eu/eurostat/databrowser/view/edat_lfse_24/default/table?lang=en" TargetMode="External"/><Relationship Id="rId104" Type="http://schemas.openxmlformats.org/officeDocument/2006/relationships/hyperlink" Target="https://ec.europa.eu/eurostat/statistics-explained/index.php?title=File:Employment_rate_for_young_people,_by_age,_EU-27,_2009-2019_(%25)_BYIE20.png" TargetMode="External"/><Relationship Id="rId120" Type="http://schemas.openxmlformats.org/officeDocument/2006/relationships/hyperlink" Target="https://ec.europa.eu/eurostat/databrowser/view/yth_empl_080/default/table?lang=en" TargetMode="External"/><Relationship Id="rId125" Type="http://schemas.openxmlformats.org/officeDocument/2006/relationships/image" Target="media/image93.png"/><Relationship Id="rId141" Type="http://schemas.openxmlformats.org/officeDocument/2006/relationships/hyperlink" Target="https://twitter.com/intent/tweet?text=%0ABetween+2015+and+2019%2C+the+severe+material+deprivation+rate+for+young+people+aged+15-29+years+in+the+EU+fell+from+8.4+%25+to+5.4+%25.+However%2C+it+increased+to+6.5+%25+in+2020.%0A&amp;hashtags=Eurostat,StatisticsExplained&amp;url=https%3A%2F%2Fec.europa.eu%2Feurostat%2Fstatistics-explained%2Findex.php%3Ftitle%3DYoung_people_-_social_inclusion" TargetMode="External"/><Relationship Id="rId146" Type="http://schemas.openxmlformats.org/officeDocument/2006/relationships/hyperlink" Target="https://ec.europa.eu/eurostat/statistics-explained/index.php?title=Glossary:European_Free_Trade_Association_(EFTA)" TargetMode="External"/><Relationship Id="rId167" Type="http://schemas.openxmlformats.org/officeDocument/2006/relationships/hyperlink" Target="https://ec.europa.eu/eurostat/databrowser/view/ilc_li02/default/table?lang=en" TargetMode="External"/><Relationship Id="rId188" Type="http://schemas.openxmlformats.org/officeDocument/2006/relationships/hyperlink" Target="https://ec.europa.eu/eurostat/statistics-explained/index.php?title=Glossary:ISCED" TargetMode="External"/><Relationship Id="rId7" Type="http://schemas.openxmlformats.org/officeDocument/2006/relationships/image" Target="media/image3.jpeg"/><Relationship Id="rId71" Type="http://schemas.openxmlformats.org/officeDocument/2006/relationships/image" Target="media/image64.png"/><Relationship Id="rId92" Type="http://schemas.openxmlformats.org/officeDocument/2006/relationships/image" Target="media/image79.png"/><Relationship Id="rId162" Type="http://schemas.openxmlformats.org/officeDocument/2006/relationships/hyperlink" Target="https://ec.europa.eu/eurostat/statistics-explained/index.php?title=Glossary:Equivalised_disposable_income" TargetMode="External"/><Relationship Id="rId183" Type="http://schemas.openxmlformats.org/officeDocument/2006/relationships/image" Target="media/image113.png"/><Relationship Id="rId213" Type="http://schemas.openxmlformats.org/officeDocument/2006/relationships/hyperlink" Target="https://ec.europa.eu/eurostat/databrowser/view/edat_lfse_18/default/table?lang=en" TargetMode="External"/><Relationship Id="rId218" Type="http://schemas.openxmlformats.org/officeDocument/2006/relationships/image" Target="media/image124.png"/><Relationship Id="rId2" Type="http://schemas.openxmlformats.org/officeDocument/2006/relationships/styles" Target="styles.xml"/><Relationship Id="rId29" Type="http://schemas.openxmlformats.org/officeDocument/2006/relationships/image" Target="media/image22.png"/><Relationship Id="rId24" Type="http://schemas.openxmlformats.org/officeDocument/2006/relationships/hyperlink" Target="http://www.cje.org/es/publicaciones/novedades/observatorio-emancipacion-primer-semestre-2021/" TargetMode="External"/><Relationship Id="rId40" Type="http://schemas.openxmlformats.org/officeDocument/2006/relationships/image" Target="media/image33.png"/><Relationship Id="rId45" Type="http://schemas.openxmlformats.org/officeDocument/2006/relationships/image" Target="media/image38.png"/><Relationship Id="rId66" Type="http://schemas.openxmlformats.org/officeDocument/2006/relationships/image" Target="media/image59.png"/><Relationship Id="rId87" Type="http://schemas.openxmlformats.org/officeDocument/2006/relationships/hyperlink" Target="https://ec.europa.eu/eurostat/databrowser/view/edat_lfse_18/default/table?lang=en" TargetMode="External"/><Relationship Id="rId110" Type="http://schemas.openxmlformats.org/officeDocument/2006/relationships/image" Target="media/image86.png"/><Relationship Id="rId115" Type="http://schemas.openxmlformats.org/officeDocument/2006/relationships/image" Target="media/image88.png"/><Relationship Id="rId131" Type="http://schemas.openxmlformats.org/officeDocument/2006/relationships/image" Target="media/image95.png"/><Relationship Id="rId136" Type="http://schemas.openxmlformats.org/officeDocument/2006/relationships/hyperlink" Target="https://ec.europa.eu/eurostat/databrowser/view/yth_empl_090/default/table?lang=en" TargetMode="External"/><Relationship Id="rId157" Type="http://schemas.openxmlformats.org/officeDocument/2006/relationships/image" Target="media/image103.png"/><Relationship Id="rId178" Type="http://schemas.openxmlformats.org/officeDocument/2006/relationships/hyperlink" Target="https://ec.europa.eu/eurostat/statistics-explained/index.php?title=Glossary:Work_intensity" TargetMode="External"/><Relationship Id="rId61" Type="http://schemas.openxmlformats.org/officeDocument/2006/relationships/image" Target="media/image54.png"/><Relationship Id="rId82" Type="http://schemas.openxmlformats.org/officeDocument/2006/relationships/image" Target="media/image74.png"/><Relationship Id="rId152" Type="http://schemas.openxmlformats.org/officeDocument/2006/relationships/hyperlink" Target="https://ec.europa.eu/eurostat/statistics-explained/index.php?title=Glossary:EU-27" TargetMode="External"/><Relationship Id="rId173" Type="http://schemas.openxmlformats.org/officeDocument/2006/relationships/image" Target="media/image109.png"/><Relationship Id="rId194" Type="http://schemas.openxmlformats.org/officeDocument/2006/relationships/hyperlink" Target="http://eur-lex.europa.eu/LexUriServ/LexUriServ.do?uri=CELEX:32020H1202(01):EN:NOT" TargetMode="External"/><Relationship Id="rId199" Type="http://schemas.openxmlformats.org/officeDocument/2006/relationships/image" Target="media/image117.png"/><Relationship Id="rId203" Type="http://schemas.openxmlformats.org/officeDocument/2006/relationships/hyperlink" Target="https://ec.europa.eu/eurostat/databrowser/view/edat_lfse_24/default/table?lang=en" TargetMode="External"/><Relationship Id="rId208" Type="http://schemas.openxmlformats.org/officeDocument/2006/relationships/hyperlink" Target="https://ec.europa.eu/eurostat/statistics-explained/index.php?title=Glossary:European_Union_(EU)" TargetMode="External"/><Relationship Id="rId229" Type="http://schemas.openxmlformats.org/officeDocument/2006/relationships/fontTable" Target="fontTable.xml"/><Relationship Id="rId19" Type="http://schemas.openxmlformats.org/officeDocument/2006/relationships/hyperlink" Target="https://www2.deloitte.com/es/es/pages/human-capital/articles/encuesta-millennial.html" TargetMode="External"/><Relationship Id="rId224" Type="http://schemas.openxmlformats.org/officeDocument/2006/relationships/image" Target="media/image127.png"/><Relationship Id="rId14" Type="http://schemas.openxmlformats.org/officeDocument/2006/relationships/image" Target="media/image10.jpeg"/><Relationship Id="rId30" Type="http://schemas.openxmlformats.org/officeDocument/2006/relationships/image" Target="media/image23.jpeg"/><Relationship Id="rId35" Type="http://schemas.openxmlformats.org/officeDocument/2006/relationships/image" Target="media/image28.png"/><Relationship Id="rId56" Type="http://schemas.openxmlformats.org/officeDocument/2006/relationships/image" Target="media/image49.png"/><Relationship Id="rId77" Type="http://schemas.openxmlformats.org/officeDocument/2006/relationships/image" Target="media/image70.png"/><Relationship Id="rId100" Type="http://schemas.openxmlformats.org/officeDocument/2006/relationships/hyperlink" Target="https://ec.europa.eu/eurostat/databrowser/view/yth_empl_010/default/table?lang=en" TargetMode="External"/><Relationship Id="rId105" Type="http://schemas.openxmlformats.org/officeDocument/2006/relationships/image" Target="media/image84.png"/><Relationship Id="rId126" Type="http://schemas.openxmlformats.org/officeDocument/2006/relationships/hyperlink" Target="https://ec.europa.eu/eurostat/databrowser/view/yth_empl_070/default/table?lang=en" TargetMode="External"/><Relationship Id="rId147" Type="http://schemas.openxmlformats.org/officeDocument/2006/relationships/hyperlink" Target="https://ec.europa.eu/eurostat/statistics-explained/index.php?title=Glossary:Candidate_countries" TargetMode="External"/><Relationship Id="rId168" Type="http://schemas.openxmlformats.org/officeDocument/2006/relationships/image" Target="media/image107.png"/><Relationship Id="rId8" Type="http://schemas.openxmlformats.org/officeDocument/2006/relationships/image" Target="media/image4.jpeg"/><Relationship Id="rId51" Type="http://schemas.openxmlformats.org/officeDocument/2006/relationships/image" Target="media/image44.png"/><Relationship Id="rId72" Type="http://schemas.openxmlformats.org/officeDocument/2006/relationships/image" Target="media/image65.png"/><Relationship Id="rId93" Type="http://schemas.openxmlformats.org/officeDocument/2006/relationships/hyperlink" Target="https://ec.europa.eu/eurostat/databrowser/view/yth_empl_150/default/table?lang=en" TargetMode="External"/><Relationship Id="rId98" Type="http://schemas.openxmlformats.org/officeDocument/2006/relationships/hyperlink" Target="https://ec.europa.eu/eurostat/statistics-explained/index.php?title=File:Employment_rate_for_young_people_aged_15-24_years,_2009_and_2019_(%25)_BYIE20.png" TargetMode="External"/><Relationship Id="rId121" Type="http://schemas.openxmlformats.org/officeDocument/2006/relationships/image" Target="media/image91.png"/><Relationship Id="rId142" Type="http://schemas.openxmlformats.org/officeDocument/2006/relationships/hyperlink" Target="https://twitter.com/intent/tweet?text=%0AIn+2020%2C+9+%25+of+people+aged+15-29+years+in+the+EU+lived+in+households+with+very+low+work+intensity.%0A&amp;hashtags=Eurostat,StatisticsExplained&amp;url=https%3A%2F%2Fec.europa.eu%2Feurostat%2Fstatistics-explained%2Findex.php%3Ftitle%3DYoung_people_-_social_inclusion" TargetMode="External"/><Relationship Id="rId163" Type="http://schemas.openxmlformats.org/officeDocument/2006/relationships/image" Target="media/image105.png"/><Relationship Id="rId184" Type="http://schemas.openxmlformats.org/officeDocument/2006/relationships/hyperlink" Target="https://ec.europa.eu/eurostat/databrowser/view/ilc_lvhl11n/default/table?lang=en" TargetMode="External"/><Relationship Id="rId189" Type="http://schemas.openxmlformats.org/officeDocument/2006/relationships/hyperlink" Target="https://ec.europa.eu/eurostat/statistics-explained/index.php?title=Glossary:Labour_force_survey_(LFS)" TargetMode="External"/><Relationship Id="rId219" Type="http://schemas.openxmlformats.org/officeDocument/2006/relationships/hyperlink" Target="https://ec.europa.eu/eurostat/databrowser/view/edat_lfse_21/default/table?lang=en" TargetMode="External"/><Relationship Id="rId3" Type="http://schemas.openxmlformats.org/officeDocument/2006/relationships/settings" Target="settings.xml"/><Relationship Id="rId214" Type="http://schemas.openxmlformats.org/officeDocument/2006/relationships/image" Target="media/image122.png"/><Relationship Id="rId230" Type="http://schemas.openxmlformats.org/officeDocument/2006/relationships/theme" Target="theme/theme1.xml"/><Relationship Id="rId25" Type="http://schemas.openxmlformats.org/officeDocument/2006/relationships/image" Target="media/image18.png"/><Relationship Id="rId46" Type="http://schemas.openxmlformats.org/officeDocument/2006/relationships/image" Target="media/image39.png"/><Relationship Id="rId67" Type="http://schemas.openxmlformats.org/officeDocument/2006/relationships/image" Target="media/image60.png"/><Relationship Id="rId116" Type="http://schemas.openxmlformats.org/officeDocument/2006/relationships/hyperlink" Target="https://ec.europa.eu/eurostat/databrowser/view/yth_empl_060/default/table?lang=en" TargetMode="External"/><Relationship Id="rId137" Type="http://schemas.openxmlformats.org/officeDocument/2006/relationships/image" Target="media/image98.png"/><Relationship Id="rId158" Type="http://schemas.openxmlformats.org/officeDocument/2006/relationships/hyperlink" Target="https://ec.europa.eu/eurostat/databrowser/view/ilc_peps01n/default/table?lang=en" TargetMode="External"/><Relationship Id="rId20" Type="http://schemas.openxmlformats.org/officeDocument/2006/relationships/image" Target="media/image14.jpeg"/><Relationship Id="rId41" Type="http://schemas.openxmlformats.org/officeDocument/2006/relationships/image" Target="media/image34.png"/><Relationship Id="rId62" Type="http://schemas.openxmlformats.org/officeDocument/2006/relationships/image" Target="media/image55.png"/><Relationship Id="rId83" Type="http://schemas.openxmlformats.org/officeDocument/2006/relationships/hyperlink" Target="https://ec.europa.eu/eurostat/databrowser/view/edat_lfse_18/default/table?lang=en" TargetMode="External"/><Relationship Id="rId88" Type="http://schemas.openxmlformats.org/officeDocument/2006/relationships/image" Target="media/image77.png"/><Relationship Id="rId111" Type="http://schemas.openxmlformats.org/officeDocument/2006/relationships/hyperlink" Target="https://ec.europa.eu/eurostat/databrowser/view/yth_empl_010/default/table?lang=en" TargetMode="External"/><Relationship Id="rId132" Type="http://schemas.openxmlformats.org/officeDocument/2006/relationships/hyperlink" Target="https://ec.europa.eu/eurostat/databrowser/view/yth_empl_140/default/table?lang=en" TargetMode="External"/><Relationship Id="rId153" Type="http://schemas.openxmlformats.org/officeDocument/2006/relationships/image" Target="media/image101.png"/><Relationship Id="rId174" Type="http://schemas.openxmlformats.org/officeDocument/2006/relationships/hyperlink" Target="https://ec.europa.eu/eurostat/databrowser/view/ilc_mdsd11/default/table?lang=en" TargetMode="External"/><Relationship Id="rId179" Type="http://schemas.openxmlformats.org/officeDocument/2006/relationships/image" Target="media/image111.png"/><Relationship Id="rId195" Type="http://schemas.openxmlformats.org/officeDocument/2006/relationships/image" Target="media/image115.png"/><Relationship Id="rId209" Type="http://schemas.openxmlformats.org/officeDocument/2006/relationships/hyperlink" Target="https://ec.europa.eu/eurostat/statistics-explained/index.php?title=Education_and_training_in_the_EU_-_facts_and_figures" TargetMode="External"/><Relationship Id="rId190" Type="http://schemas.openxmlformats.org/officeDocument/2006/relationships/hyperlink" Target="https://ec.europa.eu/eurostat/statistics-explained/index.php?title=Statistics_on_young_people_neither_in_employment_nor_in_education_or_training" TargetMode="External"/><Relationship Id="rId204" Type="http://schemas.openxmlformats.org/officeDocument/2006/relationships/image" Target="media/image119.png"/><Relationship Id="rId220" Type="http://schemas.openxmlformats.org/officeDocument/2006/relationships/image" Target="media/image125.png"/><Relationship Id="rId225" Type="http://schemas.openxmlformats.org/officeDocument/2006/relationships/hyperlink" Target="https://ec.europa.eu/eurostat/databrowser/view/edat_lfse_20/default/table?lang=en" TargetMode="External"/><Relationship Id="rId15" Type="http://schemas.openxmlformats.org/officeDocument/2006/relationships/image" Target="media/image11.png"/><Relationship Id="rId36" Type="http://schemas.openxmlformats.org/officeDocument/2006/relationships/image" Target="media/image29.png"/><Relationship Id="rId57" Type="http://schemas.openxmlformats.org/officeDocument/2006/relationships/image" Target="media/image50.png"/><Relationship Id="rId106" Type="http://schemas.openxmlformats.org/officeDocument/2006/relationships/hyperlink" Target="https://ec.europa.eu/eurostat/databrowser/view/yth_empl_010/default/table?lang=en" TargetMode="External"/><Relationship Id="rId127" Type="http://schemas.openxmlformats.org/officeDocument/2006/relationships/image" Target="media/image94.png"/><Relationship Id="rId10" Type="http://schemas.openxmlformats.org/officeDocument/2006/relationships/image" Target="media/image6.jpeg"/><Relationship Id="rId31" Type="http://schemas.openxmlformats.org/officeDocument/2006/relationships/image" Target="media/image24.png"/><Relationship Id="rId52" Type="http://schemas.openxmlformats.org/officeDocument/2006/relationships/image" Target="media/image45.png"/><Relationship Id="rId73" Type="http://schemas.openxmlformats.org/officeDocument/2006/relationships/image" Target="media/image66.png"/><Relationship Id="rId78" Type="http://schemas.openxmlformats.org/officeDocument/2006/relationships/image" Target="media/image71.png"/><Relationship Id="rId94" Type="http://schemas.openxmlformats.org/officeDocument/2006/relationships/image" Target="media/image80.png"/><Relationship Id="rId99" Type="http://schemas.openxmlformats.org/officeDocument/2006/relationships/image" Target="media/image82.png"/><Relationship Id="rId101" Type="http://schemas.openxmlformats.org/officeDocument/2006/relationships/hyperlink" Target="https://ec.europa.eu/eurostat/statistics-explained/index.php?title=File:Employment_rate_for_young_people_aged_25-29_years,_2009_and_2019_(%25)_BYIE20.png" TargetMode="External"/><Relationship Id="rId122" Type="http://schemas.openxmlformats.org/officeDocument/2006/relationships/hyperlink" Target="https://ec.europa.eu/eurostat/databrowser/view/yth_empl_060/default/table?lang=en" TargetMode="External"/><Relationship Id="rId143" Type="http://schemas.openxmlformats.org/officeDocument/2006/relationships/hyperlink" Target="https://ec.europa.eu/eurostat/statistics-explained/index.php?title=File:EU-SOCIAL-INCLUSION.jpg" TargetMode="External"/><Relationship Id="rId148" Type="http://schemas.openxmlformats.org/officeDocument/2006/relationships/hyperlink" Target="https://ec.europa.eu/eurostat/statistics-explained/index.php?title=Glossary:At_risk_of_poverty_or_social_exclusion_(AROPE)" TargetMode="External"/><Relationship Id="rId164" Type="http://schemas.openxmlformats.org/officeDocument/2006/relationships/hyperlink" Target="https://ec.europa.eu/eurostat/databrowser/view/ilc_li02/default/table?lang=en" TargetMode="External"/><Relationship Id="rId169" Type="http://schemas.openxmlformats.org/officeDocument/2006/relationships/hyperlink" Target="https://ec.europa.eu/eurostat/databrowser/view/yth_incl_060/default/table?lang=en" TargetMode="External"/><Relationship Id="rId185" Type="http://schemas.openxmlformats.org/officeDocument/2006/relationships/image" Target="media/image114.png"/><Relationship Id="rId4" Type="http://schemas.openxmlformats.org/officeDocument/2006/relationships/webSettings" Target="webSettings.xml"/><Relationship Id="rId9" Type="http://schemas.openxmlformats.org/officeDocument/2006/relationships/image" Target="media/image5.png"/><Relationship Id="rId180" Type="http://schemas.openxmlformats.org/officeDocument/2006/relationships/hyperlink" Target="https://ec.europa.eu/eurostat/databrowser/view/ilc_lvhl11n/default/table?lang=en" TargetMode="External"/><Relationship Id="rId210" Type="http://schemas.openxmlformats.org/officeDocument/2006/relationships/hyperlink" Target="https://ec.europa.eu/eurostat/statistics-explained/index.php?title=Glossary:Education" TargetMode="External"/><Relationship Id="rId215" Type="http://schemas.openxmlformats.org/officeDocument/2006/relationships/hyperlink" Target="https://ec.europa.eu/eurostat/databrowser/view/edat_lfse_18/default/table?lang=en" TargetMode="External"/><Relationship Id="rId26" Type="http://schemas.openxmlformats.org/officeDocument/2006/relationships/image" Target="media/image19.jpeg"/><Relationship Id="rId231" Type="http://schemas.microsoft.com/office/2007/relationships/stylesWithEffects" Target="stylesWithEffects.xml"/><Relationship Id="rId47" Type="http://schemas.openxmlformats.org/officeDocument/2006/relationships/image" Target="media/image40.png"/><Relationship Id="rId68" Type="http://schemas.openxmlformats.org/officeDocument/2006/relationships/image" Target="media/image61.png"/><Relationship Id="rId89" Type="http://schemas.openxmlformats.org/officeDocument/2006/relationships/hyperlink" Target="https://ec.europa.eu/eurostat/databrowser/view/yth_empl_150/default/table?lang=en" TargetMode="External"/><Relationship Id="rId112" Type="http://schemas.openxmlformats.org/officeDocument/2006/relationships/hyperlink" Target="https://ec.europa.eu/eurostat/statistics-explained/index.php?title=File:Young_employees_who_had_a_temporary_contract,_by_age,_2019_(%25)_BYIE20.png" TargetMode="External"/><Relationship Id="rId133" Type="http://schemas.openxmlformats.org/officeDocument/2006/relationships/image" Target="media/image96.png"/><Relationship Id="rId154" Type="http://schemas.openxmlformats.org/officeDocument/2006/relationships/hyperlink" Target="https://ec.europa.eu/eurostat/databrowser/view/ilc_lvps08/default/table?lang=en" TargetMode="External"/><Relationship Id="rId175" Type="http://schemas.openxmlformats.org/officeDocument/2006/relationships/hyperlink" Target="https://ec.europa.eu/eurostat/statistics-explained/index.php?title=File:Severe_material_and_social_deprivation_rate,_2020_(%25)_update_T3.png" TargetMode="External"/><Relationship Id="rId196" Type="http://schemas.openxmlformats.org/officeDocument/2006/relationships/hyperlink" Target="https://ec.europa.eu/eurostat/databrowser/view/edat_lfse_24/default/table?lang=en" TargetMode="External"/><Relationship Id="rId200" Type="http://schemas.openxmlformats.org/officeDocument/2006/relationships/hyperlink" Target="https://ec.europa.eu/eurostat/databrowser/view/edat_lfse_24/default/table?lang=en" TargetMode="External"/><Relationship Id="rId16" Type="http://schemas.openxmlformats.org/officeDocument/2006/relationships/image" Target="media/image12.jpeg"/><Relationship Id="rId221" Type="http://schemas.openxmlformats.org/officeDocument/2006/relationships/hyperlink" Target="https://ec.europa.eu/eurostat/databrowser/view/edat_lfse_20/default/table?lang=en" TargetMode="External"/><Relationship Id="rId37" Type="http://schemas.openxmlformats.org/officeDocument/2006/relationships/image" Target="media/image30.png"/><Relationship Id="rId58" Type="http://schemas.openxmlformats.org/officeDocument/2006/relationships/image" Target="media/image51.png"/><Relationship Id="rId79" Type="http://schemas.openxmlformats.org/officeDocument/2006/relationships/image" Target="media/image72.png"/><Relationship Id="rId102" Type="http://schemas.openxmlformats.org/officeDocument/2006/relationships/image" Target="media/image83.png"/><Relationship Id="rId123" Type="http://schemas.openxmlformats.org/officeDocument/2006/relationships/image" Target="media/image92.png"/><Relationship Id="rId144" Type="http://schemas.openxmlformats.org/officeDocument/2006/relationships/image" Target="media/image100.jpeg"/><Relationship Id="rId90" Type="http://schemas.openxmlformats.org/officeDocument/2006/relationships/image" Target="media/image78.png"/><Relationship Id="rId165" Type="http://schemas.openxmlformats.org/officeDocument/2006/relationships/hyperlink" Target="https://ec.europa.eu/eurostat/statistics-explained/index.php?title=File:Share_of_young_people_at_risk_of_poverty,_by_age,_2020_(%25)_update_T2.png" TargetMode="External"/><Relationship Id="rId186" Type="http://schemas.openxmlformats.org/officeDocument/2006/relationships/hyperlink" Target="https://ec.europa.eu/eurostat/statistics-explained/index.php?title=Glossary:Employment_rate" TargetMode="External"/><Relationship Id="rId211" Type="http://schemas.openxmlformats.org/officeDocument/2006/relationships/hyperlink" Target="https://op.europa.eu/webpub/empl/european-pillar-of-social-rights/en/" TargetMode="Externa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143</Pages>
  <Words>49155</Words>
  <Characters>280188</Characters>
  <Application>Microsoft Office Word</Application>
  <DocSecurity>0</DocSecurity>
  <Lines>2334</Lines>
  <Paragraphs>657</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328686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Ricardo Lomoro</dc:creator>
  <cp:lastModifiedBy>Santiago</cp:lastModifiedBy>
  <cp:revision>3</cp:revision>
  <dcterms:created xsi:type="dcterms:W3CDTF">2022-09-03T11:31:00Z</dcterms:created>
  <dcterms:modified xsi:type="dcterms:W3CDTF">2023-02-14T10:07:00Z</dcterms:modified>
</cp:coreProperties>
</file>