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428" w:rsidRPr="00DC5CDB" w:rsidRDefault="00772428" w:rsidP="00772428">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xml:space="preserve">Paper - Los límites del librecambio: “oíd el ruido de rotas cadenas”… (Contestando a Daniel Gros - </w:t>
      </w:r>
      <w:r w:rsidRPr="002724DE">
        <w:rPr>
          <w:rFonts w:ascii="Times New Roman" w:hAnsi="Times New Roman" w:cs="Times New Roman"/>
          <w:b/>
          <w:sz w:val="24"/>
          <w:szCs w:val="24"/>
        </w:rPr>
        <w:t>Centro de Estudios Políticos Europeos</w:t>
      </w:r>
      <w:r>
        <w:rPr>
          <w:rFonts w:ascii="Times New Roman" w:hAnsi="Times New Roman" w:cs="Times New Roman"/>
          <w:b/>
          <w:sz w:val="24"/>
          <w:szCs w:val="24"/>
        </w:rPr>
        <w:t xml:space="preserve">) </w:t>
      </w:r>
    </w:p>
    <w:p w:rsidR="00EC0FEC" w:rsidRDefault="00772428">
      <w:r w:rsidRPr="00772428">
        <w:rPr>
          <w:noProof/>
          <w:lang w:val="en-GB" w:eastAsia="zh-CN"/>
        </w:rPr>
        <w:drawing>
          <wp:inline distT="0" distB="0" distL="0" distR="0">
            <wp:extent cx="5731510" cy="2964342"/>
            <wp:effectExtent l="0" t="0" r="254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2964342"/>
                    </a:xfrm>
                    <a:prstGeom prst="rect">
                      <a:avLst/>
                    </a:prstGeom>
                  </pic:spPr>
                </pic:pic>
              </a:graphicData>
            </a:graphic>
          </wp:inline>
        </w:drawing>
      </w:r>
    </w:p>
    <w:p w:rsidR="00772428" w:rsidRPr="00EF5998" w:rsidRDefault="00772428" w:rsidP="00772428">
      <w:pPr>
        <w:spacing w:line="240" w:lineRule="auto"/>
        <w:jc w:val="both"/>
        <w:rPr>
          <w:rFonts w:ascii="Times New Roman" w:hAnsi="Times New Roman" w:cs="Times New Roman"/>
          <w:b/>
          <w:sz w:val="24"/>
          <w:szCs w:val="24"/>
        </w:rPr>
      </w:pPr>
      <w:r w:rsidRPr="00EF5998">
        <w:rPr>
          <w:rFonts w:ascii="Times New Roman" w:hAnsi="Times New Roman" w:cs="Times New Roman"/>
          <w:b/>
          <w:sz w:val="24"/>
          <w:szCs w:val="24"/>
        </w:rPr>
        <w:t xml:space="preserve">- Introducción: </w:t>
      </w:r>
      <w:r>
        <w:rPr>
          <w:rFonts w:ascii="Times New Roman" w:hAnsi="Times New Roman" w:cs="Times New Roman"/>
          <w:b/>
          <w:sz w:val="24"/>
          <w:szCs w:val="24"/>
        </w:rPr>
        <w:t>El motivo (“c</w:t>
      </w:r>
      <w:r w:rsidRPr="00EF5998">
        <w:rPr>
          <w:rFonts w:ascii="Times New Roman" w:hAnsi="Times New Roman" w:cs="Times New Roman"/>
          <w:b/>
          <w:sz w:val="24"/>
          <w:szCs w:val="24"/>
        </w:rPr>
        <w:t>on amigos así, no hacen falta enemigos”</w:t>
      </w:r>
      <w:r>
        <w:rPr>
          <w:rFonts w:ascii="Times New Roman" w:hAnsi="Times New Roman" w:cs="Times New Roman"/>
          <w:b/>
          <w:sz w:val="24"/>
          <w:szCs w:val="24"/>
        </w:rPr>
        <w:t>)</w:t>
      </w:r>
    </w:p>
    <w:p w:rsidR="00772428" w:rsidRPr="008117D1"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4869">
        <w:rPr>
          <w:rFonts w:ascii="Times New Roman" w:hAnsi="Times New Roman" w:cs="Times New Roman"/>
          <w:sz w:val="24"/>
          <w:szCs w:val="24"/>
          <w:u w:val="single"/>
        </w:rPr>
        <w:t>El giro de EEUU hacia el comercio interior</w:t>
      </w:r>
      <w:r>
        <w:rPr>
          <w:rFonts w:ascii="Times New Roman" w:hAnsi="Times New Roman" w:cs="Times New Roman"/>
          <w:sz w:val="24"/>
          <w:szCs w:val="24"/>
        </w:rPr>
        <w:t xml:space="preserve"> (El Economista - </w:t>
      </w:r>
      <w:r w:rsidRPr="008117D1">
        <w:rPr>
          <w:rFonts w:ascii="Times New Roman" w:hAnsi="Times New Roman" w:cs="Times New Roman"/>
          <w:b/>
          <w:sz w:val="24"/>
          <w:szCs w:val="24"/>
        </w:rPr>
        <w:t>15/12/22</w:t>
      </w:r>
      <w:r>
        <w:rPr>
          <w:rFonts w:ascii="Times New Roman" w:hAnsi="Times New Roman" w:cs="Times New Roman"/>
          <w:sz w:val="24"/>
          <w:szCs w:val="24"/>
        </w:rPr>
        <w:t>)</w:t>
      </w:r>
    </w:p>
    <w:p w:rsidR="00772428" w:rsidRPr="008117D1"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117D1">
        <w:rPr>
          <w:rFonts w:ascii="Times New Roman" w:hAnsi="Times New Roman" w:cs="Times New Roman"/>
          <w:sz w:val="24"/>
          <w:szCs w:val="24"/>
        </w:rPr>
        <w:t>Daniel Gros</w:t>
      </w:r>
      <w:r>
        <w:rPr>
          <w:rFonts w:ascii="Times New Roman" w:hAnsi="Times New Roman" w:cs="Times New Roman"/>
          <w:sz w:val="24"/>
          <w:szCs w:val="24"/>
        </w:rPr>
        <w:t>)</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Dado que la Ley de Inflation Reduction Act promete la mayor inversión en la lucha contra el cambio climático jamás realizada por Estados Unidos, cabría esperar que la Unión Europea la acogiera con satisfacción. Pero, aunque los líderes de la UE aplauden sin duda el compromiso reforzado de Estados Unidos con la transición ecológica, tienen importantes -y l</w:t>
      </w:r>
      <w:r>
        <w:rPr>
          <w:rFonts w:ascii="Times New Roman" w:hAnsi="Times New Roman" w:cs="Times New Roman"/>
          <w:sz w:val="24"/>
          <w:szCs w:val="24"/>
        </w:rPr>
        <w:t>egítimos- recelos sobre la IRA.</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La IRA compromete 385.000 millones de dólares para subvenciones verdes -sobrefinanciados con 750.000 millones de dólares de subidas de impuestos y ahorros de ingresos- durante la próxima década. Aunque esta</w:t>
      </w:r>
      <w:r>
        <w:rPr>
          <w:rFonts w:ascii="Times New Roman" w:hAnsi="Times New Roman" w:cs="Times New Roman"/>
          <w:sz w:val="24"/>
          <w:szCs w:val="24"/>
        </w:rPr>
        <w:t xml:space="preserve"> cifra es significativa para EEUU</w:t>
      </w:r>
      <w:r w:rsidRPr="008117D1">
        <w:rPr>
          <w:rFonts w:ascii="Times New Roman" w:hAnsi="Times New Roman" w:cs="Times New Roman"/>
          <w:sz w:val="24"/>
          <w:szCs w:val="24"/>
        </w:rPr>
        <w:t xml:space="preserve">, el total anual -menos de 40.000 millones de dólares- es menos de la mitad de lo que gastan los países de la UE sólo en energías renovables (80.000 millones de euros, u 84.500 millones de dólares, en 2021), lo que equivale aproximadamente al 0,5% del PIB de la UE, </w:t>
      </w:r>
      <w:r>
        <w:rPr>
          <w:rFonts w:ascii="Times New Roman" w:hAnsi="Times New Roman" w:cs="Times New Roman"/>
          <w:sz w:val="24"/>
          <w:szCs w:val="24"/>
        </w:rPr>
        <w:t>frente al 0,2% previsto para EE</w:t>
      </w:r>
      <w:r w:rsidRPr="008117D1">
        <w:rPr>
          <w:rFonts w:ascii="Times New Roman" w:hAnsi="Times New Roman" w:cs="Times New Roman"/>
          <w:sz w:val="24"/>
          <w:szCs w:val="24"/>
        </w:rPr>
        <w:t>UU.</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 xml:space="preserve">Pero la magnitud del gasto no es la principal preocupación de la UE respecto a la IRA. </w:t>
      </w:r>
      <w:r>
        <w:rPr>
          <w:rFonts w:ascii="Times New Roman" w:hAnsi="Times New Roman" w:cs="Times New Roman"/>
          <w:sz w:val="24"/>
          <w:szCs w:val="24"/>
        </w:rPr>
        <w:t>El verdadero problema es que EEUU</w:t>
      </w:r>
      <w:r w:rsidRPr="008117D1">
        <w:rPr>
          <w:rFonts w:ascii="Times New Roman" w:hAnsi="Times New Roman" w:cs="Times New Roman"/>
          <w:sz w:val="24"/>
          <w:szCs w:val="24"/>
        </w:rPr>
        <w:t xml:space="preserve"> se está convirtiendo en la primera gran economía que vincula explícitamente las subvenciones a las energías renovables a requisitos de contenido local que son claramente incompatibles con las normas de la Organización Mundial del Comercio que prohíben discriminar los productos en función de su país de origen. Los dirigentes de la UE temen que las disposiciones del IRA sobre contenido nacional obstaculicen la industria europea.</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 xml:space="preserve">La IRA contiene una gran variedad de disposiciones, pero los recelos europeos se centran sobre todo en una relativamente pequeña: el llamado crédito para vehículos limpios. Los consumidores estadounidenses que compren vehículos eléctricos nuevos pueden optar a un </w:t>
      </w:r>
      <w:r w:rsidRPr="008117D1">
        <w:rPr>
          <w:rFonts w:ascii="Times New Roman" w:hAnsi="Times New Roman" w:cs="Times New Roman"/>
          <w:sz w:val="24"/>
          <w:szCs w:val="24"/>
        </w:rPr>
        <w:lastRenderedPageBreak/>
        <w:t>crédito fiscal de hasta 7.500 dólares, para el que la IRA presupuesta 50.000 millones de d</w:t>
      </w:r>
      <w:r>
        <w:rPr>
          <w:rFonts w:ascii="Times New Roman" w:hAnsi="Times New Roman" w:cs="Times New Roman"/>
          <w:sz w:val="24"/>
          <w:szCs w:val="24"/>
        </w:rPr>
        <w:t>ólares a lo largo de diez años.</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Lo que irrita a los europeos -y a otros países productores de automóviles, como Corea del Sur- es que el crédito sólo se aplica a los coches ensamblados en Norteamérica (incluidos Canadá o México). Para un coche de 50.000 dólares, negar una subvención de 7.500 equivale a aplicar un impuesto del 15% a las importac</w:t>
      </w:r>
      <w:r>
        <w:rPr>
          <w:rFonts w:ascii="Times New Roman" w:hAnsi="Times New Roman" w:cs="Times New Roman"/>
          <w:sz w:val="24"/>
          <w:szCs w:val="24"/>
        </w:rPr>
        <w:t>iones de fuera de Norteamérica.</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Pero la UE debería abstenerse de quejarse demasiado del crédito a los vehículos limpios de la IRA. Al fin y al cabo, impone un arancel del 10% a todos los coches importados (pero sólo del 2,7% a las baterías). Las demás condiciones de la IRA -como que la batería del coche no contenga ele</w:t>
      </w:r>
      <w:r>
        <w:rPr>
          <w:rFonts w:ascii="Times New Roman" w:hAnsi="Times New Roman" w:cs="Times New Roman"/>
          <w:sz w:val="24"/>
          <w:szCs w:val="24"/>
        </w:rPr>
        <w:t>mentos críticos procedentes de “</w:t>
      </w:r>
      <w:r w:rsidRPr="008117D1">
        <w:rPr>
          <w:rFonts w:ascii="Times New Roman" w:hAnsi="Times New Roman" w:cs="Times New Roman"/>
          <w:sz w:val="24"/>
          <w:szCs w:val="24"/>
        </w:rPr>
        <w:t>entidades preocu</w:t>
      </w:r>
      <w:r>
        <w:rPr>
          <w:rFonts w:ascii="Times New Roman" w:hAnsi="Times New Roman" w:cs="Times New Roman"/>
          <w:sz w:val="24"/>
          <w:szCs w:val="24"/>
        </w:rPr>
        <w:t>pantes”</w:t>
      </w:r>
      <w:r w:rsidRPr="008117D1">
        <w:rPr>
          <w:rFonts w:ascii="Times New Roman" w:hAnsi="Times New Roman" w:cs="Times New Roman"/>
          <w:sz w:val="24"/>
          <w:szCs w:val="24"/>
        </w:rPr>
        <w:t xml:space="preserve"> extranjeras- no preocupa</w:t>
      </w:r>
      <w:r>
        <w:rPr>
          <w:rFonts w:ascii="Times New Roman" w:hAnsi="Times New Roman" w:cs="Times New Roman"/>
          <w:sz w:val="24"/>
          <w:szCs w:val="24"/>
        </w:rPr>
        <w:t>n demasiado a los aliados de EEUU</w:t>
      </w:r>
      <w:r w:rsidRPr="008117D1">
        <w:rPr>
          <w:rFonts w:ascii="Times New Roman" w:hAnsi="Times New Roman" w:cs="Times New Roman"/>
          <w:sz w:val="24"/>
          <w:szCs w:val="24"/>
        </w:rPr>
        <w:t>, ya que estas disposiciones</w:t>
      </w:r>
      <w:r>
        <w:rPr>
          <w:rFonts w:ascii="Times New Roman" w:hAnsi="Times New Roman" w:cs="Times New Roman"/>
          <w:sz w:val="24"/>
          <w:szCs w:val="24"/>
        </w:rPr>
        <w:t xml:space="preserve"> apuntan efectivamente a China.</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En cualquier caso, las subvenciones cuantitativamente más importantes contenidas en la IRA son las destinadas al sector de las energías renovables, con un gasto de 250.000 millones de dólares. Los inversores en nuevas instalaciones pueden obtener una subvención por valor del 30% de la inversión total, o 0,03 dólares por kilovatio-hora producido. Aunque tres céntimos por kWh puedan parecer poco, representan casi el 40% del precio medio al por mayor de la energía eléctrica e</w:t>
      </w:r>
      <w:r>
        <w:rPr>
          <w:rFonts w:ascii="Times New Roman" w:hAnsi="Times New Roman" w:cs="Times New Roman"/>
          <w:sz w:val="24"/>
          <w:szCs w:val="24"/>
        </w:rPr>
        <w:t>n Estados Unidos: 7,8 céntimos.</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Pero hay beneficios adicionales disponibles sólo en condiciones de contenido local. Si todo el acero o el hierro, y al menos el 40% de los productos manufacturados, utilizados en una nueva instalación se produjeran en Estados Unidos, las subvenciones aumentan hasta el 40% de la inversión total o 3,3 céntimos por kWh. Esto equivale a imponer un arancel de importación del 25%, ya que los productos nacionales pueden ser mucho más caros que los importados sin que el inversor sufra una desventaja de costes.</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Es tan improbable que los aranceles implícitos en la IRA generen n</w:t>
      </w:r>
      <w:r>
        <w:rPr>
          <w:rFonts w:ascii="Times New Roman" w:hAnsi="Times New Roman" w:cs="Times New Roman"/>
          <w:sz w:val="24"/>
          <w:szCs w:val="24"/>
        </w:rPr>
        <w:t>ueva fabricación avanzada en EEUU</w:t>
      </w:r>
      <w:r w:rsidRPr="008117D1">
        <w:rPr>
          <w:rFonts w:ascii="Times New Roman" w:hAnsi="Times New Roman" w:cs="Times New Roman"/>
          <w:sz w:val="24"/>
          <w:szCs w:val="24"/>
        </w:rPr>
        <w:t xml:space="preserve"> como los explícitos, de aproximada</w:t>
      </w:r>
      <w:r>
        <w:rPr>
          <w:rFonts w:ascii="Times New Roman" w:hAnsi="Times New Roman" w:cs="Times New Roman"/>
          <w:sz w:val="24"/>
          <w:szCs w:val="24"/>
        </w:rPr>
        <w:t>mente la misma cuantía, que EEUU</w:t>
      </w:r>
      <w:r w:rsidRPr="008117D1">
        <w:rPr>
          <w:rFonts w:ascii="Times New Roman" w:hAnsi="Times New Roman" w:cs="Times New Roman"/>
          <w:sz w:val="24"/>
          <w:szCs w:val="24"/>
        </w:rPr>
        <w:t xml:space="preserve"> impuso anteriormente a las importaciones de acero y productos chinos. Como las turbinas eólicas y los paneles fotovoltaicos son tecnologías maduras, no cabe esperar ninguna ventaja duradera por ser el primero. Europa lo aprendió por las malas, cuando su industria autóctona de paneles solares -producto de generosas subvenciones hace una década- no pudo competir en costes con las empresas asiát</w:t>
      </w:r>
      <w:r>
        <w:rPr>
          <w:rFonts w:ascii="Times New Roman" w:hAnsi="Times New Roman" w:cs="Times New Roman"/>
          <w:sz w:val="24"/>
          <w:szCs w:val="24"/>
        </w:rPr>
        <w:t>icas, especialmente las chinas.</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Es probable que ocurra algo parecido en Estados Unidos. Una industria cuyo desarrollo se ve favorecido por la protección frente a la competencia extranjera tiene pocas probabilidades de llegar a ser competitiva. El bajo porcentaje de insumos nacionales estadounidenses necesarios para poder optar a la subvención adicional demuestra que incluso los partidarios de la IRA esperan que la inversión en renovables esté dominada por las importaciones. Además, cualesquiera que sean los recursos que se utilicen para suministrar piezas a la industria estadounidense de energías renovables, son recursos que no pueden utilizarse en otro lugar. Por tanto, es poco probable que el IRA consiga revitalizar el secto</w:t>
      </w:r>
      <w:r>
        <w:rPr>
          <w:rFonts w:ascii="Times New Roman" w:hAnsi="Times New Roman" w:cs="Times New Roman"/>
          <w:sz w:val="24"/>
          <w:szCs w:val="24"/>
        </w:rPr>
        <w:t>r manufacturero estadounidense.</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Es posible incluso que Estados Unidos no pueda financiar todas las subvenciones que promete el IRA. Un estudio estima que la inversión en energías renovables (principalmente solar y eólica) crecerá hasta los 180.000 millones de dólares en 2024 y alcanzará los 380.000 millones en 2032, cuando expiren las disposiciones de la IRA. Es decir, una inversión total de más de 5 billones d</w:t>
      </w:r>
      <w:r>
        <w:rPr>
          <w:rFonts w:ascii="Times New Roman" w:hAnsi="Times New Roman" w:cs="Times New Roman"/>
          <w:sz w:val="24"/>
          <w:szCs w:val="24"/>
        </w:rPr>
        <w:t>e dólares en la próxima década.</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lastRenderedPageBreak/>
        <w:t xml:space="preserve">Pero los 250.000 millones de dólares que la IRA prevé para las renovables bastarían para cubrir una subvención del 40% sobre menos de 700.000 millones en inversiones. Así pues, es probable que Estados Unidos siga los pasos de Europa y que el Gobierno reduzca las subvenciones cuando los </w:t>
      </w:r>
      <w:r>
        <w:rPr>
          <w:rFonts w:ascii="Times New Roman" w:hAnsi="Times New Roman" w:cs="Times New Roman"/>
          <w:sz w:val="24"/>
          <w:szCs w:val="24"/>
        </w:rPr>
        <w:t>costes sean demasiado elevados.</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 xml:space="preserve">En definitiva, la IRA ofrece generosos incentivos a las energías renovables y una importante protección a los insumos nacionales. Pero a los socios europeos y de otros países les convendría moderar sus críticas a las subvenciones injustas a los fabricantes de automóviles norteamericanos y centrarse en las oportunidades que ofrece un mercado de 5 billones de dólares para la inversión en energías renovables. Al fin y al cabo, la mayoría de esas oportunidades seguirán abiertas </w:t>
      </w:r>
      <w:r>
        <w:rPr>
          <w:rFonts w:ascii="Times New Roman" w:hAnsi="Times New Roman" w:cs="Times New Roman"/>
          <w:sz w:val="24"/>
          <w:szCs w:val="24"/>
        </w:rPr>
        <w:t>a la competencia extranjera.</w:t>
      </w:r>
    </w:p>
    <w:p w:rsidR="00772428" w:rsidRPr="008117D1"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 xml:space="preserve">Los líderes estadounidenses, sin embargo, deberían analizar más críticamente su planteamiento. La protección de los intereses de la fabricación nacional implicará costes más elevados, lo que podría ralentizar la transición ecológica. También podría tener importantes repercusiones políticas. Al desobedecer las normas de la OMC -que Estados Unidos, </w:t>
      </w:r>
      <w:r>
        <w:rPr>
          <w:rFonts w:ascii="Times New Roman" w:hAnsi="Times New Roman" w:cs="Times New Roman"/>
          <w:sz w:val="24"/>
          <w:szCs w:val="24"/>
        </w:rPr>
        <w:t>en su papel de “hegemón benévolo”</w:t>
      </w:r>
      <w:r w:rsidRPr="008117D1">
        <w:rPr>
          <w:rFonts w:ascii="Times New Roman" w:hAnsi="Times New Roman" w:cs="Times New Roman"/>
          <w:sz w:val="24"/>
          <w:szCs w:val="24"/>
        </w:rPr>
        <w:t>, ayudó a redactar- el IRA podría ser el último clavo en el ataúd del liderazgo económico mundial es</w:t>
      </w:r>
      <w:r>
        <w:rPr>
          <w:rFonts w:ascii="Times New Roman" w:hAnsi="Times New Roman" w:cs="Times New Roman"/>
          <w:sz w:val="24"/>
          <w:szCs w:val="24"/>
        </w:rPr>
        <w:t>tadounidense.</w:t>
      </w:r>
    </w:p>
    <w:p w:rsidR="00772428" w:rsidRDefault="00772428" w:rsidP="00772428">
      <w:pPr>
        <w:spacing w:line="240" w:lineRule="auto"/>
        <w:jc w:val="both"/>
        <w:rPr>
          <w:rFonts w:ascii="Times New Roman" w:hAnsi="Times New Roman" w:cs="Times New Roman"/>
          <w:sz w:val="24"/>
          <w:szCs w:val="24"/>
        </w:rPr>
      </w:pPr>
      <w:r w:rsidRPr="008117D1">
        <w:rPr>
          <w:rFonts w:ascii="Times New Roman" w:hAnsi="Times New Roman" w:cs="Times New Roman"/>
          <w:sz w:val="24"/>
          <w:szCs w:val="24"/>
        </w:rPr>
        <w:t>Por eso Europa no debería seguir el ejemplo de Estados Unidos. Para los países de todo el mundo, China, cuyo sistema económico le permite combinar la adhesión formal a las normas con un laberinto de subvenciones indirectas y otros mecanismos para favorecer a las empresas nacionales, no es una alternativa creíble a EEUU en cuestiones comerciales. Pero la UE sí lo es. Europa debería defender la OMC, no para promover su propia industria, sino para reafirmar la no discriminación en el comercio mundial.</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117D1">
        <w:rPr>
          <w:rFonts w:ascii="Times New Roman" w:hAnsi="Times New Roman" w:cs="Times New Roman"/>
          <w:sz w:val="24"/>
          <w:szCs w:val="24"/>
          <w:shd w:val="clear" w:color="auto" w:fill="FFFFFF"/>
        </w:rPr>
        <w:t>Miembro de la junta directiva y miembro distinguido del Centro de Estudios Políticos Europeos</w:t>
      </w:r>
      <w:r>
        <w:rPr>
          <w:rFonts w:ascii="Times New Roman" w:hAnsi="Times New Roman" w:cs="Times New Roman"/>
          <w:sz w:val="24"/>
          <w:szCs w:val="24"/>
          <w:shd w:val="clear" w:color="auto" w:fill="FFFFFF"/>
        </w:rPr>
        <w:t>)</w:t>
      </w:r>
    </w:p>
    <w:p w:rsidR="00772428" w:rsidRPr="00EF5998" w:rsidRDefault="00772428" w:rsidP="00772428">
      <w:pPr>
        <w:spacing w:line="240" w:lineRule="auto"/>
        <w:jc w:val="both"/>
        <w:rPr>
          <w:rFonts w:ascii="Times New Roman" w:hAnsi="Times New Roman" w:cs="Times New Roman"/>
          <w:b/>
          <w:sz w:val="24"/>
          <w:szCs w:val="24"/>
          <w:shd w:val="clear" w:color="auto" w:fill="FFFFFF"/>
        </w:rPr>
      </w:pPr>
      <w:r w:rsidRPr="00EF5998">
        <w:rPr>
          <w:rFonts w:ascii="Times New Roman" w:hAnsi="Times New Roman" w:cs="Times New Roman"/>
          <w:b/>
          <w:sz w:val="24"/>
          <w:szCs w:val="24"/>
          <w:shd w:val="clear" w:color="auto" w:fill="FFFFFF"/>
        </w:rPr>
        <w:t>¿Esto también lo facilita el “librecambio”, o apenas es una “externalidad negativa”?</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A67081">
        <w:rPr>
          <w:rFonts w:ascii="Times New Roman" w:hAnsi="Times New Roman" w:cs="Times New Roman"/>
          <w:sz w:val="24"/>
          <w:szCs w:val="24"/>
          <w:u w:val="single"/>
          <w:shd w:val="clear" w:color="auto" w:fill="FFFFFF"/>
        </w:rPr>
        <w:t xml:space="preserve">Así se infiltró el cártel de cocaína de los Balcanes en los barcos de la mayor naviera del mundo </w:t>
      </w:r>
      <w:r>
        <w:rPr>
          <w:rFonts w:ascii="Times New Roman" w:hAnsi="Times New Roman" w:cs="Times New Roman"/>
          <w:sz w:val="24"/>
          <w:szCs w:val="24"/>
          <w:shd w:val="clear" w:color="auto" w:fill="FFFFFF"/>
        </w:rPr>
        <w:t xml:space="preserve">(El Economista - </w:t>
      </w:r>
      <w:r w:rsidRPr="00A67081">
        <w:rPr>
          <w:rFonts w:ascii="Times New Roman" w:hAnsi="Times New Roman" w:cs="Times New Roman"/>
          <w:b/>
          <w:sz w:val="24"/>
          <w:szCs w:val="24"/>
          <w:shd w:val="clear" w:color="auto" w:fill="FFFFFF"/>
        </w:rPr>
        <w:t>17/12/22</w:t>
      </w:r>
      <w:r>
        <w:rPr>
          <w:rFonts w:ascii="Times New Roman" w:hAnsi="Times New Roman" w:cs="Times New Roman"/>
          <w:sz w:val="24"/>
          <w:szCs w:val="24"/>
          <w:shd w:val="clear" w:color="auto" w:fill="FFFFFF"/>
        </w:rPr>
        <w:t>)</w:t>
      </w:r>
    </w:p>
    <w:p w:rsidR="00772428" w:rsidRDefault="00772428">
      <w:r w:rsidRPr="00772428">
        <w:rPr>
          <w:noProof/>
          <w:lang w:val="en-GB" w:eastAsia="zh-CN"/>
        </w:rPr>
        <w:drawing>
          <wp:inline distT="0" distB="0" distL="0" distR="0">
            <wp:extent cx="5731510" cy="2377107"/>
            <wp:effectExtent l="0" t="0" r="254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377107"/>
                    </a:xfrm>
                    <a:prstGeom prst="rect">
                      <a:avLst/>
                    </a:prstGeom>
                  </pic:spPr>
                </pic:pic>
              </a:graphicData>
            </a:graphic>
          </wp:inline>
        </w:drawing>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 xml:space="preserve">La Mediterranean Shipping Company, más conocida como MSC, es la naviera más grande del mundo con una flota que representa casi 20% de todo el comercio marítimo de contenedores. Es una de las pocas empresas del sector importantes que no cotiza en bolsa y, aunque publica los estados financieros de su línea de cruceros, no hace lo mismo con su </w:t>
      </w:r>
      <w:r w:rsidRPr="00A67081">
        <w:rPr>
          <w:rFonts w:ascii="Times New Roman" w:hAnsi="Times New Roman" w:cs="Times New Roman"/>
          <w:sz w:val="24"/>
          <w:szCs w:val="24"/>
          <w:shd w:val="clear" w:color="auto" w:fill="FFFFFF"/>
        </w:rPr>
        <w:lastRenderedPageBreak/>
        <w:t xml:space="preserve">negocio de carga. Además, es el principal empleador de marineros de Montenegro con cerca de 2.250 tripulantes de los 6.000 que hay en ese país. Una combinación de factores aparentemente inofensiva que, sin embargo, terminó saliéndole muy cara a la compañía, pues fue la que hizo que el cártel de contrabando de cocaína de los Balcanes decidiera infiltrarse en ella para llevar a cabo sus actividades delictivas. Esta </w:t>
      </w:r>
      <w:r>
        <w:rPr>
          <w:rFonts w:ascii="Times New Roman" w:hAnsi="Times New Roman" w:cs="Times New Roman"/>
          <w:sz w:val="24"/>
          <w:szCs w:val="24"/>
          <w:shd w:val="clear" w:color="auto" w:fill="FFFFFF"/>
        </w:rPr>
        <w:t>es la historia de cómo sucedió.</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El origen de este cártel se remonta al conflicto bélico que estalló en esa región en la década de 1990. En un principio, nacieron como grupos militares privados, compuestos por ex policías y ex agentes de inteligencia a los que les unía una lengua común, el serbocroata. Cuando acabó la guerra, muchos de ellos se enfocaron entonces en el tráfico de armas, el robo de vehículos, el blanqueo de dinero y el contrabando de cocaína, de donde las autoridades estadounidenses creen que proceden casi todos los ingresos de esta organización criminal.</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Para mover la droga, el cártel puso en marcha una red logística que se extendía a lo largo y ancho del océano Atlántico, con asociaciones con los productores locales de cocaína en América Latina y una red de distribución mayorista en Europa. Al principio, también adquirieron sus propios barcos para trasladar la mercancía, pero pronto vieron que era mejor introducir marineros corruptos en los portacontenedores de las grandes navieras, entre ellas MSC. Para ello, recurrieron a una agencia de contratación de tripulantes de la región de los Balcanes, conocidos por su tradición marítima y su formación en el oficio. El cártel operó así durante bastante tiempo, hasta que en 2016 la compañía supo de la existencia de esta red gracias a una investigación de la Europol.</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No obstante, esto no supuso más que un pequeño contratiempo. Ese mismo año, se completó la ampliación del Canal de Panamá gracias a la cual se dio acceso a buques de gran tamaño y se triplicó el volumen de carga que podía pasar por él. MSC fue una de las navieras que se vio beneficiada con esta nueva infraestructura, pues permitía a la compañía utilizar barcos más grandes para transportar fruta y verdura desde Perú y Colombia a los puertos del norte de Europa haciendo escala en las Bahamas y Filadelfia. Asimismo, esto abrió una nueva ventana de oportunidades comerciales para el cártel de los Balcanes.</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A partir de entonces, se incrementó considerablemente el flujo de cocaína que entraba en el viejo continente, lo que puso en alerta a las autoridades europeas. En colaboración con sus homólogos de EEUU, descubrieron que algunos de los barcos conocidos por transportar droga a Europa hacían previamente escala en puertos estadounidenses. Sin embargo, no consiguieron averiguar ni cómo ni dónde escondían los traficantes el cargamento para no ser e</w:t>
      </w:r>
      <w:r>
        <w:rPr>
          <w:rFonts w:ascii="Times New Roman" w:hAnsi="Times New Roman" w:cs="Times New Roman"/>
          <w:sz w:val="24"/>
          <w:szCs w:val="24"/>
          <w:shd w:val="clear" w:color="auto" w:fill="FFFFFF"/>
        </w:rPr>
        <w:t xml:space="preserve">ncontrado durante las redadas. </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En 2017, los agentes empezaron a abordar buques de carga a medida que se acercaban a Filadelfia, examinando los cuartos de la tripulación, las salas de máquinas, incluso el eje de la hélice de un barco, pero casi siempre sin éxito. Pese a esto, las redadas no fueron totalmente infructuosas: les permitieron aislar individualmente a los miembros de las tripulaciones y descubrir que el cártel utilizaba marineros balcánicos a bordo de los barcos de MSC para cargar las drogas mientras los buques estaban en alta mar. La organización elegía a estos trabajadores porque tenían acceso a datos clave, como la ubicación y el destino de los contenedores, por lo que sabían en qué cajas había espacio para meter grandes cantidades de cocaína y podían distribuirlas de tal manera que fuera imposible detectarlas en un registro aduanero. Según recoge Business Week de Bloomberg, la organización pagaba a estos hombres 50.000 dólares o más por cada operación, dependiendo del pap</w:t>
      </w:r>
      <w:r>
        <w:rPr>
          <w:rFonts w:ascii="Times New Roman" w:hAnsi="Times New Roman" w:cs="Times New Roman"/>
          <w:sz w:val="24"/>
          <w:szCs w:val="24"/>
          <w:shd w:val="clear" w:color="auto" w:fill="FFFFFF"/>
        </w:rPr>
        <w:t>el que desempeñase en la misma.</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lastRenderedPageBreak/>
        <w:t xml:space="preserve">Por otro lado, las autoridades también pudieron averiguar cómo llegaba la droga hasta los barcos. En concreto, el modus operandi de la organización criminal era el siguiente: cuando caía la noche, se aproximaban al barco pequeñas lanchas motoras cargadas con bolsas de cocaína que se depositaban en enormes redes que, a continuación, eran subidas a la embarcación mediante grúas controladas por los marineros corruptos. Una vez a bordo, escondían la mercancía en los contenedores de la bodega rompiendo el precinto de seguridad de MSC, sustituyéndolo después por uno falso. Algunas veces incluso tenían que cortar cables de acero o doblar varas metálicas, lo que les obligaba a usar un soltador y pintura para que no se notaran los daños. Y todo ello sin que el buque </w:t>
      </w:r>
      <w:r>
        <w:rPr>
          <w:rFonts w:ascii="Times New Roman" w:hAnsi="Times New Roman" w:cs="Times New Roman"/>
          <w:sz w:val="24"/>
          <w:szCs w:val="24"/>
          <w:shd w:val="clear" w:color="auto" w:fill="FFFFFF"/>
        </w:rPr>
        <w:t>se parara ni una sola vez.</w:t>
      </w:r>
    </w:p>
    <w:p w:rsidR="00772428" w:rsidRPr="00A67081"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Gracias a estas averiguaciones, los agentes llevaron a cabo la mayor redada de la historia marítima de EEUU: en el Gayene, propiedad de MSC, encontraron más de 15.000 ladrillos de cocaína, con un peso de casi 20 toneladas y un valor estimado en la calle superior a 1.000 millones de dólares. Como parte de la operación, las autoridades detuvieron a los marineros corruptos. Además, incautaron el propio barco, valorado en más de 100 millones de dólares. Una situación del todo inusual que le costó a la naviera un pago en efectivo de 10 millones de dólares y una fianza de 40 millones de dólares, así como la promesa de que cooperaría con cualquier investigación en curso.</w:t>
      </w:r>
    </w:p>
    <w:p w:rsidR="00772428" w:rsidRDefault="00772428" w:rsidP="00772428">
      <w:pPr>
        <w:spacing w:line="240" w:lineRule="auto"/>
        <w:jc w:val="both"/>
        <w:rPr>
          <w:rFonts w:ascii="Times New Roman" w:hAnsi="Times New Roman" w:cs="Times New Roman"/>
          <w:sz w:val="24"/>
          <w:szCs w:val="24"/>
          <w:shd w:val="clear" w:color="auto" w:fill="FFFFFF"/>
        </w:rPr>
      </w:pPr>
      <w:r w:rsidRPr="00A67081">
        <w:rPr>
          <w:rFonts w:ascii="Times New Roman" w:hAnsi="Times New Roman" w:cs="Times New Roman"/>
          <w:sz w:val="24"/>
          <w:szCs w:val="24"/>
          <w:shd w:val="clear" w:color="auto" w:fill="FFFFFF"/>
        </w:rPr>
        <w:t>Desde entonces, MSC y el Gobierno de EEUU están inmersos en una batalla legal. Mientras que los funcionarios de aduanas han estado presionando a la empresa para que pague más de 700 millones de dólares en sanciones, los fiscales de la Oficina del Fiscal del Distrito Este de Pensilvania han presentado una demanda civil en la que sostienen que la naviera, como operador del Gayane, es responsable del tráfico de drogas y, por ello, se debe confiscar el buque o una parte sustancial de su valor</w:t>
      </w:r>
      <w:r>
        <w:rPr>
          <w:rFonts w:ascii="Times New Roman" w:hAnsi="Times New Roman" w:cs="Times New Roman"/>
          <w:sz w:val="24"/>
          <w:szCs w:val="24"/>
          <w:shd w:val="clear" w:color="auto" w:fill="FFFFFF"/>
        </w:rPr>
        <w:t>…</w:t>
      </w:r>
    </w:p>
    <w:p w:rsidR="00772428" w:rsidRPr="00EF5998" w:rsidRDefault="00772428" w:rsidP="00772428">
      <w:pPr>
        <w:spacing w:line="240" w:lineRule="auto"/>
        <w:jc w:val="both"/>
        <w:rPr>
          <w:rFonts w:ascii="Times New Roman" w:hAnsi="Times New Roman" w:cs="Times New Roman"/>
          <w:b/>
          <w:sz w:val="24"/>
          <w:szCs w:val="24"/>
          <w:shd w:val="clear" w:color="auto" w:fill="FFFFFF"/>
        </w:rPr>
      </w:pPr>
      <w:r w:rsidRPr="00EF5998">
        <w:rPr>
          <w:rFonts w:ascii="Times New Roman" w:hAnsi="Times New Roman" w:cs="Times New Roman"/>
          <w:b/>
          <w:sz w:val="24"/>
          <w:szCs w:val="24"/>
          <w:shd w:val="clear" w:color="auto" w:fill="FFFFFF"/>
        </w:rPr>
        <w:t>¿Volver a empezar? Si Daniel Gros no fuera un Miembro de la junta directiva y socio distinguido del Centro de Estudios Políticos Europeos, no insistiría en la cuestión</w:t>
      </w:r>
    </w:p>
    <w:p w:rsidR="00772428" w:rsidRPr="00F0045C" w:rsidRDefault="00772428" w:rsidP="00772428">
      <w:pPr>
        <w:spacing w:line="240" w:lineRule="auto"/>
        <w:jc w:val="both"/>
        <w:rPr>
          <w:rFonts w:ascii="Times New Roman" w:hAnsi="Times New Roman" w:cs="Times New Roman"/>
          <w:b/>
          <w:sz w:val="24"/>
          <w:szCs w:val="24"/>
          <w:shd w:val="clear" w:color="auto" w:fill="FFFFFF"/>
        </w:rPr>
      </w:pPr>
      <w:r w:rsidRPr="00F0045C">
        <w:rPr>
          <w:rFonts w:ascii="Times New Roman" w:hAnsi="Times New Roman" w:cs="Times New Roman"/>
          <w:b/>
          <w:sz w:val="24"/>
          <w:szCs w:val="24"/>
          <w:shd w:val="clear" w:color="auto" w:fill="FFFFFF"/>
        </w:rPr>
        <w:t>Ensayos publicados</w:t>
      </w:r>
      <w:r>
        <w:rPr>
          <w:rFonts w:ascii="Times New Roman" w:hAnsi="Times New Roman" w:cs="Times New Roman"/>
          <w:b/>
          <w:sz w:val="24"/>
          <w:szCs w:val="24"/>
          <w:shd w:val="clear" w:color="auto" w:fill="FFFFFF"/>
        </w:rPr>
        <w:t xml:space="preserve"> sobre globalización y librecambio</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Octubre, 1998</w:t>
      </w:r>
      <w:r>
        <w:rPr>
          <w:rFonts w:ascii="Times New Roman" w:hAnsi="Times New Roman" w:cs="Times New Roman"/>
          <w:sz w:val="24"/>
          <w:szCs w:val="24"/>
          <w:shd w:val="clear" w:color="auto" w:fill="FFFFFF"/>
        </w:rPr>
        <w:t xml:space="preserve"> - </w:t>
      </w:r>
      <w:r w:rsidRPr="00F0045C">
        <w:rPr>
          <w:rFonts w:ascii="Times New Roman" w:hAnsi="Times New Roman" w:cs="Times New Roman"/>
          <w:sz w:val="24"/>
          <w:szCs w:val="24"/>
          <w:shd w:val="clear" w:color="auto" w:fill="FFFFFF"/>
        </w:rPr>
        <w:t>Globalización económica - El imperio de la mediocridad</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Julio, 1999</w:t>
      </w:r>
      <w:r>
        <w:rPr>
          <w:rFonts w:ascii="Times New Roman" w:hAnsi="Times New Roman" w:cs="Times New Roman"/>
          <w:sz w:val="24"/>
          <w:szCs w:val="24"/>
          <w:shd w:val="clear" w:color="auto" w:fill="FFFFFF"/>
        </w:rPr>
        <w:t xml:space="preserve"> - </w:t>
      </w:r>
      <w:r w:rsidRPr="00F0045C">
        <w:rPr>
          <w:rFonts w:ascii="Times New Roman" w:hAnsi="Times New Roman" w:cs="Times New Roman"/>
          <w:sz w:val="24"/>
          <w:szCs w:val="24"/>
          <w:shd w:val="clear" w:color="auto" w:fill="FFFFFF"/>
        </w:rPr>
        <w:t>Los "viejos sabi</w:t>
      </w:r>
      <w:r>
        <w:rPr>
          <w:rFonts w:ascii="Times New Roman" w:hAnsi="Times New Roman" w:cs="Times New Roman"/>
          <w:sz w:val="24"/>
          <w:szCs w:val="24"/>
          <w:shd w:val="clear" w:color="auto" w:fill="FFFFFF"/>
        </w:rPr>
        <w:t xml:space="preserve">os" discuten la economía global - </w:t>
      </w:r>
      <w:r w:rsidRPr="00F0045C">
        <w:rPr>
          <w:rFonts w:ascii="Times New Roman" w:hAnsi="Times New Roman" w:cs="Times New Roman"/>
          <w:sz w:val="24"/>
          <w:szCs w:val="24"/>
          <w:shd w:val="clear" w:color="auto" w:fill="FFFFFF"/>
        </w:rPr>
        <w:t>Debate virtual entre Adam Smith y John Maynard Keynes</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Octubre, 2000</w:t>
      </w:r>
      <w:r>
        <w:rPr>
          <w:rFonts w:ascii="Times New Roman" w:hAnsi="Times New Roman" w:cs="Times New Roman"/>
          <w:sz w:val="24"/>
          <w:szCs w:val="24"/>
          <w:shd w:val="clear" w:color="auto" w:fill="FFFFFF"/>
        </w:rPr>
        <w:t xml:space="preserve"> - Al margen de la globalización - </w:t>
      </w:r>
      <w:r w:rsidRPr="00F0045C">
        <w:rPr>
          <w:rFonts w:ascii="Times New Roman" w:hAnsi="Times New Roman" w:cs="Times New Roman"/>
          <w:sz w:val="24"/>
          <w:szCs w:val="24"/>
          <w:shd w:val="clear" w:color="auto" w:fill="FFFFFF"/>
        </w:rPr>
        <w:t>Problemas globales - soluciones pendientes (dramaturgias y olvidos)</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Marzo, 2001</w:t>
      </w:r>
      <w:r>
        <w:rPr>
          <w:rFonts w:ascii="Times New Roman" w:hAnsi="Times New Roman" w:cs="Times New Roman"/>
          <w:sz w:val="24"/>
          <w:szCs w:val="24"/>
          <w:shd w:val="clear" w:color="auto" w:fill="FFFFFF"/>
        </w:rPr>
        <w:t xml:space="preserve"> -</w:t>
      </w:r>
      <w:r w:rsidRPr="00F0045C">
        <w:rPr>
          <w:rFonts w:ascii="Times New Roman" w:hAnsi="Times New Roman" w:cs="Times New Roman"/>
          <w:sz w:val="24"/>
          <w:szCs w:val="24"/>
          <w:shd w:val="clear" w:color="auto" w:fill="FFFFFF"/>
        </w:rPr>
        <w:tab/>
        <w:t>Antiglobalización: Caminos de heterodoxia (una propuesta políticamente incorrecta)</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Abril, 2002</w:t>
      </w:r>
      <w:r>
        <w:rPr>
          <w:rFonts w:ascii="Times New Roman" w:hAnsi="Times New Roman" w:cs="Times New Roman"/>
          <w:sz w:val="24"/>
          <w:szCs w:val="24"/>
          <w:shd w:val="clear" w:color="auto" w:fill="FFFFFF"/>
        </w:rPr>
        <w:t xml:space="preserve"> - </w:t>
      </w:r>
      <w:r w:rsidRPr="00F0045C">
        <w:rPr>
          <w:rFonts w:ascii="Times New Roman" w:hAnsi="Times New Roman" w:cs="Times New Roman"/>
          <w:sz w:val="24"/>
          <w:szCs w:val="24"/>
          <w:shd w:val="clear" w:color="auto" w:fill="FFFFFF"/>
        </w:rPr>
        <w:t>Los daños ocultos del librecambio - La d</w:t>
      </w:r>
      <w:r>
        <w:rPr>
          <w:rFonts w:ascii="Times New Roman" w:hAnsi="Times New Roman" w:cs="Times New Roman"/>
          <w:sz w:val="24"/>
          <w:szCs w:val="24"/>
          <w:shd w:val="clear" w:color="auto" w:fill="FFFFFF"/>
        </w:rPr>
        <w:t xml:space="preserve">oble vida de la economía global </w:t>
      </w:r>
      <w:r w:rsidRPr="00F0045C">
        <w:rPr>
          <w:rFonts w:ascii="Times New Roman" w:hAnsi="Times New Roman" w:cs="Times New Roman"/>
          <w:sz w:val="24"/>
          <w:szCs w:val="24"/>
          <w:shd w:val="clear" w:color="auto" w:fill="FFFFFF"/>
        </w:rPr>
        <w:t>(Unión Europea: Apertura y Vulnerabilidad -¿Es posible imaginar un futuro diferente al pasado reciente?)</w:t>
      </w:r>
      <w:r>
        <w:rPr>
          <w:rFonts w:ascii="Times New Roman" w:hAnsi="Times New Roman" w:cs="Times New Roman"/>
          <w:sz w:val="24"/>
          <w:szCs w:val="24"/>
          <w:shd w:val="clear" w:color="auto" w:fill="FFFFFF"/>
        </w:rPr>
        <w:t xml:space="preserve"> - </w:t>
      </w:r>
      <w:r w:rsidRPr="00F0045C">
        <w:rPr>
          <w:rFonts w:ascii="Times New Roman" w:hAnsi="Times New Roman" w:cs="Times New Roman"/>
          <w:sz w:val="24"/>
          <w:szCs w:val="24"/>
          <w:shd w:val="clear" w:color="auto" w:fill="FFFFFF"/>
        </w:rPr>
        <w:t>(¿Puede la economía salir del armario?)</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Octubre, 2006</w:t>
      </w:r>
      <w:r>
        <w:rPr>
          <w:rFonts w:ascii="Times New Roman" w:hAnsi="Times New Roman" w:cs="Times New Roman"/>
          <w:sz w:val="24"/>
          <w:szCs w:val="24"/>
          <w:shd w:val="clear" w:color="auto" w:fill="FFFFFF"/>
        </w:rPr>
        <w:t xml:space="preserve"> - China - India - Rusia - Brasil</w:t>
      </w:r>
      <w:r w:rsidRPr="00F0045C">
        <w:rPr>
          <w:rFonts w:ascii="Times New Roman" w:hAnsi="Times New Roman" w:cs="Times New Roman"/>
          <w:sz w:val="24"/>
          <w:szCs w:val="24"/>
          <w:shd w:val="clear" w:color="auto" w:fill="FFFFFF"/>
        </w:rPr>
        <w:t xml:space="preserve"> - ¿Pote</w:t>
      </w:r>
      <w:r>
        <w:rPr>
          <w:rFonts w:ascii="Times New Roman" w:hAnsi="Times New Roman" w:cs="Times New Roman"/>
          <w:sz w:val="24"/>
          <w:szCs w:val="24"/>
          <w:shd w:val="clear" w:color="auto" w:fill="FFFFFF"/>
        </w:rPr>
        <w:t>ncias económicas del siglo XXI? - ¿Banderas de conveniencia?</w:t>
      </w:r>
      <w:r w:rsidRPr="00F0045C">
        <w:rPr>
          <w:rFonts w:ascii="Times New Roman" w:hAnsi="Times New Roman" w:cs="Times New Roman"/>
          <w:sz w:val="24"/>
          <w:szCs w:val="24"/>
          <w:shd w:val="clear" w:color="auto" w:fill="FFFFFF"/>
        </w:rPr>
        <w:t xml:space="preserve"> - ¿BR</w:t>
      </w:r>
      <w:r>
        <w:rPr>
          <w:rFonts w:ascii="Times New Roman" w:hAnsi="Times New Roman" w:cs="Times New Roman"/>
          <w:sz w:val="24"/>
          <w:szCs w:val="24"/>
          <w:shd w:val="clear" w:color="auto" w:fill="FFFFFF"/>
        </w:rPr>
        <w:t>ICs - à - brac? (cosas baratas) -</w:t>
      </w:r>
      <w:r w:rsidRPr="00F0045C">
        <w:rPr>
          <w:rFonts w:ascii="Times New Roman" w:hAnsi="Times New Roman" w:cs="Times New Roman"/>
          <w:sz w:val="24"/>
          <w:szCs w:val="24"/>
          <w:shd w:val="clear" w:color="auto" w:fill="FFFFFF"/>
        </w:rPr>
        <w:t xml:space="preserve"> (Algunas dudas y ciertas percepciones…)</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Abril, 2008 - </w:t>
      </w:r>
      <w:r w:rsidRPr="00F0045C">
        <w:rPr>
          <w:rFonts w:ascii="Times New Roman" w:hAnsi="Times New Roman" w:cs="Times New Roman"/>
          <w:sz w:val="24"/>
          <w:szCs w:val="24"/>
          <w:shd w:val="clear" w:color="auto" w:fill="FFFFFF"/>
        </w:rPr>
        <w:t>Globalización y des</w:t>
      </w:r>
      <w:r>
        <w:rPr>
          <w:rFonts w:ascii="Times New Roman" w:hAnsi="Times New Roman" w:cs="Times New Roman"/>
          <w:sz w:val="24"/>
          <w:szCs w:val="24"/>
          <w:shd w:val="clear" w:color="auto" w:fill="FFFFFF"/>
        </w:rPr>
        <w:t xml:space="preserve">igualdad: el "dogma" que no fue - </w:t>
      </w:r>
      <w:r w:rsidRPr="00F0045C">
        <w:rPr>
          <w:rFonts w:ascii="Times New Roman" w:hAnsi="Times New Roman" w:cs="Times New Roman"/>
          <w:sz w:val="24"/>
          <w:szCs w:val="24"/>
          <w:shd w:val="clear" w:color="auto" w:fill="FFFFFF"/>
        </w:rPr>
        <w:t>(Caricaturas del mercado: 20 años no es nada)</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lastRenderedPageBreak/>
        <w:t>Octubre, 2010</w:t>
      </w:r>
      <w:r>
        <w:rPr>
          <w:rFonts w:ascii="Times New Roman" w:hAnsi="Times New Roman" w:cs="Times New Roman"/>
          <w:sz w:val="24"/>
          <w:szCs w:val="24"/>
          <w:shd w:val="clear" w:color="auto" w:fill="FFFFFF"/>
        </w:rPr>
        <w:t xml:space="preserve"> - </w:t>
      </w:r>
      <w:r w:rsidRPr="00F0045C">
        <w:rPr>
          <w:rFonts w:ascii="Times New Roman" w:hAnsi="Times New Roman" w:cs="Times New Roman"/>
          <w:sz w:val="24"/>
          <w:szCs w:val="24"/>
          <w:shd w:val="clear" w:color="auto" w:fill="FFFFFF"/>
        </w:rPr>
        <w:t xml:space="preserve">Los riesgos de China: cierta duda razonable (y algunas "incongruencias") </w:t>
      </w:r>
      <w:r>
        <w:rPr>
          <w:rFonts w:ascii="Times New Roman" w:hAnsi="Times New Roman" w:cs="Times New Roman"/>
          <w:sz w:val="24"/>
          <w:szCs w:val="24"/>
          <w:shd w:val="clear" w:color="auto" w:fill="FFFFFF"/>
        </w:rPr>
        <w:t>-</w:t>
      </w:r>
      <w:r w:rsidRPr="00F0045C">
        <w:rPr>
          <w:rFonts w:ascii="Times New Roman" w:hAnsi="Times New Roman" w:cs="Times New Roman"/>
          <w:sz w:val="24"/>
          <w:szCs w:val="24"/>
          <w:shd w:val="clear" w:color="auto" w:fill="FFFFFF"/>
        </w:rPr>
        <w:t xml:space="preserve">¿Puede existir un libre mercado de planificación central? </w:t>
      </w:r>
      <w:r>
        <w:rPr>
          <w:rFonts w:ascii="Times New Roman" w:hAnsi="Times New Roman" w:cs="Times New Roman"/>
          <w:sz w:val="24"/>
          <w:szCs w:val="24"/>
          <w:shd w:val="clear" w:color="auto" w:fill="FFFFFF"/>
        </w:rPr>
        <w:t xml:space="preserve">- </w:t>
      </w:r>
      <w:r w:rsidRPr="00F0045C">
        <w:rPr>
          <w:rFonts w:ascii="Times New Roman" w:hAnsi="Times New Roman" w:cs="Times New Roman"/>
          <w:sz w:val="24"/>
          <w:szCs w:val="24"/>
          <w:shd w:val="clear" w:color="auto" w:fill="FFFFFF"/>
        </w:rPr>
        <w:t>¿Y un socialismo de mercado?</w:t>
      </w:r>
    </w:p>
    <w:p w:rsidR="00772428" w:rsidRDefault="00772428" w:rsidP="00772428">
      <w:pPr>
        <w:spacing w:line="240" w:lineRule="auto"/>
        <w:jc w:val="both"/>
        <w:rPr>
          <w:rFonts w:ascii="Times New Roman" w:hAnsi="Times New Roman" w:cs="Times New Roman"/>
          <w:sz w:val="24"/>
          <w:szCs w:val="24"/>
          <w:shd w:val="clear" w:color="auto" w:fill="FFFFFF"/>
        </w:rPr>
      </w:pPr>
      <w:r w:rsidRPr="00F0045C">
        <w:rPr>
          <w:rFonts w:ascii="Times New Roman" w:hAnsi="Times New Roman" w:cs="Times New Roman"/>
          <w:sz w:val="24"/>
          <w:szCs w:val="24"/>
          <w:shd w:val="clear" w:color="auto" w:fill="FFFFFF"/>
        </w:rPr>
        <w:t>Octubre, 2017</w:t>
      </w:r>
      <w:r w:rsidRPr="00F0045C">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 xml:space="preserve">- </w:t>
      </w:r>
      <w:r w:rsidRPr="00F0045C">
        <w:rPr>
          <w:rFonts w:ascii="Times New Roman" w:hAnsi="Times New Roman" w:cs="Times New Roman"/>
          <w:sz w:val="24"/>
          <w:szCs w:val="24"/>
          <w:shd w:val="clear" w:color="auto" w:fill="FFFFFF"/>
        </w:rPr>
        <w:t>Multilateralismo vs. Bilateralismo: Trump "reabre" el debate ("no llores por mí, librecambio")</w:t>
      </w:r>
    </w:p>
    <w:p w:rsidR="00772428" w:rsidRDefault="00772428" w:rsidP="00772428">
      <w:pPr>
        <w:spacing w:line="240" w:lineRule="auto"/>
        <w:jc w:val="both"/>
        <w:rPr>
          <w:rFonts w:ascii="Times New Roman" w:hAnsi="Times New Roman" w:cs="Times New Roman"/>
          <w:sz w:val="24"/>
          <w:szCs w:val="24"/>
          <w:shd w:val="clear" w:color="auto" w:fill="FFFFFF"/>
        </w:rPr>
      </w:pPr>
      <w:r w:rsidRPr="00C208EE">
        <w:rPr>
          <w:rFonts w:ascii="Times New Roman" w:hAnsi="Times New Roman" w:cs="Times New Roman"/>
          <w:sz w:val="24"/>
          <w:szCs w:val="24"/>
          <w:shd w:val="clear" w:color="auto" w:fill="FFFFFF"/>
        </w:rPr>
        <w:t>Enero, 2021</w:t>
      </w:r>
      <w:r>
        <w:rPr>
          <w:rFonts w:ascii="Times New Roman" w:hAnsi="Times New Roman" w:cs="Times New Roman"/>
          <w:sz w:val="24"/>
          <w:szCs w:val="24"/>
          <w:shd w:val="clear" w:color="auto" w:fill="FFFFFF"/>
        </w:rPr>
        <w:t xml:space="preserve"> - </w:t>
      </w:r>
      <w:r w:rsidRPr="00C208EE">
        <w:rPr>
          <w:rFonts w:ascii="Times New Roman" w:hAnsi="Times New Roman" w:cs="Times New Roman"/>
          <w:sz w:val="24"/>
          <w:szCs w:val="24"/>
          <w:shd w:val="clear" w:color="auto" w:fill="FFFFFF"/>
        </w:rPr>
        <w:t>El "precio" de la globalización (al "costo" de los factores)</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Enero, 2023 - </w:t>
      </w:r>
      <w:r w:rsidRPr="00E829FC">
        <w:rPr>
          <w:rFonts w:ascii="Times New Roman" w:hAnsi="Times New Roman" w:cs="Times New Roman"/>
          <w:sz w:val="24"/>
          <w:szCs w:val="24"/>
          <w:shd w:val="clear" w:color="auto" w:fill="FFFFFF"/>
        </w:rPr>
        <w:t>Un mundo menos globalizado</w:t>
      </w:r>
      <w:r>
        <w:rPr>
          <w:rFonts w:ascii="Times New Roman" w:hAnsi="Times New Roman" w:cs="Times New Roman"/>
          <w:sz w:val="24"/>
          <w:szCs w:val="24"/>
          <w:shd w:val="clear" w:color="auto" w:fill="FFFFFF"/>
        </w:rPr>
        <w:t xml:space="preserve"> ¿Habrá llegado a su fin el paradigma liberticida?</w:t>
      </w:r>
    </w:p>
    <w:p w:rsidR="00772428" w:rsidRDefault="00772428" w:rsidP="0077242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Papers</w:t>
      </w:r>
      <w:r w:rsidRPr="00F0045C">
        <w:rPr>
          <w:rFonts w:ascii="Times New Roman" w:hAnsi="Times New Roman" w:cs="Times New Roman"/>
          <w:b/>
          <w:sz w:val="24"/>
          <w:szCs w:val="24"/>
          <w:shd w:val="clear" w:color="auto" w:fill="FFFFFF"/>
        </w:rPr>
        <w:t xml:space="preserve"> publicados</w:t>
      </w:r>
      <w:r>
        <w:rPr>
          <w:rFonts w:ascii="Times New Roman" w:hAnsi="Times New Roman" w:cs="Times New Roman"/>
          <w:b/>
          <w:sz w:val="24"/>
          <w:szCs w:val="24"/>
          <w:shd w:val="clear" w:color="auto" w:fill="FFFFFF"/>
        </w:rPr>
        <w:t xml:space="preserve"> sobre globalización y librecambio</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13-4-2004 - </w:t>
      </w:r>
      <w:r w:rsidRPr="00C208EE">
        <w:rPr>
          <w:rFonts w:ascii="Times New Roman" w:hAnsi="Times New Roman" w:cs="Times New Roman"/>
          <w:sz w:val="24"/>
          <w:szCs w:val="24"/>
          <w:shd w:val="clear" w:color="auto" w:fill="FFFFFF"/>
        </w:rPr>
        <w:t>Cerrado por  "deslocalización"</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24-5-2004 - </w:t>
      </w:r>
      <w:r w:rsidRPr="00C208EE">
        <w:rPr>
          <w:rFonts w:ascii="Times New Roman" w:hAnsi="Times New Roman" w:cs="Times New Roman"/>
          <w:sz w:val="24"/>
          <w:szCs w:val="24"/>
          <w:shd w:val="clear" w:color="auto" w:fill="FFFFFF"/>
        </w:rPr>
        <w:t>El día que Smith "lloró"</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13-8-2004 - "All you can eat" - </w:t>
      </w:r>
      <w:r w:rsidRPr="00C208EE">
        <w:rPr>
          <w:rFonts w:ascii="Times New Roman" w:hAnsi="Times New Roman" w:cs="Times New Roman"/>
          <w:sz w:val="24"/>
          <w:szCs w:val="24"/>
          <w:shd w:val="clear" w:color="auto" w:fill="FFFFFF"/>
        </w:rPr>
        <w:t>Consumismo: Una feliz falsedad</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7-3-2005 - </w:t>
      </w:r>
      <w:r w:rsidRPr="00C208EE">
        <w:rPr>
          <w:rFonts w:ascii="Times New Roman" w:hAnsi="Times New Roman" w:cs="Times New Roman"/>
          <w:sz w:val="24"/>
          <w:szCs w:val="24"/>
          <w:shd w:val="clear" w:color="auto" w:fill="FFFFFF"/>
        </w:rPr>
        <w:t>"Stop Desarrollo"</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28-3-2005 - </w:t>
      </w:r>
      <w:r w:rsidRPr="00C208EE">
        <w:rPr>
          <w:rFonts w:ascii="Times New Roman" w:hAnsi="Times New Roman" w:cs="Times New Roman"/>
          <w:sz w:val="24"/>
          <w:szCs w:val="24"/>
          <w:shd w:val="clear" w:color="auto" w:fill="FFFFFF"/>
        </w:rPr>
        <w:t>La insoportable levedad de los "modelos" del F</w:t>
      </w:r>
      <w:r>
        <w:rPr>
          <w:rFonts w:ascii="Times New Roman" w:hAnsi="Times New Roman" w:cs="Times New Roman"/>
          <w:sz w:val="24"/>
          <w:szCs w:val="24"/>
          <w:shd w:val="clear" w:color="auto" w:fill="FFFFFF"/>
        </w:rPr>
        <w:t xml:space="preserve">MI </w:t>
      </w:r>
      <w:r w:rsidRPr="00C208EE">
        <w:rPr>
          <w:rFonts w:ascii="Times New Roman" w:hAnsi="Times New Roman" w:cs="Times New Roman"/>
          <w:sz w:val="24"/>
          <w:szCs w:val="24"/>
          <w:shd w:val="clear" w:color="auto" w:fill="FFFFFF"/>
        </w:rPr>
        <w:t>(Desmontando a Anne Krueger, vicedirectora del Fondo Monetario Internacional)</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7-4-2005 - </w:t>
      </w:r>
      <w:r w:rsidRPr="00C208EE">
        <w:rPr>
          <w:rFonts w:ascii="Times New Roman" w:hAnsi="Times New Roman" w:cs="Times New Roman"/>
          <w:sz w:val="24"/>
          <w:szCs w:val="24"/>
          <w:shd w:val="clear" w:color="auto" w:fill="FFFFFF"/>
        </w:rPr>
        <w:t>Regionaliza</w:t>
      </w:r>
      <w:r>
        <w:rPr>
          <w:rFonts w:ascii="Times New Roman" w:hAnsi="Times New Roman" w:cs="Times New Roman"/>
          <w:sz w:val="24"/>
          <w:szCs w:val="24"/>
          <w:shd w:val="clear" w:color="auto" w:fill="FFFFFF"/>
        </w:rPr>
        <w:t xml:space="preserve">ción - Juntos pero no revueltos - </w:t>
      </w:r>
      <w:r w:rsidRPr="00C208EE">
        <w:rPr>
          <w:rFonts w:ascii="Times New Roman" w:hAnsi="Times New Roman" w:cs="Times New Roman"/>
          <w:sz w:val="24"/>
          <w:szCs w:val="24"/>
          <w:shd w:val="clear" w:color="auto" w:fill="FFFFFF"/>
        </w:rPr>
        <w:t>(¿Existen posibilidades de un desarrollo simétrico?)</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4-3-2006 - "La flauta mágica" - </w:t>
      </w:r>
      <w:r w:rsidRPr="00C208EE">
        <w:rPr>
          <w:rFonts w:ascii="Times New Roman" w:hAnsi="Times New Roman" w:cs="Times New Roman"/>
          <w:sz w:val="24"/>
          <w:szCs w:val="24"/>
          <w:shd w:val="clear" w:color="auto" w:fill="FFFFFF"/>
        </w:rPr>
        <w:t>(Desmontando los "modelos" de diseño de la "pasarela" OCDE)</w:t>
      </w:r>
    </w:p>
    <w:p w:rsidR="00772428" w:rsidRDefault="00772428" w:rsidP="00772428">
      <w:pPr>
        <w:spacing w:line="240" w:lineRule="auto"/>
        <w:jc w:val="both"/>
        <w:rPr>
          <w:rFonts w:ascii="Times New Roman" w:hAnsi="Times New Roman" w:cs="Times New Roman"/>
          <w:sz w:val="24"/>
          <w:szCs w:val="24"/>
          <w:shd w:val="clear" w:color="auto" w:fill="FFFFFF"/>
        </w:rPr>
      </w:pPr>
      <w:r w:rsidRPr="00C208EE">
        <w:rPr>
          <w:rFonts w:ascii="Times New Roman" w:hAnsi="Times New Roman" w:cs="Times New Roman"/>
          <w:sz w:val="24"/>
          <w:szCs w:val="24"/>
          <w:shd w:val="clear" w:color="auto" w:fill="FFFFFF"/>
        </w:rPr>
        <w:t>(Paper en 4 partes) - El desafío de las materias pr</w:t>
      </w:r>
      <w:r>
        <w:rPr>
          <w:rFonts w:ascii="Times New Roman" w:hAnsi="Times New Roman" w:cs="Times New Roman"/>
          <w:sz w:val="24"/>
          <w:szCs w:val="24"/>
          <w:shd w:val="clear" w:color="auto" w:fill="FFFFFF"/>
        </w:rPr>
        <w:t xml:space="preserve">imas - Contigo ¿pan y petróleo? - </w:t>
      </w:r>
      <w:r w:rsidRPr="00C208EE">
        <w:rPr>
          <w:rFonts w:ascii="Times New Roman" w:hAnsi="Times New Roman" w:cs="Times New Roman"/>
          <w:sz w:val="24"/>
          <w:szCs w:val="24"/>
          <w:shd w:val="clear" w:color="auto" w:fill="FFFFFF"/>
        </w:rPr>
        <w:t>(Una tomografía de la escasez - ¿El regreso de Malthus?)</w:t>
      </w:r>
    </w:p>
    <w:p w:rsidR="00772428" w:rsidRDefault="00772428" w:rsidP="00772428">
      <w:pPr>
        <w:spacing w:line="240" w:lineRule="auto"/>
        <w:jc w:val="both"/>
        <w:rPr>
          <w:rFonts w:ascii="Times New Roman" w:hAnsi="Times New Roman" w:cs="Times New Roman"/>
          <w:sz w:val="24"/>
          <w:szCs w:val="24"/>
          <w:shd w:val="clear" w:color="auto" w:fill="FFFFFF"/>
        </w:rPr>
      </w:pPr>
      <w:r w:rsidRPr="00701FDD">
        <w:rPr>
          <w:rFonts w:ascii="Times New Roman" w:hAnsi="Times New Roman" w:cs="Times New Roman"/>
          <w:sz w:val="24"/>
          <w:szCs w:val="24"/>
          <w:shd w:val="clear" w:color="auto" w:fill="FFFFFF"/>
        </w:rPr>
        <w:t>15-10-2008</w:t>
      </w:r>
      <w:r>
        <w:rPr>
          <w:rFonts w:ascii="Times New Roman" w:hAnsi="Times New Roman" w:cs="Times New Roman"/>
          <w:sz w:val="24"/>
          <w:szCs w:val="24"/>
          <w:shd w:val="clear" w:color="auto" w:fill="FFFFFF"/>
        </w:rPr>
        <w:t xml:space="preserve"> - </w:t>
      </w:r>
      <w:r w:rsidRPr="00701FDD">
        <w:rPr>
          <w:rFonts w:ascii="Times New Roman" w:hAnsi="Times New Roman" w:cs="Times New Roman"/>
          <w:sz w:val="24"/>
          <w:szCs w:val="24"/>
          <w:shd w:val="clear" w:color="auto" w:fill="FFFFFF"/>
        </w:rPr>
        <w:t>Parte I de</w:t>
      </w:r>
      <w:r>
        <w:rPr>
          <w:rFonts w:ascii="Times New Roman" w:hAnsi="Times New Roman" w:cs="Times New Roman"/>
          <w:sz w:val="24"/>
          <w:szCs w:val="24"/>
          <w:shd w:val="clear" w:color="auto" w:fill="FFFFFF"/>
        </w:rPr>
        <w:t xml:space="preserve"> IV: La guerra de los alimentos - </w:t>
      </w:r>
      <w:r w:rsidRPr="00701FDD">
        <w:rPr>
          <w:rFonts w:ascii="Times New Roman" w:hAnsi="Times New Roman" w:cs="Times New Roman"/>
          <w:sz w:val="24"/>
          <w:szCs w:val="24"/>
          <w:shd w:val="clear" w:color="auto" w:fill="FFFFFF"/>
        </w:rPr>
        <w:t>(Una crisis que no salió de la nada)</w:t>
      </w:r>
    </w:p>
    <w:p w:rsidR="00772428" w:rsidRDefault="00772428" w:rsidP="00772428">
      <w:pPr>
        <w:spacing w:line="240" w:lineRule="auto"/>
        <w:jc w:val="both"/>
        <w:rPr>
          <w:rFonts w:ascii="Times New Roman" w:hAnsi="Times New Roman" w:cs="Times New Roman"/>
          <w:sz w:val="24"/>
          <w:szCs w:val="24"/>
          <w:shd w:val="clear" w:color="auto" w:fill="FFFFFF"/>
        </w:rPr>
      </w:pPr>
      <w:r w:rsidRPr="00701FDD">
        <w:rPr>
          <w:rFonts w:ascii="Times New Roman" w:hAnsi="Times New Roman" w:cs="Times New Roman"/>
          <w:sz w:val="24"/>
          <w:szCs w:val="24"/>
          <w:shd w:val="clear" w:color="auto" w:fill="FFFFFF"/>
        </w:rPr>
        <w:t>15-11-2008</w:t>
      </w:r>
      <w:r>
        <w:rPr>
          <w:rFonts w:ascii="Times New Roman" w:hAnsi="Times New Roman" w:cs="Times New Roman"/>
          <w:sz w:val="24"/>
          <w:szCs w:val="24"/>
          <w:shd w:val="clear" w:color="auto" w:fill="FFFFFF"/>
        </w:rPr>
        <w:t xml:space="preserve"> - </w:t>
      </w:r>
      <w:r w:rsidRPr="00701FDD">
        <w:rPr>
          <w:rFonts w:ascii="Times New Roman" w:hAnsi="Times New Roman" w:cs="Times New Roman"/>
          <w:sz w:val="24"/>
          <w:szCs w:val="24"/>
          <w:shd w:val="clear" w:color="auto" w:fill="FFFFFF"/>
        </w:rPr>
        <w:t>Parte I</w:t>
      </w:r>
      <w:r>
        <w:rPr>
          <w:rFonts w:ascii="Times New Roman" w:hAnsi="Times New Roman" w:cs="Times New Roman"/>
          <w:sz w:val="24"/>
          <w:szCs w:val="24"/>
          <w:shd w:val="clear" w:color="auto" w:fill="FFFFFF"/>
        </w:rPr>
        <w:t xml:space="preserve">I de IV: La pesadilla petrolera - </w:t>
      </w:r>
      <w:r w:rsidRPr="00701FDD">
        <w:rPr>
          <w:rFonts w:ascii="Times New Roman" w:hAnsi="Times New Roman" w:cs="Times New Roman"/>
          <w:sz w:val="24"/>
          <w:szCs w:val="24"/>
          <w:shd w:val="clear" w:color="auto" w:fill="FFFFFF"/>
        </w:rPr>
        <w:t>(El desaforado consumo de los recursos agotables)</w:t>
      </w:r>
    </w:p>
    <w:p w:rsidR="00772428" w:rsidRDefault="00772428" w:rsidP="00772428">
      <w:pPr>
        <w:spacing w:line="240" w:lineRule="auto"/>
        <w:jc w:val="both"/>
        <w:rPr>
          <w:rFonts w:ascii="Times New Roman" w:hAnsi="Times New Roman" w:cs="Times New Roman"/>
          <w:sz w:val="24"/>
          <w:szCs w:val="24"/>
          <w:shd w:val="clear" w:color="auto" w:fill="FFFFFF"/>
        </w:rPr>
      </w:pPr>
      <w:r w:rsidRPr="00701FDD">
        <w:rPr>
          <w:rFonts w:ascii="Times New Roman" w:hAnsi="Times New Roman" w:cs="Times New Roman"/>
          <w:sz w:val="24"/>
          <w:szCs w:val="24"/>
          <w:shd w:val="clear" w:color="auto" w:fill="FFFFFF"/>
        </w:rPr>
        <w:t>15-12-2008</w:t>
      </w:r>
      <w:r>
        <w:rPr>
          <w:rFonts w:ascii="Times New Roman" w:hAnsi="Times New Roman" w:cs="Times New Roman"/>
          <w:sz w:val="24"/>
          <w:szCs w:val="24"/>
          <w:shd w:val="clear" w:color="auto" w:fill="FFFFFF"/>
        </w:rPr>
        <w:t xml:space="preserve"> - </w:t>
      </w:r>
      <w:r w:rsidRPr="00701FDD">
        <w:rPr>
          <w:rFonts w:ascii="Times New Roman" w:hAnsi="Times New Roman" w:cs="Times New Roman"/>
          <w:sz w:val="24"/>
          <w:szCs w:val="24"/>
          <w:shd w:val="clear" w:color="auto" w:fill="FFFFFF"/>
        </w:rPr>
        <w:t>Parte III de IV: Los "nuevos</w:t>
      </w:r>
      <w:r>
        <w:rPr>
          <w:rFonts w:ascii="Times New Roman" w:hAnsi="Times New Roman" w:cs="Times New Roman"/>
          <w:sz w:val="24"/>
          <w:szCs w:val="24"/>
          <w:shd w:val="clear" w:color="auto" w:fill="FFFFFF"/>
        </w:rPr>
        <w:t xml:space="preserve">" invitados a la Mesa del Señor - </w:t>
      </w:r>
      <w:r w:rsidRPr="00701FDD">
        <w:rPr>
          <w:rFonts w:ascii="Times New Roman" w:hAnsi="Times New Roman" w:cs="Times New Roman"/>
          <w:sz w:val="24"/>
          <w:szCs w:val="24"/>
          <w:shd w:val="clear" w:color="auto" w:fill="FFFFFF"/>
        </w:rPr>
        <w:t>(La carrera de los pobres - El más allá de los BRICs)</w:t>
      </w:r>
    </w:p>
    <w:p w:rsidR="00772428" w:rsidRDefault="00772428" w:rsidP="00772428">
      <w:pPr>
        <w:spacing w:line="240" w:lineRule="auto"/>
        <w:jc w:val="both"/>
        <w:rPr>
          <w:rFonts w:ascii="Times New Roman" w:hAnsi="Times New Roman" w:cs="Times New Roman"/>
          <w:sz w:val="24"/>
          <w:szCs w:val="24"/>
          <w:shd w:val="clear" w:color="auto" w:fill="FFFFFF"/>
        </w:rPr>
      </w:pPr>
      <w:r w:rsidRPr="00701FDD">
        <w:rPr>
          <w:rFonts w:ascii="Times New Roman" w:hAnsi="Times New Roman" w:cs="Times New Roman"/>
          <w:sz w:val="24"/>
          <w:szCs w:val="24"/>
          <w:shd w:val="clear" w:color="auto" w:fill="FFFFFF"/>
        </w:rPr>
        <w:t>13-2-2009</w:t>
      </w:r>
      <w:r>
        <w:rPr>
          <w:rFonts w:ascii="Times New Roman" w:hAnsi="Times New Roman" w:cs="Times New Roman"/>
          <w:sz w:val="24"/>
          <w:szCs w:val="24"/>
          <w:shd w:val="clear" w:color="auto" w:fill="FFFFFF"/>
        </w:rPr>
        <w:t xml:space="preserve"> - </w:t>
      </w:r>
      <w:r w:rsidRPr="00701FDD">
        <w:rPr>
          <w:rFonts w:ascii="Times New Roman" w:hAnsi="Times New Roman" w:cs="Times New Roman"/>
          <w:sz w:val="24"/>
          <w:szCs w:val="24"/>
          <w:shd w:val="clear" w:color="auto" w:fill="FFFFFF"/>
        </w:rPr>
        <w:t>Parte IV de IV y "Finale"</w:t>
      </w:r>
      <w:r>
        <w:rPr>
          <w:rFonts w:ascii="Times New Roman" w:hAnsi="Times New Roman" w:cs="Times New Roman"/>
          <w:sz w:val="24"/>
          <w:szCs w:val="24"/>
          <w:shd w:val="clear" w:color="auto" w:fill="FFFFFF"/>
        </w:rPr>
        <w:t xml:space="preserve">: ¿Estamos salvando al planeta? - </w:t>
      </w:r>
      <w:r w:rsidRPr="00701FDD">
        <w:rPr>
          <w:rFonts w:ascii="Times New Roman" w:hAnsi="Times New Roman" w:cs="Times New Roman"/>
          <w:sz w:val="24"/>
          <w:szCs w:val="24"/>
          <w:shd w:val="clear" w:color="auto" w:fill="FFFFFF"/>
        </w:rPr>
        <w:t>(Ya pasó el tiempo para dudar)</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15-3-2009 - </w:t>
      </w:r>
      <w:r w:rsidRPr="00701FDD">
        <w:rPr>
          <w:rFonts w:ascii="Times New Roman" w:hAnsi="Times New Roman" w:cs="Times New Roman"/>
          <w:sz w:val="24"/>
          <w:szCs w:val="24"/>
          <w:shd w:val="clear" w:color="auto" w:fill="FFFFFF"/>
        </w:rPr>
        <w:t xml:space="preserve">Víctimas del futuro - De plan de rescate en plan del rescate hacia la derrota final o </w:t>
      </w:r>
      <w:r>
        <w:rPr>
          <w:rFonts w:ascii="Times New Roman" w:hAnsi="Times New Roman" w:cs="Times New Roman"/>
          <w:sz w:val="24"/>
          <w:szCs w:val="24"/>
          <w:shd w:val="clear" w:color="auto" w:fill="FFFFFF"/>
        </w:rPr>
        <w:t xml:space="preserve">el regreso del proteccionismo - </w:t>
      </w:r>
      <w:r w:rsidRPr="00701FDD">
        <w:rPr>
          <w:rFonts w:ascii="Times New Roman" w:hAnsi="Times New Roman" w:cs="Times New Roman"/>
          <w:sz w:val="24"/>
          <w:szCs w:val="24"/>
          <w:shd w:val="clear" w:color="auto" w:fill="FFFFFF"/>
        </w:rPr>
        <w:t>Adiós al liberalismo: en busca de la confianza perdida</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5-9-2011- </w:t>
      </w:r>
      <w:r w:rsidRPr="00701FDD">
        <w:rPr>
          <w:rFonts w:ascii="Times New Roman" w:hAnsi="Times New Roman" w:cs="Times New Roman"/>
          <w:sz w:val="24"/>
          <w:szCs w:val="24"/>
          <w:shd w:val="clear" w:color="auto" w:fill="FFFFFF"/>
        </w:rPr>
        <w:t xml:space="preserve">Las "externalidades" de la globalización: ¿Cuán peligrosa es la </w:t>
      </w:r>
      <w:r>
        <w:rPr>
          <w:rFonts w:ascii="Times New Roman" w:hAnsi="Times New Roman" w:cs="Times New Roman"/>
          <w:sz w:val="24"/>
          <w:szCs w:val="24"/>
          <w:shd w:val="clear" w:color="auto" w:fill="FFFFFF"/>
        </w:rPr>
        <w:t xml:space="preserve">economía global? - </w:t>
      </w:r>
      <w:r w:rsidRPr="00701FDD">
        <w:rPr>
          <w:rFonts w:ascii="Times New Roman" w:hAnsi="Times New Roman" w:cs="Times New Roman"/>
          <w:sz w:val="24"/>
          <w:szCs w:val="24"/>
          <w:shd w:val="clear" w:color="auto" w:fill="FFFFFF"/>
        </w:rPr>
        <w:t>La vulnerabilidad a los impactos externos (con la perspectiva que dan los años transcurridos… y algunas crisis padecidas)</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15-3-2013 - </w:t>
      </w:r>
      <w:r w:rsidRPr="00701FDD">
        <w:rPr>
          <w:rFonts w:ascii="Times New Roman" w:hAnsi="Times New Roman" w:cs="Times New Roman"/>
          <w:sz w:val="24"/>
          <w:szCs w:val="24"/>
          <w:shd w:val="clear" w:color="auto" w:fill="FFFFFF"/>
        </w:rPr>
        <w:t>La "deslocalización inversa" (la des-deslocalización: a verlas venir)</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15-6-2015 - </w:t>
      </w:r>
      <w:r w:rsidRPr="00701FDD">
        <w:rPr>
          <w:rFonts w:ascii="Times New Roman" w:hAnsi="Times New Roman" w:cs="Times New Roman"/>
          <w:sz w:val="24"/>
          <w:szCs w:val="24"/>
          <w:shd w:val="clear" w:color="auto" w:fill="FFFFFF"/>
        </w:rPr>
        <w:t>Análisis crítico del Tratado Transatlántico de Comercio e Inversiones entre la Unión Europea y Estados Unidos (TTIP) - (Parte</w:t>
      </w:r>
      <w:r>
        <w:rPr>
          <w:rFonts w:ascii="Times New Roman" w:hAnsi="Times New Roman" w:cs="Times New Roman"/>
          <w:sz w:val="24"/>
          <w:szCs w:val="24"/>
          <w:shd w:val="clear" w:color="auto" w:fill="FFFFFF"/>
        </w:rPr>
        <w:t>s</w:t>
      </w:r>
      <w:r w:rsidRPr="00701FDD">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701FDD">
        <w:rPr>
          <w:rFonts w:ascii="Times New Roman" w:hAnsi="Times New Roman" w:cs="Times New Roman"/>
          <w:sz w:val="24"/>
          <w:szCs w:val="24"/>
          <w:shd w:val="clear" w:color="auto" w:fill="FFFFFF"/>
        </w:rPr>
        <w:t>)</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17-1-2017 - </w:t>
      </w:r>
      <w:r w:rsidRPr="00B000CB">
        <w:rPr>
          <w:rFonts w:ascii="Times New Roman" w:hAnsi="Times New Roman" w:cs="Times New Roman"/>
          <w:sz w:val="24"/>
          <w:szCs w:val="24"/>
          <w:shd w:val="clear" w:color="auto" w:fill="FFFFFF"/>
        </w:rPr>
        <w:t>El "legado vital" de la globalización: del malestar económico al populismo emocional e irreflexivo (de aquellos polvos, estos lodos) (Parte</w:t>
      </w:r>
      <w:r>
        <w:rPr>
          <w:rFonts w:ascii="Times New Roman" w:hAnsi="Times New Roman" w:cs="Times New Roman"/>
          <w:sz w:val="24"/>
          <w:szCs w:val="24"/>
          <w:shd w:val="clear" w:color="auto" w:fill="FFFFFF"/>
        </w:rPr>
        <w:t>s</w:t>
      </w:r>
      <w:r w:rsidRPr="00B000CB">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B000CB">
        <w:rPr>
          <w:rFonts w:ascii="Times New Roman" w:hAnsi="Times New Roman" w:cs="Times New Roman"/>
          <w:sz w:val="24"/>
          <w:szCs w:val="24"/>
          <w:shd w:val="clear" w:color="auto" w:fill="FFFFFF"/>
        </w:rPr>
        <w:t>)</w:t>
      </w:r>
    </w:p>
    <w:p w:rsidR="00772428" w:rsidRDefault="00772428" w:rsidP="00772428">
      <w:pPr>
        <w:spacing w:line="240" w:lineRule="auto"/>
        <w:jc w:val="both"/>
        <w:rPr>
          <w:rFonts w:ascii="Times New Roman" w:hAnsi="Times New Roman" w:cs="Times New Roman"/>
          <w:sz w:val="24"/>
          <w:szCs w:val="24"/>
          <w:shd w:val="clear" w:color="auto" w:fill="FFFFFF"/>
        </w:rPr>
      </w:pPr>
      <w:r w:rsidRPr="00B000CB">
        <w:rPr>
          <w:rFonts w:ascii="Times New Roman" w:hAnsi="Times New Roman" w:cs="Times New Roman"/>
          <w:sz w:val="24"/>
          <w:szCs w:val="24"/>
          <w:shd w:val="clear" w:color="auto" w:fill="FFFFFF"/>
        </w:rPr>
        <w:t>15-8</w:t>
      </w:r>
      <w:r>
        <w:rPr>
          <w:rFonts w:ascii="Times New Roman" w:hAnsi="Times New Roman" w:cs="Times New Roman"/>
          <w:sz w:val="24"/>
          <w:szCs w:val="24"/>
          <w:shd w:val="clear" w:color="auto" w:fill="FFFFFF"/>
        </w:rPr>
        <w:t xml:space="preserve">-2017 - </w:t>
      </w:r>
      <w:r w:rsidRPr="00B000CB">
        <w:rPr>
          <w:rFonts w:ascii="Times New Roman" w:hAnsi="Times New Roman" w:cs="Times New Roman"/>
          <w:sz w:val="24"/>
          <w:szCs w:val="24"/>
          <w:shd w:val="clear" w:color="auto" w:fill="FFFFFF"/>
        </w:rPr>
        <w:t>¿Las políticas de Trump perjudican o benefician a la Unión Europea? (¿Pueden los "ratones" -dirigentes de plastilina- hacer "meditación"?) (Parte</w:t>
      </w:r>
      <w:r>
        <w:rPr>
          <w:rFonts w:ascii="Times New Roman" w:hAnsi="Times New Roman" w:cs="Times New Roman"/>
          <w:sz w:val="24"/>
          <w:szCs w:val="24"/>
          <w:shd w:val="clear" w:color="auto" w:fill="FFFFFF"/>
        </w:rPr>
        <w:t>s</w:t>
      </w:r>
      <w:r w:rsidRPr="00B000CB">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B000CB">
        <w:rPr>
          <w:rFonts w:ascii="Times New Roman" w:hAnsi="Times New Roman" w:cs="Times New Roman"/>
          <w:sz w:val="24"/>
          <w:szCs w:val="24"/>
          <w:shd w:val="clear" w:color="auto" w:fill="FFFFFF"/>
        </w:rPr>
        <w:t>)</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12-11-2018 - </w:t>
      </w:r>
      <w:r w:rsidRPr="00B000CB">
        <w:rPr>
          <w:rFonts w:ascii="Times New Roman" w:hAnsi="Times New Roman" w:cs="Times New Roman"/>
          <w:sz w:val="24"/>
          <w:szCs w:val="24"/>
          <w:shd w:val="clear" w:color="auto" w:fill="FFFFFF"/>
        </w:rPr>
        <w:t>Guerra comercial EEUU-China-UE-Japón (¿será cierto que "todos" pierden?)</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15-1-2020 - </w:t>
      </w:r>
      <w:r w:rsidRPr="00B000CB">
        <w:rPr>
          <w:rFonts w:ascii="Times New Roman" w:hAnsi="Times New Roman" w:cs="Times New Roman"/>
          <w:sz w:val="24"/>
          <w:szCs w:val="24"/>
          <w:shd w:val="clear" w:color="auto" w:fill="FFFFFF"/>
        </w:rPr>
        <w:t xml:space="preserve">¿Qué se oculta tras el "veto" americano a HUAWEI? </w:t>
      </w:r>
      <w:r>
        <w:rPr>
          <w:rFonts w:ascii="Times New Roman" w:hAnsi="Times New Roman" w:cs="Times New Roman"/>
          <w:sz w:val="24"/>
          <w:szCs w:val="24"/>
          <w:shd w:val="clear" w:color="auto" w:fill="FFFFFF"/>
        </w:rPr>
        <w:t xml:space="preserve">- </w:t>
      </w:r>
      <w:r w:rsidRPr="00B000CB">
        <w:rPr>
          <w:rFonts w:ascii="Times New Roman" w:hAnsi="Times New Roman" w:cs="Times New Roman"/>
          <w:sz w:val="24"/>
          <w:szCs w:val="24"/>
          <w:shd w:val="clear" w:color="auto" w:fill="FFFFFF"/>
        </w:rPr>
        <w:t>¿Daño colateral, u objetivo estratégico, en la batalla tecnológica USA/CHINA?</w:t>
      </w:r>
      <w:r>
        <w:rPr>
          <w:rFonts w:ascii="Times New Roman" w:hAnsi="Times New Roman" w:cs="Times New Roman"/>
          <w:sz w:val="24"/>
          <w:szCs w:val="24"/>
          <w:shd w:val="clear" w:color="auto" w:fill="FFFFFF"/>
        </w:rPr>
        <w:t xml:space="preserve"> - </w:t>
      </w:r>
      <w:r w:rsidRPr="00B000CB">
        <w:rPr>
          <w:rFonts w:ascii="Times New Roman" w:hAnsi="Times New Roman" w:cs="Times New Roman"/>
          <w:sz w:val="24"/>
          <w:szCs w:val="24"/>
          <w:shd w:val="clear" w:color="auto" w:fill="FFFFFF"/>
        </w:rPr>
        <w:t>¿Cuál es la mano que mece la cuna?</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15-10-2020 - </w:t>
      </w:r>
      <w:r w:rsidRPr="00B000CB">
        <w:rPr>
          <w:rFonts w:ascii="Times New Roman" w:hAnsi="Times New Roman" w:cs="Times New Roman"/>
          <w:sz w:val="24"/>
          <w:szCs w:val="24"/>
          <w:shd w:val="clear" w:color="auto" w:fill="FFFFFF"/>
        </w:rPr>
        <w:t>¿La Unión Europea tendrá qu</w:t>
      </w:r>
      <w:r>
        <w:rPr>
          <w:rFonts w:ascii="Times New Roman" w:hAnsi="Times New Roman" w:cs="Times New Roman"/>
          <w:sz w:val="24"/>
          <w:szCs w:val="24"/>
          <w:shd w:val="clear" w:color="auto" w:fill="FFFFFF"/>
        </w:rPr>
        <w:t>e "elegir" entre China y los EEUU</w:t>
      </w:r>
      <w:r w:rsidRPr="00B000CB">
        <w:rPr>
          <w:rFonts w:ascii="Times New Roman" w:hAnsi="Times New Roman" w:cs="Times New Roman"/>
          <w:sz w:val="24"/>
          <w:szCs w:val="24"/>
          <w:shd w:val="clear" w:color="auto" w:fill="FFFFFF"/>
        </w:rPr>
        <w:t>?</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5-12-2020 - </w:t>
      </w:r>
      <w:r w:rsidRPr="00B000CB">
        <w:rPr>
          <w:rFonts w:ascii="Times New Roman" w:hAnsi="Times New Roman" w:cs="Times New Roman"/>
          <w:sz w:val="24"/>
          <w:szCs w:val="24"/>
          <w:shd w:val="clear" w:color="auto" w:fill="FFFFFF"/>
        </w:rPr>
        <w:t>Economía Liberal y Democracia Iliberal (¿seré ésta, la "única" fórmula viable de preservar un capitalismo "globalizado"?)</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14-1-2021 - </w:t>
      </w:r>
      <w:r w:rsidRPr="00B000CB">
        <w:rPr>
          <w:rFonts w:ascii="Times New Roman" w:hAnsi="Times New Roman" w:cs="Times New Roman"/>
          <w:sz w:val="24"/>
          <w:szCs w:val="24"/>
          <w:shd w:val="clear" w:color="auto" w:fill="FFFFFF"/>
        </w:rPr>
        <w:t>La guerra fría tecnológica y la red 5G (USA vs. China)</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15-3-2021 - </w:t>
      </w:r>
      <w:r w:rsidRPr="00B000CB">
        <w:rPr>
          <w:rFonts w:ascii="Times New Roman" w:hAnsi="Times New Roman" w:cs="Times New Roman"/>
          <w:sz w:val="24"/>
          <w:szCs w:val="24"/>
          <w:shd w:val="clear" w:color="auto" w:fill="FFFFFF"/>
        </w:rPr>
        <w:t>¿Por qué no se reclaman a China "daños y perjuicios" por la "pandemia" de Covid-19? (¿miedo, falta de liderazgo, indecisión, connivencia?)</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15-6-2021 - </w:t>
      </w:r>
      <w:r w:rsidRPr="00B000CB">
        <w:rPr>
          <w:rFonts w:ascii="Times New Roman" w:hAnsi="Times New Roman" w:cs="Times New Roman"/>
          <w:sz w:val="24"/>
          <w:szCs w:val="24"/>
          <w:shd w:val="clear" w:color="auto" w:fill="FFFFFF"/>
        </w:rPr>
        <w:t>¿"Haciendo negocios" con China?</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15-9-2022 - </w:t>
      </w:r>
      <w:r w:rsidRPr="00B000CB">
        <w:rPr>
          <w:rFonts w:ascii="Times New Roman" w:hAnsi="Times New Roman" w:cs="Times New Roman"/>
          <w:sz w:val="24"/>
          <w:szCs w:val="24"/>
          <w:shd w:val="clear" w:color="auto" w:fill="FFFFFF"/>
        </w:rPr>
        <w:t>El "Gran Reseteo" de Davos, y la "fórmula de la felicidad", según Xi Jinping ¿Está Occidente "preparado" para que China tome el relevo del Poder Mundial? (Parte</w:t>
      </w:r>
      <w:r>
        <w:rPr>
          <w:rFonts w:ascii="Times New Roman" w:hAnsi="Times New Roman" w:cs="Times New Roman"/>
          <w:sz w:val="24"/>
          <w:szCs w:val="24"/>
          <w:shd w:val="clear" w:color="auto" w:fill="FFFFFF"/>
        </w:rPr>
        <w:t>s</w:t>
      </w:r>
      <w:r w:rsidRPr="00B000CB">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B000CB">
        <w:rPr>
          <w:rFonts w:ascii="Times New Roman" w:hAnsi="Times New Roman" w:cs="Times New Roman"/>
          <w:sz w:val="24"/>
          <w:szCs w:val="24"/>
          <w:shd w:val="clear" w:color="auto" w:fill="FFFFFF"/>
        </w:rPr>
        <w:t>)</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15-10-2022 - </w:t>
      </w:r>
      <w:r w:rsidRPr="00915A71">
        <w:rPr>
          <w:rFonts w:ascii="Times New Roman" w:hAnsi="Times New Roman" w:cs="Times New Roman"/>
          <w:sz w:val="24"/>
          <w:szCs w:val="24"/>
          <w:shd w:val="clear" w:color="auto" w:fill="FFFFFF"/>
        </w:rPr>
        <w:t>Del European Green Dream, al European Black Nightmare (de Eco-friendly, a Eco-suicida) - Si la UE quiere sobrevivir, debe prepararse para lo peor (Parte</w:t>
      </w:r>
      <w:r>
        <w:rPr>
          <w:rFonts w:ascii="Times New Roman" w:hAnsi="Times New Roman" w:cs="Times New Roman"/>
          <w:sz w:val="24"/>
          <w:szCs w:val="24"/>
          <w:shd w:val="clear" w:color="auto" w:fill="FFFFFF"/>
        </w:rPr>
        <w:t>s</w:t>
      </w:r>
      <w:r w:rsidRPr="00915A71">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915A71">
        <w:rPr>
          <w:rFonts w:ascii="Times New Roman" w:hAnsi="Times New Roman" w:cs="Times New Roman"/>
          <w:sz w:val="24"/>
          <w:szCs w:val="24"/>
          <w:shd w:val="clear" w:color="auto" w:fill="FFFFFF"/>
        </w:rPr>
        <w:t>)</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15-12-2022 - </w:t>
      </w:r>
      <w:r w:rsidRPr="00915A71">
        <w:rPr>
          <w:rFonts w:ascii="Times New Roman" w:hAnsi="Times New Roman" w:cs="Times New Roman"/>
          <w:sz w:val="24"/>
          <w:szCs w:val="24"/>
          <w:shd w:val="clear" w:color="auto" w:fill="FFFFFF"/>
        </w:rPr>
        <w:t>El día que a la Unión Europea se le terminaron todas las “mentiras confortables”</w:t>
      </w:r>
    </w:p>
    <w:p w:rsidR="00772428" w:rsidRDefault="00772428" w:rsidP="0077242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15-6-23 - </w:t>
      </w:r>
      <w:r w:rsidRPr="00D71DA4">
        <w:rPr>
          <w:rFonts w:ascii="Times New Roman" w:hAnsi="Times New Roman" w:cs="Times New Roman"/>
          <w:sz w:val="24"/>
          <w:szCs w:val="24"/>
          <w:shd w:val="clear" w:color="auto" w:fill="FFFFFF"/>
        </w:rPr>
        <w:t>¿Hasta dónde es (o era) sostenible la globalización? - Los dislates de un librecambio bipolar (parcial, sesgado, ficticio) - Contestando la “homilía” de WSJ</w:t>
      </w:r>
    </w:p>
    <w:p w:rsidR="00772428" w:rsidRPr="00EF5998" w:rsidRDefault="00772428" w:rsidP="00772428">
      <w:pPr>
        <w:spacing w:line="240" w:lineRule="auto"/>
        <w:jc w:val="both"/>
        <w:rPr>
          <w:rFonts w:ascii="Times New Roman" w:hAnsi="Times New Roman" w:cs="Times New Roman"/>
          <w:b/>
          <w:sz w:val="24"/>
          <w:szCs w:val="24"/>
        </w:rPr>
      </w:pPr>
      <w:r w:rsidRPr="00EF5998">
        <w:rPr>
          <w:rFonts w:ascii="Times New Roman" w:hAnsi="Times New Roman" w:cs="Times New Roman"/>
          <w:b/>
          <w:sz w:val="24"/>
          <w:szCs w:val="24"/>
          <w:shd w:val="clear" w:color="auto" w:fill="FFFFFF"/>
        </w:rPr>
        <w:t>La mano que mece la cuna (“</w:t>
      </w:r>
      <w:r w:rsidRPr="00EF5998">
        <w:rPr>
          <w:rFonts w:ascii="Times New Roman" w:hAnsi="Times New Roman" w:cs="Times New Roman"/>
          <w:b/>
          <w:sz w:val="24"/>
          <w:szCs w:val="24"/>
        </w:rPr>
        <w:t>con amigos así, no hacen falta enemigos”)</w:t>
      </w:r>
    </w:p>
    <w:p w:rsidR="00772428"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Daniel Gros no fuera un economista tan importante dentro de la burocracia dominante (establishment) de la Unión Europea, no tendría que volver a insistir sobre mis “viejas y queridas causas perdidas”… </w:t>
      </w:r>
    </w:p>
    <w:p w:rsidR="00772428"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Si Daniel Gros no hubiera rebasado la fina línea que separa a los tontos útiles de los cómplices necesarios, del librecambio y la globalización, no tendría que volver a padecer “</w:t>
      </w:r>
      <w:r w:rsidRPr="00915A71">
        <w:rPr>
          <w:rFonts w:ascii="Times New Roman" w:hAnsi="Times New Roman" w:cs="Times New Roman"/>
          <w:sz w:val="24"/>
          <w:szCs w:val="24"/>
        </w:rPr>
        <w:t>la amargura de la victoria</w:t>
      </w:r>
      <w:r>
        <w:rPr>
          <w:rFonts w:ascii="Times New Roman" w:hAnsi="Times New Roman" w:cs="Times New Roman"/>
          <w:sz w:val="24"/>
          <w:szCs w:val="24"/>
        </w:rPr>
        <w:t>”…</w:t>
      </w:r>
    </w:p>
    <w:p w:rsidR="00772428"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no sospechara que aún quedan demasiados grandes bonetes de la economía (vacas sagradas, cabezas de huevo, gurús mediáticos, o analistas de postín) -algunos “nobelados”, y muchos “noveleros”-  que mean colonia y viven desconectados de la realidad, “esperaría sentado en el umbral de mi casa ver pasar el cadáver” de la globalización y el librecambio… </w:t>
      </w:r>
    </w:p>
    <w:p w:rsidR="00772428"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Si no constatara que la Unión Europea (Consejo, Comisión y Parlamento) sigue “abducida” por la globalización, el librecambio y la financierización, aceptando el triste papel de “mercado cautivo” (de EEUU y China), renunciando a cualquier alternativa de autonomía,  soberanía, y regionalización, “no continuaría gritando desde el Speakers’ corner”…</w:t>
      </w:r>
    </w:p>
    <w:p w:rsidR="00772428" w:rsidRPr="00EF5998" w:rsidRDefault="00772428" w:rsidP="00772428">
      <w:pPr>
        <w:spacing w:line="240" w:lineRule="auto"/>
        <w:jc w:val="both"/>
        <w:rPr>
          <w:rFonts w:ascii="Times New Roman" w:hAnsi="Times New Roman" w:cs="Times New Roman"/>
          <w:sz w:val="24"/>
          <w:szCs w:val="24"/>
        </w:rPr>
      </w:pPr>
      <w:r w:rsidRPr="00EF5998">
        <w:rPr>
          <w:rFonts w:ascii="Times New Roman" w:hAnsi="Times New Roman" w:cs="Times New Roman"/>
          <w:b/>
          <w:sz w:val="24"/>
          <w:szCs w:val="24"/>
        </w:rPr>
        <w:lastRenderedPageBreak/>
        <w:t xml:space="preserve">Aunque algunos, a regañadientes, tarde y mal van recortando el “pensamiento circular” </w:t>
      </w:r>
    </w:p>
    <w:p w:rsidR="00772428" w:rsidRDefault="00772428" w:rsidP="00772428">
      <w:pPr>
        <w:pStyle w:val="NormalWeb"/>
        <w:shd w:val="clear" w:color="auto" w:fill="FFFFFF"/>
        <w:spacing w:after="0"/>
        <w:jc w:val="both"/>
        <w:textAlignment w:val="baseline"/>
      </w:pPr>
      <w:r>
        <w:t xml:space="preserve">- </w:t>
      </w:r>
      <w:r w:rsidRPr="00C45459">
        <w:rPr>
          <w:u w:val="single"/>
        </w:rPr>
        <w:t>La desglobalización y sus consecuencias: ¿ha muerto la era del libre comercio?</w:t>
      </w:r>
      <w:r>
        <w:t xml:space="preserve"> (Libertad Digital - </w:t>
      </w:r>
      <w:r w:rsidRPr="00C45459">
        <w:rPr>
          <w:b/>
        </w:rPr>
        <w:t>27/12/22</w:t>
      </w:r>
      <w:r>
        <w:t>)</w:t>
      </w:r>
    </w:p>
    <w:p w:rsidR="00772428" w:rsidRDefault="00772428" w:rsidP="00772428">
      <w:pPr>
        <w:pStyle w:val="NormalWeb"/>
        <w:shd w:val="clear" w:color="auto" w:fill="FFFFFF"/>
        <w:spacing w:after="0"/>
        <w:jc w:val="both"/>
        <w:textAlignment w:val="baseline"/>
      </w:pPr>
      <w:r>
        <w:t>Inversores, empresarios, economistas y politólogos, de acuerdo en la deriva del sistema internacional.</w:t>
      </w:r>
    </w:p>
    <w:p w:rsidR="00772428" w:rsidRDefault="00772428" w:rsidP="00772428">
      <w:pPr>
        <w:pStyle w:val="NormalWeb"/>
        <w:shd w:val="clear" w:color="auto" w:fill="FFFFFF"/>
        <w:spacing w:after="0"/>
        <w:jc w:val="both"/>
        <w:textAlignment w:val="baseline"/>
      </w:pPr>
      <w:r>
        <w:t>(Por Diego Sánchez de la Cruz)</w:t>
      </w:r>
    </w:p>
    <w:p w:rsidR="00772428" w:rsidRPr="00A91106" w:rsidRDefault="00772428" w:rsidP="00772428">
      <w:pPr>
        <w:pStyle w:val="NormalWeb"/>
        <w:shd w:val="clear" w:color="auto" w:fill="FFFFFF"/>
        <w:spacing w:after="0"/>
        <w:jc w:val="both"/>
        <w:textAlignment w:val="baseline"/>
        <w:rPr>
          <w:u w:val="single"/>
        </w:rPr>
      </w:pPr>
      <w:r w:rsidRPr="00A91106">
        <w:rPr>
          <w:u w:val="single"/>
        </w:rPr>
        <w:t>La globalización tocó techo a mediados de la primera década del siglo XX. El estallido de la Gran Recesión en 2007-2008 puso coto al avance del comercio internacional de bienes y servicios, inaugurando una nueva fase de desconfianza que solo se ha incrementado desde entonces. La crisis de la Eurozona introdujo más dudas en el sistema, poniendo en jaque la integración económica del Viejo Continente entre 2010 y 2012. La década siguiente debió haber estado presidida por una normalización de los términos de intercambio, pero lo que realmente ocurrió fue una guerra comercial cada vez más intensa y un auge del populismo autoritario que también contribuyó a la discordia. En 2020, el estallido de la pandemia del coronavirus impuso aún más obstáculos en el escenario mundial, que llegó exhausto a 2022, con una crisis de estanflación a la que se ha sumado la invasión rusa de Ucrania.</w:t>
      </w:r>
    </w:p>
    <w:p w:rsidR="00772428" w:rsidRDefault="00772428" w:rsidP="00772428">
      <w:pPr>
        <w:pStyle w:val="NormalWeb"/>
        <w:shd w:val="clear" w:color="auto" w:fill="FFFFFF"/>
        <w:spacing w:after="0"/>
        <w:jc w:val="both"/>
        <w:textAlignment w:val="baseline"/>
      </w:pPr>
      <w:r w:rsidRPr="00A91106">
        <w:rPr>
          <w:color w:val="FF0000"/>
          <w:u w:val="single"/>
        </w:rPr>
        <w:t>En su último libro, Principios para navegar el nuevo orden mundial (Deusto), el legendario inversor Ray Dalio afirma abiertamente que la era de la globalización liderada por Estados Unidos está llegando a su fin. El impulsor del mítico fondo Bridgewater considera que los ciclos de poder tienden a verse superados cuando concurren una serie de circunstancias geopolíticas y económicas que desgastan de forma definitiva a las potencias hegemónicas</w:t>
      </w:r>
      <w:r>
        <w:t>. El excesivo endeudamiento de su país, combinado con la pérdida de influencia a nivel global y el papel cada vez más relevante y controvertido jugado por China, serían motivos de sobra para considerar que el poderío de la nación norteamericana va en retroceso, como ocurrió en tiempos pasados con otros agentes hegemónicos.</w:t>
      </w:r>
    </w:p>
    <w:p w:rsidR="00772428" w:rsidRPr="00A91106" w:rsidRDefault="00772428" w:rsidP="00772428">
      <w:pPr>
        <w:pStyle w:val="NormalWeb"/>
        <w:shd w:val="clear" w:color="auto" w:fill="FFFFFF"/>
        <w:spacing w:after="0"/>
        <w:jc w:val="both"/>
        <w:textAlignment w:val="baseline"/>
        <w:rPr>
          <w:color w:val="FF0000"/>
          <w:u w:val="single"/>
        </w:rPr>
      </w:pPr>
      <w:r>
        <w:t xml:space="preserve">Si la guerra en Ucrania ha hecho sonar todas las alarmas y ha puesto en duda la capacidad de Occidente de repeler las avanzadas de potencias abiertamente hostiles, la creciente tensión en Taiwán se antoja como el escenario en el que nadie quiere pensar, pero puede llegar a desatar una guerra abierta en la que estarían involucradas las principales potencias. </w:t>
      </w:r>
      <w:r w:rsidRPr="00A91106">
        <w:rPr>
          <w:color w:val="FF0000"/>
          <w:u w:val="single"/>
        </w:rPr>
        <w:t>En este sentido, cobran especial valor las últimas declaraciones de Morris Chang, ampliamente reconocido como el padre de la industria de los microchips y los semiconductores. Según el empresario taiwanés, máximo responsable del gigante TSMC, “la globalización está prácticamente muerta”.</w:t>
      </w:r>
    </w:p>
    <w:p w:rsidR="00772428" w:rsidRPr="00A91106" w:rsidRDefault="00772428" w:rsidP="00772428">
      <w:pPr>
        <w:pStyle w:val="NormalWeb"/>
        <w:shd w:val="clear" w:color="auto" w:fill="FFFFFF"/>
        <w:spacing w:after="0"/>
        <w:jc w:val="both"/>
        <w:textAlignment w:val="baseline"/>
        <w:rPr>
          <w:color w:val="FF0000"/>
          <w:u w:val="single"/>
        </w:rPr>
      </w:pPr>
      <w:r w:rsidRPr="00A91106">
        <w:rPr>
          <w:color w:val="FF0000"/>
          <w:u w:val="single"/>
        </w:rPr>
        <w:t>En la misma línea parece ir el pensamiento de Tim Cook, consejero delegado de Apple. El sucesor de Steve Jobs ha puesto en marcha una estrategia de relocalización de la producción, con la que pretende asegurar que el grueso de la producción de la compañía se desarrolle íntegramente en Estados Unidos</w:t>
      </w:r>
      <w:r>
        <w:t xml:space="preserve">. “Por muchos años, Apple y Silicon Valley han transformado nuestros dispositivos, ofreciendo nuevos niveles de desempeño y permitiendo que nuestros usuarios hagan cosas que nunca antes habrían imaginado. Ahora, apoyándonos en el trabajo duro de mucha gente, queremos asegurarnos de que los chips de nuestros productos son orgullosamente fabricados en América. </w:t>
      </w:r>
      <w:r w:rsidRPr="00A91106">
        <w:rPr>
          <w:color w:val="FF0000"/>
          <w:u w:val="single"/>
        </w:rPr>
        <w:t>Es hora de que Estados Unidos propicie una nueva era en el ámbito de las manufacturas avanzadas”, declaró en el mismo evento en el que Chang hizo su sombría advertencia.</w:t>
      </w:r>
    </w:p>
    <w:p w:rsidR="00772428" w:rsidRPr="00A91106" w:rsidRDefault="00772428" w:rsidP="00772428">
      <w:pPr>
        <w:pStyle w:val="NormalWeb"/>
        <w:shd w:val="clear" w:color="auto" w:fill="FFFFFF"/>
        <w:spacing w:after="0"/>
        <w:jc w:val="both"/>
        <w:textAlignment w:val="baseline"/>
        <w:rPr>
          <w:color w:val="FF0000"/>
          <w:u w:val="single"/>
        </w:rPr>
      </w:pPr>
      <w:r w:rsidRPr="00A91106">
        <w:rPr>
          <w:color w:val="FF0000"/>
          <w:u w:val="single"/>
        </w:rPr>
        <w:lastRenderedPageBreak/>
        <w:t>Otra voz que se ha pronunciado recientemente sobre esta deriva es Dani Rodrik</w:t>
      </w:r>
      <w:r>
        <w:t xml:space="preserve">. </w:t>
      </w:r>
      <w:r w:rsidRPr="00A91106">
        <w:rPr>
          <w:color w:val="FF0000"/>
          <w:u w:val="single"/>
        </w:rPr>
        <w:t>Conocido por sus escritos sobre los excesos en los que habría incurrido una globalización excesivamente dominada por la banca y las grandes corporaciones</w:t>
      </w:r>
      <w:r>
        <w:t xml:space="preserve">, considera asimismo que el cambio que estamos viviendo es a peor, puesto que las crecientes tensiones geopolíticas estarían conduciéndonos a un mundo menos eficiente, en clave económica, y menos seguro, en términos de paz. </w:t>
      </w:r>
      <w:r w:rsidRPr="00A91106">
        <w:rPr>
          <w:color w:val="FF0000"/>
          <w:u w:val="single"/>
        </w:rPr>
        <w:t>El crítico de la hiperglobalización llama ahora la atención sobre los efectos de la desglobalización.</w:t>
      </w:r>
    </w:p>
    <w:p w:rsidR="00772428" w:rsidRPr="00A91106" w:rsidRDefault="00772428" w:rsidP="00772428">
      <w:pPr>
        <w:pStyle w:val="NormalWeb"/>
        <w:shd w:val="clear" w:color="auto" w:fill="FFFFFF"/>
        <w:spacing w:after="0"/>
        <w:jc w:val="both"/>
        <w:textAlignment w:val="baseline"/>
        <w:rPr>
          <w:color w:val="FF0000"/>
          <w:u w:val="single"/>
        </w:rPr>
      </w:pPr>
      <w:r w:rsidRPr="00A91106">
        <w:rPr>
          <w:color w:val="FF0000"/>
          <w:u w:val="single"/>
        </w:rPr>
        <w:t>También merece la pena revisar los trabajos del politólogo sueco Andreas Johansson Heinö, académico del influyente think tank TIMBRO. El investigador escandinavo ha elaborado a lo largo de los años un Índice de Populismo Autoritario en el que denuncia un imparable aumento de estas ideas y alerta del impacto que tiene en la economía mundial el avance político de las nuevas derechas proteccionistas y las viejas izquierdas anticapitalistas, antagónicas en tantos puntos pero coincidentes en su rechazo al modelo de mercado.</w:t>
      </w:r>
    </w:p>
    <w:p w:rsidR="00772428" w:rsidRDefault="00772428" w:rsidP="00772428">
      <w:pPr>
        <w:pStyle w:val="NormalWeb"/>
        <w:shd w:val="clear" w:color="auto" w:fill="FFFFFF"/>
        <w:spacing w:after="0"/>
        <w:jc w:val="both"/>
        <w:textAlignment w:val="baseline"/>
      </w:pPr>
      <w:r>
        <w:t xml:space="preserve">De modo que el pesimismo expresado por inversores, empresarios, economistas y politólogos de diversa procedencia y trayectoria encaja, en última instancia, con un mismo planteamiento, según el cual la globalización está en un punto crítico y podría estar condenada a un declive imparable debido al auge de planteamientos geopolíticos y económicos que, en última instancia, tienen difícil encaje con los principios de una economía </w:t>
      </w:r>
      <w:r w:rsidRPr="009F4540">
        <w:t>global abierta e integrada.</w:t>
      </w:r>
    </w:p>
    <w:p w:rsidR="00772428" w:rsidRPr="008502D9"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502D9">
        <w:rPr>
          <w:rFonts w:ascii="Times New Roman" w:hAnsi="Times New Roman" w:cs="Times New Roman"/>
          <w:sz w:val="24"/>
          <w:szCs w:val="24"/>
          <w:u w:val="single"/>
        </w:rPr>
        <w:t>La resistencia del comercio</w:t>
      </w:r>
      <w:r>
        <w:rPr>
          <w:rFonts w:ascii="Times New Roman" w:hAnsi="Times New Roman" w:cs="Times New Roman"/>
          <w:sz w:val="24"/>
          <w:szCs w:val="24"/>
        </w:rPr>
        <w:t xml:space="preserve"> (El Economista - Project Syndicate - </w:t>
      </w:r>
      <w:r w:rsidRPr="008502D9">
        <w:rPr>
          <w:rFonts w:ascii="Times New Roman" w:hAnsi="Times New Roman" w:cs="Times New Roman"/>
          <w:b/>
          <w:sz w:val="24"/>
          <w:szCs w:val="24"/>
        </w:rPr>
        <w:t>31/12/22</w:t>
      </w:r>
      <w:r>
        <w:rPr>
          <w:rFonts w:ascii="Times New Roman" w:hAnsi="Times New Roman" w:cs="Times New Roman"/>
          <w:sz w:val="24"/>
          <w:szCs w:val="24"/>
        </w:rPr>
        <w:t>)</w:t>
      </w:r>
    </w:p>
    <w:p w:rsidR="00772428" w:rsidRPr="008502D9"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502D9">
        <w:rPr>
          <w:rFonts w:ascii="Times New Roman" w:hAnsi="Times New Roman" w:cs="Times New Roman"/>
          <w:sz w:val="24"/>
          <w:szCs w:val="24"/>
        </w:rPr>
        <w:t>Janet L. Yellen</w:t>
      </w:r>
      <w:r>
        <w:rPr>
          <w:rFonts w:ascii="Times New Roman" w:hAnsi="Times New Roman" w:cs="Times New Roman"/>
          <w:sz w:val="24"/>
          <w:szCs w:val="24"/>
        </w:rPr>
        <w:t>)</w:t>
      </w:r>
    </w:p>
    <w:p w:rsidR="00772428" w:rsidRPr="008502D9" w:rsidRDefault="00772428" w:rsidP="00772428">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Las economías de todo el mundo se han visto sobrecargadas por los acontecimientos de los últimos tres años. La pandemia del Covid-19 se cobró millones de vidas y paralizó a la economía mundial. La guerra brutal de Rusia hace lo mismo con una cantidad devastadora de vidas e infraestructura en Ucrania, lo que generó repercusiones sísmicas para los precios del petróleo y de los alimentos en un momento en que la economía global es</w:t>
      </w:r>
      <w:r>
        <w:rPr>
          <w:rFonts w:ascii="Times New Roman" w:hAnsi="Times New Roman" w:cs="Times New Roman"/>
          <w:sz w:val="24"/>
          <w:szCs w:val="24"/>
        </w:rPr>
        <w:t>taba recuperando el equilibrio.</w:t>
      </w:r>
    </w:p>
    <w:p w:rsidR="00772428" w:rsidRPr="008502D9" w:rsidRDefault="00772428" w:rsidP="00772428">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Sobre todas estas crisis se asoma el cambio climático. Sequías e inundaciones severas han alterado la capacidad agrícola</w:t>
      </w:r>
      <w:r>
        <w:rPr>
          <w:rFonts w:ascii="Times New Roman" w:hAnsi="Times New Roman" w:cs="Times New Roman"/>
          <w:sz w:val="24"/>
          <w:szCs w:val="24"/>
        </w:rPr>
        <w:t>,</w:t>
      </w:r>
      <w:r w:rsidRPr="008502D9">
        <w:rPr>
          <w:rFonts w:ascii="Times New Roman" w:hAnsi="Times New Roman" w:cs="Times New Roman"/>
          <w:sz w:val="24"/>
          <w:szCs w:val="24"/>
        </w:rPr>
        <w:t xml:space="preserve"> y exacerbado la escasez de energía en todo el mundo. Estas alteraciones han resultado en una escasez grave de productos esenciales, lo que a su vez ha desacelerado el crecimiento global y contribuido a una alta inflación en muchas economías. En el mundo en desarrollo, hemos visto un incremento de la pobreza </w:t>
      </w:r>
      <w:r>
        <w:rPr>
          <w:rFonts w:ascii="Times New Roman" w:hAnsi="Times New Roman" w:cs="Times New Roman"/>
          <w:sz w:val="24"/>
          <w:szCs w:val="24"/>
        </w:rPr>
        <w:t>por primera vez en décadas.</w:t>
      </w:r>
    </w:p>
    <w:p w:rsidR="00772428" w:rsidRPr="008502D9" w:rsidRDefault="00772428" w:rsidP="00772428">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En el transcurso del año pasado, la administración del presidente norteamericano, Joe Biden, ha presentado un plan económico histórico para fortalecer la resiliencia de Estados Unidos contra alteraciones costosas del suministro como las que hemos experimentado. Hemos fortalecido nuestros esfuerzos para aliviar los cuellos de botella en los puertos con una supervisión constante de nuestras cadenas de suministro y una inversión histórica en nuestra infraestructura física. Y hemos sancionado legislación que ampliará la capacidad manufacturera doméstica en sectores medulares del siglo XXI como semiconductores y energía limpia.</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 xml:space="preserve">Sin embargo, creo que el éxito de nuestro plan también depende de la política económica en el exterior. El concepto tradicional de libre comercio hace hincapié en la eficiencia del </w:t>
      </w:r>
      <w:r w:rsidRPr="004E3BFA">
        <w:rPr>
          <w:rFonts w:ascii="Times New Roman" w:hAnsi="Times New Roman" w:cs="Times New Roman"/>
          <w:color w:val="FF0000"/>
          <w:sz w:val="24"/>
          <w:szCs w:val="24"/>
          <w:u w:val="single"/>
        </w:rPr>
        <w:lastRenderedPageBreak/>
        <w:t>comercio gobernado por una ventaja comparativa. Esa es la teoría económica que sugiere que cada nación debería producir aquello en lo que comparativamente es mejor. La ventaja competitiva explica las mejoras de eficiencia del comercio internacional y la especialización. Pero hemos aprendido que también debemos tener en cuenta la fiabilidad del comercio.</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En el mundo de hoy, creo que cualquier agenda económica debe considerar la posibilidad de que los shocks regionales y globales tengan un impacto en nuestras cadenas de suministro, incluyendo los shocks generados por las políticas de ciertos gobiernos extranjeros. Nos preocupan las vulnerabilidades que resultan de una concentración excesiva, los riesgos geopolíticos y de seguridad y la violación de los derechos humanos. A través de una estrategia llamada friend-shoring (NdT: limitar el comercio de insumos esenciales a países confiables), la administración Biden apunta a mantener las eficiencias del comercio promoviendo a la vez la resiliencia económica para Estados Unidos y sus socios.</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Podemos exportar los productos que producimos de manera más eficiente. Y podemos importar productos producidos más eficientemente por otros países. Para las empresas, el comercio incentiva la producción al ofrecer un mercado más grande para las exportaciones. Permite que nuestras empresas más productivas se expandan y creen buenos empleos para más gente. Para los consumidores, implica precios más bajos y mayores opciones de los productos que compramos. El comercio también alienta el flujo global de ideas, esencial para el descubrimiento científico y el avance tecnológico.</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El primer riesgo es la concentración excesiva. Estados Unidos y sus socios tienen un fuerte interés en crear redundancias en nuestras cadenas de suministro. Debemos evitar la concentración excesiva de la producción de bienes esenciales en un mercado particular. La concentración de fuentes para componentes clave a veces puede reducir los costos. Pero hace que las cadenas de suministro sean vulnerables a la serie de alteraciones que afectan a los trabajadores y a los consumidores.</w:t>
      </w:r>
    </w:p>
    <w:p w:rsidR="00772428" w:rsidRPr="008502D9"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Los riesgos de la concentración pueden manifestarse de manera más intensa durante una crisis</w:t>
      </w:r>
      <w:r w:rsidRPr="008502D9">
        <w:rPr>
          <w:rFonts w:ascii="Times New Roman" w:hAnsi="Times New Roman" w:cs="Times New Roman"/>
          <w:sz w:val="24"/>
          <w:szCs w:val="24"/>
        </w:rPr>
        <w:t>. Estos episodios introducen shocks de oferta o demanda repentinos; también pueden incitar a los países a volverse hacia adentro. Antes de la pandemia, EEUU importaba casi la mitad de sus equipos de protección personal de China. Cuando se disparó la demanda global a comienzos de 2020, esta concentración contribuyó a escaseces drásticas de estos equipos para los trabajadores no</w:t>
      </w:r>
      <w:r>
        <w:rPr>
          <w:rFonts w:ascii="Times New Roman" w:hAnsi="Times New Roman" w:cs="Times New Roman"/>
          <w:sz w:val="24"/>
          <w:szCs w:val="24"/>
        </w:rPr>
        <w:t>rteamericanos de primera línea.</w:t>
      </w:r>
    </w:p>
    <w:p w:rsidR="00772428" w:rsidRPr="004E3BFA" w:rsidRDefault="00772428" w:rsidP="00772428">
      <w:pPr>
        <w:spacing w:line="240" w:lineRule="auto"/>
        <w:jc w:val="both"/>
        <w:rPr>
          <w:rFonts w:ascii="Times New Roman" w:hAnsi="Times New Roman" w:cs="Times New Roman"/>
          <w:sz w:val="24"/>
          <w:szCs w:val="24"/>
          <w:u w:val="single"/>
        </w:rPr>
      </w:pPr>
      <w:r w:rsidRPr="004E3BFA">
        <w:rPr>
          <w:rFonts w:ascii="Times New Roman" w:hAnsi="Times New Roman" w:cs="Times New Roman"/>
          <w:sz w:val="24"/>
          <w:szCs w:val="24"/>
          <w:u w:val="single"/>
        </w:rPr>
        <w:t>Nunca más debemos volver a obligar a nuestros profesionales de la atención médica a recurrir a bolsas de basura como protección durante una emergencia de salud pública. Y eso exige reformular nuestras cadenas de suministro.</w:t>
      </w:r>
    </w:p>
    <w:p w:rsidR="00772428" w:rsidRPr="008502D9"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Segundo, debemos protegernos contra los riesgos geopolíticos y de seguridad. Rusia no sólo está librando una guerra brutal contra Ucrania; también ha utilizado las exportaciones de materias primas como un arma contra el mundo</w:t>
      </w:r>
      <w:r w:rsidRPr="008502D9">
        <w:rPr>
          <w:rFonts w:ascii="Times New Roman" w:hAnsi="Times New Roman" w:cs="Times New Roman"/>
          <w:sz w:val="24"/>
          <w:szCs w:val="24"/>
        </w:rPr>
        <w:t>. Durante demasiado tiempo, gran parte del mundo estuvo dispuesta a creer el argumento de Rusia de que era un proveedor confiable d</w:t>
      </w:r>
      <w:r>
        <w:rPr>
          <w:rFonts w:ascii="Times New Roman" w:hAnsi="Times New Roman" w:cs="Times New Roman"/>
          <w:sz w:val="24"/>
          <w:szCs w:val="24"/>
        </w:rPr>
        <w:t>e energía barata y conveniente.</w:t>
      </w:r>
    </w:p>
    <w:p w:rsidR="00772428" w:rsidRPr="008502D9"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sz w:val="24"/>
          <w:szCs w:val="24"/>
          <w:u w:val="single"/>
        </w:rPr>
        <w:t>Las consecuencias son claras. En los últimos cinco meses tras la invasión rusa de Ucrania, el precio del gas natural en Europa se disparó un 170%. La destrucción de los almacenamientos de granos y el bloqueo de los puertos ucranianos por parte de Rusia también han hecho subir los costes de los alimentos.</w:t>
      </w:r>
      <w:r w:rsidRPr="008502D9">
        <w:rPr>
          <w:rFonts w:ascii="Times New Roman" w:hAnsi="Times New Roman" w:cs="Times New Roman"/>
          <w:sz w:val="24"/>
          <w:szCs w:val="24"/>
        </w:rPr>
        <w:t xml:space="preserve"> El Programa Mundial de Alimentos estima que la guerra de Rusia podría hacer que hasta 70 millones más de personas padezcan una</w:t>
      </w:r>
      <w:r>
        <w:rPr>
          <w:rFonts w:ascii="Times New Roman" w:hAnsi="Times New Roman" w:cs="Times New Roman"/>
          <w:sz w:val="24"/>
          <w:szCs w:val="24"/>
        </w:rPr>
        <w:t xml:space="preserve"> inseguridad alimentaria aguda.</w:t>
      </w:r>
    </w:p>
    <w:p w:rsidR="00772428" w:rsidRPr="008502D9"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lastRenderedPageBreak/>
        <w:t xml:space="preserve">Tercero, debemos dejar de utilizar cadenas de suministro que violen los derechos humanos esenciales. Durante décadas, Estados Unidos ha prohibido la importación de productos fabricados con mano de obra forzada. Un área de particular preocupación son las importaciones de la región de Xinjiang en China, donde el Gobierno chino ha perpetrado abusos de derechos humanos contra uigures y otros grupos minoritarios étnicos y religiosos. </w:t>
      </w:r>
      <w:r w:rsidRPr="008502D9">
        <w:rPr>
          <w:rFonts w:ascii="Times New Roman" w:hAnsi="Times New Roman" w:cs="Times New Roman"/>
          <w:sz w:val="24"/>
          <w:szCs w:val="24"/>
        </w:rPr>
        <w:t>Ha convertido a los detenidos en sus campos de internamiento en mano de obra forzada utilizando amenazas de violencia, abuso físico y sexual y tortura. La Administración Biden está restringiendo las importaciones de productos producidos con mano de obra forzada de Xinjiang, entre ellos algodón, tomates y ciertos productos a base de sílice. EEUU siempre defenderá los derechos humanos. Y debemos seguir haciéndolo, inclusive a través de nuestras decisiones en tor</w:t>
      </w:r>
      <w:r>
        <w:rPr>
          <w:rFonts w:ascii="Times New Roman" w:hAnsi="Times New Roman" w:cs="Times New Roman"/>
          <w:sz w:val="24"/>
          <w:szCs w:val="24"/>
        </w:rPr>
        <w:t>no a las cadenas de suministro.</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Los riesgos de las cadenas de suministro son una causa de preocupación. En los dos últimos años, estos riesgos han afectado nuestro crecimiento económico y han hecho subir los costes para nuestras familias. También han perjudicado nuestra seguridad nacional. Es hora de implementar una estrategia sistemática para abordar estas vulnerabilidades.</w:t>
      </w:r>
    </w:p>
    <w:p w:rsidR="00772428" w:rsidRPr="004E3BFA" w:rsidRDefault="00772428" w:rsidP="00772428">
      <w:pPr>
        <w:spacing w:line="240" w:lineRule="auto"/>
        <w:jc w:val="both"/>
        <w:rPr>
          <w:rFonts w:ascii="Times New Roman" w:hAnsi="Times New Roman" w:cs="Times New Roman"/>
          <w:b/>
          <w:color w:val="FF0000"/>
          <w:sz w:val="24"/>
          <w:szCs w:val="24"/>
          <w:u w:val="single"/>
        </w:rPr>
      </w:pPr>
      <w:r w:rsidRPr="008502D9">
        <w:rPr>
          <w:rFonts w:ascii="Times New Roman" w:hAnsi="Times New Roman" w:cs="Times New Roman"/>
          <w:sz w:val="24"/>
          <w:szCs w:val="24"/>
        </w:rPr>
        <w:t xml:space="preserve">La estrategia de friend-shoring de la Administración Biden apunta a profundizar nuestra integración económica con un número importante de socios comerciales confiables con quienes podamos contar. Y pretende generar redundancias en las cadenas de suministro para reducir los riesgos que corren nuestras economías. </w:t>
      </w:r>
      <w:r w:rsidRPr="004E3BFA">
        <w:rPr>
          <w:rFonts w:ascii="Times New Roman" w:hAnsi="Times New Roman" w:cs="Times New Roman"/>
          <w:b/>
          <w:color w:val="FF0000"/>
          <w:sz w:val="24"/>
          <w:szCs w:val="24"/>
          <w:u w:val="single"/>
        </w:rPr>
        <w:t>Creemos que es importante no llevar adelante un comercio que sólo busque las cadenas de suministro más baratas sin considerar otros factores como la concentración, la geopolítica y la seguridad, y los riesgos para los derechos humanos. Al hacerlo, generaremos una mayor certidumbre y fiabilidad para productos clave e insumos críticos para consumidores y empresas.</w:t>
      </w:r>
    </w:p>
    <w:p w:rsidR="00772428" w:rsidRPr="004E3BFA" w:rsidRDefault="00772428" w:rsidP="00772428">
      <w:pPr>
        <w:spacing w:line="240" w:lineRule="auto"/>
        <w:jc w:val="both"/>
        <w:rPr>
          <w:rFonts w:ascii="Times New Roman" w:hAnsi="Times New Roman" w:cs="Times New Roman"/>
          <w:b/>
          <w:color w:val="FF0000"/>
          <w:sz w:val="24"/>
          <w:szCs w:val="24"/>
          <w:u w:val="single"/>
        </w:rPr>
      </w:pPr>
      <w:r w:rsidRPr="004E3BFA">
        <w:rPr>
          <w:rFonts w:ascii="Times New Roman" w:hAnsi="Times New Roman" w:cs="Times New Roman"/>
          <w:b/>
          <w:color w:val="FF0000"/>
          <w:sz w:val="24"/>
          <w:szCs w:val="24"/>
          <w:u w:val="single"/>
        </w:rPr>
        <w:t>No buscamos producir todo nosotros. Tampoco pretendemos limitar el comercio a un pequeño grupo de países. Eso sería dañar sustancialmente las alzas de eficiencia del comercio y afectaría la competitividad y la innovación de EEUU. Más bien, nuestro objetivo central es no comerciar con países peligrosos ni operar con cadenas de suministro concentradas.</w:t>
      </w:r>
    </w:p>
    <w:p w:rsidR="00772428" w:rsidRPr="008502D9" w:rsidRDefault="00772428" w:rsidP="00772428">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Estados Unidos está creando alianzas similares en la región del Indo-Pacífico a través del Marco Económico del Indo-Pacífico (IPEF por su sigla en inglés) y, en América Latina, mediante la Alianza de las Américas para la Prosperidad Económica. Los países del IPEF -que representan el 40% del PIB global- se han comprometido a establecer sistemas de alerta temprana y coordinar entre sí los esfuerzos para diversificar la</w:t>
      </w:r>
      <w:r>
        <w:rPr>
          <w:rFonts w:ascii="Times New Roman" w:hAnsi="Times New Roman" w:cs="Times New Roman"/>
          <w:sz w:val="24"/>
          <w:szCs w:val="24"/>
        </w:rPr>
        <w:t>s cadenas de suministro.</w:t>
      </w:r>
    </w:p>
    <w:p w:rsidR="00772428" w:rsidRPr="008502D9" w:rsidRDefault="00772428" w:rsidP="00772428">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El friend-shoring no está destinado a un grupo cerrado de países. Es abierto e incluye a nuestros socios en los merados emergentes y los países en desarrollo, además de las economías avanzadas. De hecho, una parte esencial de nuestra agenda consiste en profundizar la integración de Estados Unidos y nuestros socio</w:t>
      </w:r>
      <w:r>
        <w:rPr>
          <w:rFonts w:ascii="Times New Roman" w:hAnsi="Times New Roman" w:cs="Times New Roman"/>
          <w:sz w:val="24"/>
          <w:szCs w:val="24"/>
        </w:rPr>
        <w:t>s con los países en desarrollo.</w:t>
      </w:r>
    </w:p>
    <w:p w:rsidR="00772428" w:rsidRPr="008502D9"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lang w:val="en-US"/>
        </w:rPr>
        <w:t>El friend-shoring será gradual</w:t>
      </w:r>
      <w:r w:rsidRPr="008502D9">
        <w:rPr>
          <w:rFonts w:ascii="Times New Roman" w:hAnsi="Times New Roman" w:cs="Times New Roman"/>
          <w:sz w:val="24"/>
          <w:szCs w:val="24"/>
          <w:lang w:val="en-US"/>
        </w:rPr>
        <w:t xml:space="preserve">. </w:t>
      </w:r>
      <w:r w:rsidRPr="008502D9">
        <w:rPr>
          <w:rFonts w:ascii="Times New Roman" w:hAnsi="Times New Roman" w:cs="Times New Roman"/>
          <w:sz w:val="24"/>
          <w:szCs w:val="24"/>
        </w:rPr>
        <w:t>Pero ya estamos viendo el desarrollo de nuevas cadenas de suministro. La Unión Europea, por ejemplo, ha trabajado con Intel para facilitar una inversión de casi 90.000 millones de dólares para crear una cadena de suministro regional para semiconduct</w:t>
      </w:r>
      <w:r>
        <w:rPr>
          <w:rFonts w:ascii="Times New Roman" w:hAnsi="Times New Roman" w:cs="Times New Roman"/>
          <w:sz w:val="24"/>
          <w:szCs w:val="24"/>
        </w:rPr>
        <w:t>ores en los próximos diez años.</w:t>
      </w:r>
    </w:p>
    <w:p w:rsidR="00772428" w:rsidRPr="008502D9"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El país norteamericano también está haciendo su parte</w:t>
      </w:r>
      <w:r w:rsidRPr="008502D9">
        <w:rPr>
          <w:rFonts w:ascii="Times New Roman" w:hAnsi="Times New Roman" w:cs="Times New Roman"/>
          <w:sz w:val="24"/>
          <w:szCs w:val="24"/>
        </w:rPr>
        <w:t>. Estamos trabajando con nuestros socios confiables para desarrollar un ecosistema completo de semiconductores. Nuestros esfuerzos han recibido un impulso importante a través de incentivos para la fabricación doméstica de semiconductores implementados por la administración Biden este</w:t>
      </w:r>
      <w:r>
        <w:rPr>
          <w:rFonts w:ascii="Times New Roman" w:hAnsi="Times New Roman" w:cs="Times New Roman"/>
          <w:sz w:val="24"/>
          <w:szCs w:val="24"/>
        </w:rPr>
        <w:t xml:space="preserve"> verano.</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lastRenderedPageBreak/>
        <w:t>En términos más amplios, muchas empresas están diversificando sus cadenas de suministro en respuesta a las crisis recientes. En una encuesta, el 81% de los gerentes de cadenas de suministro a nivel mundial dijeron que ahora obtienen materias primas de dos proveedores en lugar de uno, comparado con el 55% en 2020. Las empresas norteamericanas muestran un creciente interés en retirar segmentos de la cadena de suministro de China, e instalarlos en el sudeste asiático o México.</w:t>
      </w:r>
    </w:p>
    <w:p w:rsidR="00772428" w:rsidRPr="00A91106" w:rsidRDefault="00772428" w:rsidP="00772428">
      <w:pPr>
        <w:spacing w:line="240" w:lineRule="auto"/>
        <w:jc w:val="both"/>
        <w:rPr>
          <w:rFonts w:ascii="Times New Roman" w:hAnsi="Times New Roman" w:cs="Times New Roman"/>
          <w:sz w:val="24"/>
          <w:szCs w:val="24"/>
          <w:u w:val="single"/>
        </w:rPr>
      </w:pPr>
      <w:r w:rsidRPr="004E3BFA">
        <w:rPr>
          <w:rFonts w:ascii="Times New Roman" w:hAnsi="Times New Roman" w:cs="Times New Roman"/>
          <w:sz w:val="24"/>
          <w:szCs w:val="24"/>
          <w:u w:val="single"/>
        </w:rPr>
        <w:t>Cuando dentro de algunas décadas miremos hacia atrás, creo que los últimos tres años serán vistos como un período extraordinariamente volátil en nuestra historia moderna. Todos hemos padecido enormes alteraciones de nuestras vidas colectivas: la pandemia, una guerra terrible en Europa y desastres naturales cada vez más destructivos. Pero también creo que será visto como un momento en el que Estados Unidos y sus socios impulsaron un nuevo pilar de nuestra agenda económica, centrado en la resiliencia. Confío en que esta agenda fortalecerá nuestro dinamismo económico ofreciendo al mismo tiempo una mayor estabilidad</w:t>
      </w:r>
      <w:r>
        <w:rPr>
          <w:rFonts w:ascii="Times New Roman" w:hAnsi="Times New Roman" w:cs="Times New Roman"/>
          <w:sz w:val="24"/>
          <w:szCs w:val="24"/>
          <w:u w:val="single"/>
        </w:rPr>
        <w:t xml:space="preserve"> económica para nuestro pueblo.</w:t>
      </w:r>
    </w:p>
    <w:p w:rsidR="00772428"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502D9">
        <w:rPr>
          <w:rFonts w:ascii="Times New Roman" w:hAnsi="Times New Roman" w:cs="Times New Roman"/>
          <w:sz w:val="24"/>
          <w:szCs w:val="24"/>
        </w:rPr>
        <w:t>Janet Yellen, secretaria del Tesoro de EEUU y expresidenta de la Reserva Federal</w:t>
      </w:r>
      <w:r>
        <w:rPr>
          <w:rFonts w:ascii="Times New Roman" w:hAnsi="Times New Roman" w:cs="Times New Roman"/>
          <w:sz w:val="24"/>
          <w:szCs w:val="24"/>
        </w:rPr>
        <w:t>)</w:t>
      </w:r>
    </w:p>
    <w:p w:rsidR="00772428" w:rsidRPr="00527860"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7860">
        <w:rPr>
          <w:rFonts w:ascii="Times New Roman" w:hAnsi="Times New Roman" w:cs="Times New Roman"/>
          <w:sz w:val="24"/>
          <w:szCs w:val="24"/>
          <w:u w:val="single"/>
        </w:rPr>
        <w:t>Los fracasos de los economistas</w:t>
      </w:r>
      <w:r>
        <w:rPr>
          <w:rFonts w:ascii="Times New Roman" w:hAnsi="Times New Roman" w:cs="Times New Roman"/>
          <w:sz w:val="24"/>
          <w:szCs w:val="24"/>
        </w:rPr>
        <w:t xml:space="preserve"> (El Economista - Project Syndicate - </w:t>
      </w:r>
      <w:r w:rsidRPr="00527860">
        <w:rPr>
          <w:rFonts w:ascii="Times New Roman" w:hAnsi="Times New Roman" w:cs="Times New Roman"/>
          <w:b/>
          <w:sz w:val="24"/>
          <w:szCs w:val="24"/>
        </w:rPr>
        <w:t>31/12/22</w:t>
      </w:r>
      <w:r>
        <w:rPr>
          <w:rFonts w:ascii="Times New Roman" w:hAnsi="Times New Roman" w:cs="Times New Roman"/>
          <w:sz w:val="24"/>
          <w:szCs w:val="24"/>
        </w:rPr>
        <w:t>)</w:t>
      </w:r>
    </w:p>
    <w:p w:rsidR="00772428" w:rsidRPr="00527860"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27860">
        <w:rPr>
          <w:rFonts w:ascii="Times New Roman" w:hAnsi="Times New Roman" w:cs="Times New Roman"/>
          <w:sz w:val="24"/>
          <w:szCs w:val="24"/>
        </w:rPr>
        <w:t>Angus Deaton</w:t>
      </w:r>
      <w:r>
        <w:rPr>
          <w:rFonts w:ascii="Times New Roman" w:hAnsi="Times New Roman" w:cs="Times New Roman"/>
          <w:sz w:val="24"/>
          <w:szCs w:val="24"/>
        </w:rPr>
        <w:t>)</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Comienza 2023 y queda claro que cada vez más gente descree del capitalismo democrático... y con él, de los economistas, ¿pero qué tan responsables somos los economistas -y qué tipo de responsabilidad nos cabe- por los males económicos?</w:t>
      </w:r>
    </w:p>
    <w:p w:rsidR="00772428" w:rsidRPr="00527860" w:rsidRDefault="00772428" w:rsidP="00772428">
      <w:pPr>
        <w:spacing w:line="240" w:lineRule="auto"/>
        <w:jc w:val="both"/>
        <w:rPr>
          <w:rFonts w:ascii="Times New Roman" w:hAnsi="Times New Roman" w:cs="Times New Roman"/>
          <w:sz w:val="24"/>
          <w:szCs w:val="24"/>
        </w:rPr>
      </w:pPr>
      <w:r w:rsidRPr="004E3BFA">
        <w:rPr>
          <w:rFonts w:ascii="Times New Roman" w:hAnsi="Times New Roman" w:cs="Times New Roman"/>
          <w:sz w:val="24"/>
          <w:szCs w:val="24"/>
          <w:u w:val="single"/>
        </w:rPr>
        <w:t>En 2010, un documental influyente que ganó el Oscar nos mostró como sinvergüenzas a quienes solo nos preocupan nuestros beneficios financieros, cabilderos y apologistas de los ricos (que nos recompensan generosamente por nuestro trabajo).</w:t>
      </w:r>
      <w:r w:rsidRPr="00527860">
        <w:rPr>
          <w:rFonts w:ascii="Times New Roman" w:hAnsi="Times New Roman" w:cs="Times New Roman"/>
          <w:sz w:val="24"/>
          <w:szCs w:val="24"/>
        </w:rPr>
        <w:t xml:space="preserve"> Nuestras declaraciones a menudo se pueden predecir a partir de nuestras ideas políticas. Cuando varios cientos de economistas firman un pedido para apoyar alguna política, solo hay que esperar unos días para que varios cientos de economistas firm</w:t>
      </w:r>
      <w:r>
        <w:rPr>
          <w:rFonts w:ascii="Times New Roman" w:hAnsi="Times New Roman" w:cs="Times New Roman"/>
          <w:sz w:val="24"/>
          <w:szCs w:val="24"/>
        </w:rPr>
        <w:t>en otro pedido para condenarla.</w:t>
      </w:r>
    </w:p>
    <w:p w:rsidR="00772428" w:rsidRPr="004E3BFA" w:rsidRDefault="00772428" w:rsidP="00772428">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sz w:val="24"/>
          <w:szCs w:val="24"/>
          <w:u w:val="single"/>
        </w:rPr>
        <w:t>Además, los economistas solemos asumir un manto de conocimiento político para el cual no estamos calificados, con resultados predeciblemente desastrosos.</w:t>
      </w:r>
      <w:r w:rsidRPr="00527860">
        <w:rPr>
          <w:rFonts w:ascii="Times New Roman" w:hAnsi="Times New Roman" w:cs="Times New Roman"/>
          <w:sz w:val="24"/>
          <w:szCs w:val="24"/>
        </w:rPr>
        <w:t xml:space="preserve"> De todas formas, algunos críticos reflexivos sostienen que aún ejercemos una gran influencia sobre la política económica y, por lo tanto, seguimos causando estragos. </w:t>
      </w:r>
      <w:r w:rsidRPr="004E3BFA">
        <w:rPr>
          <w:rFonts w:ascii="Times New Roman" w:hAnsi="Times New Roman" w:cs="Times New Roman"/>
          <w:color w:val="FF0000"/>
          <w:sz w:val="24"/>
          <w:szCs w:val="24"/>
          <w:u w:val="single"/>
        </w:rPr>
        <w:t>Pero, ¿se puede atribuir el error a unas pocas personas poderosas, o hay en la economía una falla profunda que lleva sistemáticamente a los especialistas por mal camino?</w:t>
      </w:r>
    </w:p>
    <w:p w:rsidR="00772428" w:rsidRPr="00873420" w:rsidRDefault="00772428" w:rsidP="00772428">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Suelo preferir la segunda de esas hipótesis. El capitalismo democrático estadounidense solo beneficia a una minoría. La crisis financiera de 2008 y sus nefastas secuelas desmintieron la fábula de que todos ganamos si permitimos que los financistas se enriquezcan. En los años que transcurrieron desde entonces, los estadounidenses menos educados vienen sucumbiendo a la muerte por desesperación (por drogas, alcohol y suicidio) y recurren al populismo como reacción contra un sistema político que no los beneficia.</w:t>
      </w:r>
    </w:p>
    <w:p w:rsidR="00772428" w:rsidRPr="00873420" w:rsidRDefault="00772428" w:rsidP="00772428">
      <w:pPr>
        <w:spacing w:line="240" w:lineRule="auto"/>
        <w:jc w:val="both"/>
        <w:rPr>
          <w:rFonts w:ascii="Times New Roman" w:hAnsi="Times New Roman" w:cs="Times New Roman"/>
          <w:b/>
          <w:color w:val="FF0000"/>
          <w:sz w:val="24"/>
          <w:szCs w:val="24"/>
          <w:u w:val="single"/>
        </w:rPr>
      </w:pPr>
      <w:r w:rsidRPr="00873420">
        <w:rPr>
          <w:rFonts w:ascii="Times New Roman" w:hAnsi="Times New Roman" w:cs="Times New Roman"/>
          <w:b/>
          <w:color w:val="FF0000"/>
          <w:sz w:val="24"/>
          <w:szCs w:val="24"/>
          <w:u w:val="single"/>
        </w:rPr>
        <w:t xml:space="preserve">La mayor parte de los economistas no solo fue incapaz de predecir la crisis, sino que, al decir de algunos, la facilitaron. Después de todo, son los orgullosos apóstoles de la globalización y el cambio tecnológico quienes enriquecieron a una pequeña elite financiera y gerencial, redistribuyeron el ingreso y la riqueza del trabajo al capital, destruyeron millones de puestos de trabajo y dejaron vacías las comunidades y las vidas </w:t>
      </w:r>
      <w:r w:rsidRPr="00873420">
        <w:rPr>
          <w:rFonts w:ascii="Times New Roman" w:hAnsi="Times New Roman" w:cs="Times New Roman"/>
          <w:b/>
          <w:color w:val="FF0000"/>
          <w:sz w:val="24"/>
          <w:szCs w:val="24"/>
          <w:u w:val="single"/>
        </w:rPr>
        <w:lastRenderedPageBreak/>
        <w:t>de sus residentes. Resulta peor aún que frente a las muertes por desesperación, algunos economistas culpen a las víctimas y a quienes procuran ayudarlas.</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Según mi amigo y colega Alan S. Blinder, quien ocupó muchos puestos diferentes en el gobierno y en la creación de políticas públicas, los políticos pocas veces hacen lo que los economistas sugieren. En lugar de ello, usan el análisis económico como un borracho a un poste de luz: no para iluminarse, sino para apoyarse en él. El problema no es que los economistas sean gacetilleros a sueldo que adoptan posturas para complacer a sus amos (aunque haya muchos de esos), sino que se puede abusar selectivamente incluso de los trabajos</w:t>
      </w:r>
      <w:r>
        <w:rPr>
          <w:rFonts w:ascii="Times New Roman" w:hAnsi="Times New Roman" w:cs="Times New Roman"/>
          <w:sz w:val="24"/>
          <w:szCs w:val="24"/>
        </w:rPr>
        <w:t xml:space="preserve"> bien hechos.</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 xml:space="preserve">De manera similar, Jason Furman, quien dirigió el Consejo de Asesores Económicos (CAE) del presidente Barack Obama, rechaza la idea de que el influjo de los economistas sea excesivo y sostiene que el poder </w:t>
      </w:r>
      <w:r>
        <w:rPr>
          <w:rFonts w:ascii="Times New Roman" w:hAnsi="Times New Roman" w:cs="Times New Roman"/>
          <w:sz w:val="24"/>
          <w:szCs w:val="24"/>
        </w:rPr>
        <w:t>que se atribuye a su profesión “</w:t>
      </w:r>
      <w:r w:rsidRPr="00527860">
        <w:rPr>
          <w:rFonts w:ascii="Times New Roman" w:hAnsi="Times New Roman" w:cs="Times New Roman"/>
          <w:sz w:val="24"/>
          <w:szCs w:val="24"/>
        </w:rPr>
        <w:t>es a</w:t>
      </w:r>
      <w:r>
        <w:rPr>
          <w:rFonts w:ascii="Times New Roman" w:hAnsi="Times New Roman" w:cs="Times New Roman"/>
          <w:sz w:val="24"/>
          <w:szCs w:val="24"/>
        </w:rPr>
        <w:t>lgo con lo que solo puede soñar”</w:t>
      </w:r>
      <w:r w:rsidRPr="00527860">
        <w:rPr>
          <w:rFonts w:ascii="Times New Roman" w:hAnsi="Times New Roman" w:cs="Times New Roman"/>
          <w:sz w:val="24"/>
          <w:szCs w:val="24"/>
        </w:rPr>
        <w:t>. Y otros economistas que formaron parte de gobiernos han afirmado que, en el mejor de los casos, su papel se reduce a rechazar ideas para evitar que ocurran desastres. Los políticos deben respetar los presupuestos, pero a menudo viven en mundos fantásticos donde sus esquemas favoritos se autofinancian. Los economistas del CAE o de la Oficina de Presupuesto del Congreso desempeñan un papel valioso, ya que aportan cierto realismo al pr</w:t>
      </w:r>
      <w:r>
        <w:rPr>
          <w:rFonts w:ascii="Times New Roman" w:hAnsi="Times New Roman" w:cs="Times New Roman"/>
          <w:sz w:val="24"/>
          <w:szCs w:val="24"/>
        </w:rPr>
        <w:t>oceso de creación de políticas.</w:t>
      </w:r>
    </w:p>
    <w:p w:rsidR="00772428" w:rsidRPr="00873420" w:rsidRDefault="00772428" w:rsidP="00772428">
      <w:pPr>
        <w:spacing w:line="240" w:lineRule="auto"/>
        <w:jc w:val="both"/>
        <w:rPr>
          <w:rFonts w:ascii="Times New Roman" w:hAnsi="Times New Roman" w:cs="Times New Roman"/>
          <w:color w:val="FF0000"/>
          <w:sz w:val="24"/>
          <w:szCs w:val="24"/>
          <w:u w:val="single"/>
        </w:rPr>
      </w:pPr>
      <w:r w:rsidRPr="00527860">
        <w:rPr>
          <w:rFonts w:ascii="Times New Roman" w:hAnsi="Times New Roman" w:cs="Times New Roman"/>
          <w:sz w:val="24"/>
          <w:szCs w:val="24"/>
        </w:rPr>
        <w:t xml:space="preserve">Creo que Blinder y Furman están en lo cierto, aunque no siempre. </w:t>
      </w:r>
      <w:r w:rsidRPr="00873420">
        <w:rPr>
          <w:rFonts w:ascii="Times New Roman" w:hAnsi="Times New Roman" w:cs="Times New Roman"/>
          <w:color w:val="FF0000"/>
          <w:sz w:val="24"/>
          <w:szCs w:val="24"/>
          <w:u w:val="single"/>
        </w:rPr>
        <w:t>Cuando Lawrence H. Summers fue secretario del Tesoro de EEUU durante la presidencia de Bill Clinton, entre 1999 y 2001, usó su enorme intelecto, conocimiento y capacidad de persuasión para debilitar las restricciones al flujo internacional de fondos especulativos, al igual que para las derivadas y otros instrumentos financieros más exóticos. Vale la pena recordar que otros economistas, entre ellos Blinder y Joseph E. Stiglitz, se opusieron ferozmente a esas decisiones. Muchos han afirmado desde entonces que los cambios de la era de Clinton contribuyeron tanto a la crisis financiera asiática de 1997-98 como a la crisis financiera mundial que tuvo lugar una década después.</w:t>
      </w:r>
    </w:p>
    <w:p w:rsidR="00772428" w:rsidRPr="00873420" w:rsidRDefault="00772428" w:rsidP="00772428">
      <w:pPr>
        <w:spacing w:line="240" w:lineRule="auto"/>
        <w:jc w:val="both"/>
        <w:rPr>
          <w:rFonts w:ascii="Times New Roman" w:hAnsi="Times New Roman" w:cs="Times New Roman"/>
          <w:sz w:val="24"/>
          <w:szCs w:val="24"/>
          <w:u w:val="single"/>
        </w:rPr>
      </w:pPr>
      <w:r w:rsidRPr="00873420">
        <w:rPr>
          <w:rFonts w:ascii="Times New Roman" w:hAnsi="Times New Roman" w:cs="Times New Roman"/>
          <w:sz w:val="24"/>
          <w:szCs w:val="24"/>
          <w:u w:val="single"/>
        </w:rPr>
        <w:t>Antes -cuando Robert Rubin era secretario del Tesoro, Summers era su segundo y el libertario Alan Greenspan, especialista en economía de la empresa, ejercía la presidencia de la Reserva Federal-, la revista Time puso una foto de los tres en</w:t>
      </w:r>
      <w:r>
        <w:rPr>
          <w:rFonts w:ascii="Times New Roman" w:hAnsi="Times New Roman" w:cs="Times New Roman"/>
          <w:sz w:val="24"/>
          <w:szCs w:val="24"/>
          <w:u w:val="single"/>
        </w:rPr>
        <w:t xml:space="preserve"> su tapa, describiéndolos como “el comité que salvaría al mundo”</w:t>
      </w:r>
      <w:r w:rsidRPr="00873420">
        <w:rPr>
          <w:rFonts w:ascii="Times New Roman" w:hAnsi="Times New Roman" w:cs="Times New Roman"/>
          <w:sz w:val="24"/>
          <w:szCs w:val="24"/>
          <w:u w:val="single"/>
        </w:rPr>
        <w:t>, en un provocad</w:t>
      </w:r>
      <w:r>
        <w:rPr>
          <w:rFonts w:ascii="Times New Roman" w:hAnsi="Times New Roman" w:cs="Times New Roman"/>
          <w:sz w:val="24"/>
          <w:szCs w:val="24"/>
          <w:u w:val="single"/>
        </w:rPr>
        <w:t>or artículo que explicaba cómo “</w:t>
      </w:r>
      <w:r w:rsidRPr="00873420">
        <w:rPr>
          <w:rFonts w:ascii="Times New Roman" w:hAnsi="Times New Roman" w:cs="Times New Roman"/>
          <w:sz w:val="24"/>
          <w:szCs w:val="24"/>
          <w:u w:val="single"/>
        </w:rPr>
        <w:t>hasta el momento, habían evitado el</w:t>
      </w:r>
      <w:r>
        <w:rPr>
          <w:rFonts w:ascii="Times New Roman" w:hAnsi="Times New Roman" w:cs="Times New Roman"/>
          <w:sz w:val="24"/>
          <w:szCs w:val="24"/>
          <w:u w:val="single"/>
        </w:rPr>
        <w:t xml:space="preserve"> colapso de la economía mundial”</w:t>
      </w:r>
      <w:r w:rsidRPr="00873420">
        <w:rPr>
          <w:rFonts w:ascii="Times New Roman" w:hAnsi="Times New Roman" w:cs="Times New Roman"/>
          <w:sz w:val="24"/>
          <w:szCs w:val="24"/>
          <w:u w:val="single"/>
        </w:rPr>
        <w:t>. Esa tapa fue producto de una época en que la mayoría de los economistas percibía más admiración que antipatía. En mayor o menor medida, creímos que la economía moderna nos brindaba herramientas para erradicar las regulaciones anteriores, que en muchos casos no se basaban en la ciencia, sino en prejuicios y mitos, y limitaban el crecimiento. Supongo que corresponde ahora un mea culpa.</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Es importante reconocer que ese episodio previo fue excepcional. Janet Yellen, otra economista extremadamente distinguida que actualmente se desempeña como secretaria del Tesoro, no tiene la misma influencia o poder. Como observó E</w:t>
      </w:r>
      <w:r>
        <w:rPr>
          <w:rFonts w:ascii="Times New Roman" w:hAnsi="Times New Roman" w:cs="Times New Roman"/>
          <w:sz w:val="24"/>
          <w:szCs w:val="24"/>
        </w:rPr>
        <w:t>zra Klein, del New York Times, “</w:t>
      </w:r>
      <w:r w:rsidRPr="00527860">
        <w:rPr>
          <w:rFonts w:ascii="Times New Roman" w:hAnsi="Times New Roman" w:cs="Times New Roman"/>
          <w:sz w:val="24"/>
          <w:szCs w:val="24"/>
        </w:rPr>
        <w:t>realmente incide en las discusiones internas, al igual que otros, pero los economistas no son la voz dominante, sino u</w:t>
      </w:r>
      <w:r>
        <w:rPr>
          <w:rFonts w:ascii="Times New Roman" w:hAnsi="Times New Roman" w:cs="Times New Roman"/>
          <w:sz w:val="24"/>
          <w:szCs w:val="24"/>
        </w:rPr>
        <w:t>na de muchas en la discusión”</w:t>
      </w:r>
      <w:r w:rsidRPr="00527860">
        <w:rPr>
          <w:rFonts w:ascii="Times New Roman" w:hAnsi="Times New Roman" w:cs="Times New Roman"/>
          <w:sz w:val="24"/>
          <w:szCs w:val="24"/>
        </w:rPr>
        <w:t>. El presidente Joe Biden no presta la misma atención a los economistas que Clinton u Obama en su momento. Más allá de eso, Yellen y Summers son casos excepcionales. Los economistas académicos no sue</w:t>
      </w:r>
      <w:r>
        <w:rPr>
          <w:rFonts w:ascii="Times New Roman" w:hAnsi="Times New Roman" w:cs="Times New Roman"/>
          <w:sz w:val="24"/>
          <w:szCs w:val="24"/>
        </w:rPr>
        <w:t>len ser secretarios del Tesoro.</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lastRenderedPageBreak/>
        <w:t>John Maynard Keynes, quien pasó gran parte de su vida asesorando a los responsables de las políticas e influyó sobre ellos, tenía una mirada diferente sobr</w:t>
      </w:r>
      <w:r>
        <w:rPr>
          <w:rFonts w:ascii="Times New Roman" w:hAnsi="Times New Roman" w:cs="Times New Roman"/>
          <w:sz w:val="24"/>
          <w:szCs w:val="24"/>
        </w:rPr>
        <w:t>e el poder de los economistas: “</w:t>
      </w:r>
      <w:r w:rsidRPr="00527860">
        <w:rPr>
          <w:rFonts w:ascii="Times New Roman" w:hAnsi="Times New Roman" w:cs="Times New Roman"/>
          <w:sz w:val="24"/>
          <w:szCs w:val="24"/>
        </w:rPr>
        <w:t>Las ideas de los economistas y los politólogos, tanto aquellas correctas como las equivocadas, son más poderosas de lo que se suele creer. De hecho,</w:t>
      </w:r>
      <w:r>
        <w:rPr>
          <w:rFonts w:ascii="Times New Roman" w:hAnsi="Times New Roman" w:cs="Times New Roman"/>
          <w:sz w:val="24"/>
          <w:szCs w:val="24"/>
        </w:rPr>
        <w:t xml:space="preserve"> básicamente gobiernan al mundo”. Noten que incluyó la palabra “equivocadas”</w:t>
      </w:r>
      <w:r w:rsidRPr="00527860">
        <w:rPr>
          <w:rFonts w:ascii="Times New Roman" w:hAnsi="Times New Roman" w:cs="Times New Roman"/>
          <w:sz w:val="24"/>
          <w:szCs w:val="24"/>
        </w:rPr>
        <w:t>, no solo las buena</w:t>
      </w:r>
      <w:r>
        <w:rPr>
          <w:rFonts w:ascii="Times New Roman" w:hAnsi="Times New Roman" w:cs="Times New Roman"/>
          <w:sz w:val="24"/>
          <w:szCs w:val="24"/>
        </w:rPr>
        <w:t>s ideas sobreviven y prosperan.</w:t>
      </w:r>
    </w:p>
    <w:p w:rsidR="00772428" w:rsidRPr="00873420" w:rsidRDefault="00772428" w:rsidP="00772428">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Por ejemplo, Jeb Hensarling, un republicano de Texas que dirigió el Comité de Servicios Financieros de la Cámara de Representantes entre 2013 y 2019, dice qu</w:t>
      </w:r>
      <w:r>
        <w:rPr>
          <w:rFonts w:ascii="Times New Roman" w:hAnsi="Times New Roman" w:cs="Times New Roman"/>
          <w:color w:val="FF0000"/>
          <w:sz w:val="24"/>
          <w:szCs w:val="24"/>
          <w:u w:val="single"/>
        </w:rPr>
        <w:t>e se dedicó a la política para “promover el libre mercado”, porque “</w:t>
      </w:r>
      <w:r w:rsidRPr="00873420">
        <w:rPr>
          <w:rFonts w:ascii="Times New Roman" w:hAnsi="Times New Roman" w:cs="Times New Roman"/>
          <w:color w:val="FF0000"/>
          <w:sz w:val="24"/>
          <w:szCs w:val="24"/>
          <w:u w:val="single"/>
        </w:rPr>
        <w:t>la economía de libre mercado es la que genera el máximo bienestar para más ge</w:t>
      </w:r>
      <w:r>
        <w:rPr>
          <w:rFonts w:ascii="Times New Roman" w:hAnsi="Times New Roman" w:cs="Times New Roman"/>
          <w:color w:val="FF0000"/>
          <w:sz w:val="24"/>
          <w:szCs w:val="24"/>
          <w:u w:val="single"/>
        </w:rPr>
        <w:t>nte”</w:t>
      </w:r>
      <w:r w:rsidRPr="00873420">
        <w:rPr>
          <w:rFonts w:ascii="Times New Roman" w:hAnsi="Times New Roman" w:cs="Times New Roman"/>
          <w:color w:val="FF0000"/>
          <w:sz w:val="24"/>
          <w:szCs w:val="24"/>
          <w:u w:val="single"/>
        </w:rPr>
        <w:t>. La opinión de Hensarling es un ejemplo de lo que James Kwak, de la Facultad de Derecho de la Uni</w:t>
      </w:r>
      <w:r>
        <w:rPr>
          <w:rFonts w:ascii="Times New Roman" w:hAnsi="Times New Roman" w:cs="Times New Roman"/>
          <w:color w:val="FF0000"/>
          <w:sz w:val="24"/>
          <w:szCs w:val="24"/>
          <w:u w:val="single"/>
        </w:rPr>
        <w:t>versidad de Connecticut, llama “economismo”</w:t>
      </w:r>
      <w:r w:rsidRPr="00873420">
        <w:rPr>
          <w:rFonts w:ascii="Times New Roman" w:hAnsi="Times New Roman" w:cs="Times New Roman"/>
          <w:color w:val="FF0000"/>
          <w:sz w:val="24"/>
          <w:szCs w:val="24"/>
          <w:u w:val="single"/>
        </w:rPr>
        <w:t>, la idea de que el mundo funciona exactamente como lo describen los libros de economía básica. Claramente, esos libros son importantes. En EEUU aproximadamente el 40 % de los estudiantes universitarios -entre ellos, la mayoría de los futuros políticos, abogados y directores ejecutivos de empresas- asisten al menos a un curso de economía.</w:t>
      </w:r>
    </w:p>
    <w:p w:rsidR="00772428" w:rsidRPr="00873420" w:rsidRDefault="00772428" w:rsidP="00772428">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También desde la izquierda se dicen tonterías. Si la derecha es incapaz de ver las fallas de los mercados, la izquierda puede albergar una ceguera similar frente a los defectos del gobierno que le impiden actuar de manera confiable para solucionarlas. El gobierno se entiende como un órgano representativo, elegido por ciudadanos completamente informados, cuyo trabajo es corregir las imperfecciones de los mercados, ya sea la tendencia al monopolio, la explotación de los trabajadores o la excesiva desigualdad en los ingresos. En la práctica, sin embargo, el gobierno estadounidense no funciona así. Al igual que otros, a menudo empeora las cosas y puede estar en deuda con los beneficiarios del sistema en vez de con todos los ciudadanos.</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Para mí, un problema central de la economía moderna dominante es su escaso alcance. Este campo se desvinculó de su adecuado fundamento, que es el estudio del bienestar humano. Como arguye Amartya Sen, la disciplina dio un giro equivocado con la famosa, y actualmente dominante, definición de la economía propuesta por el economista británico Lionel Robbins: la asignación de recursos escasos a fines diversos. Y eso limitó tremendamente su alcance cuando se la compara con lo que el filósofo estadou</w:t>
      </w:r>
      <w:r>
        <w:rPr>
          <w:rFonts w:ascii="Times New Roman" w:hAnsi="Times New Roman" w:cs="Times New Roman"/>
          <w:sz w:val="24"/>
          <w:szCs w:val="24"/>
        </w:rPr>
        <w:t>nidense Hilary Putnam llamó la “</w:t>
      </w:r>
      <w:r w:rsidRPr="00527860">
        <w:rPr>
          <w:rFonts w:ascii="Times New Roman" w:hAnsi="Times New Roman" w:cs="Times New Roman"/>
          <w:sz w:val="24"/>
          <w:szCs w:val="24"/>
        </w:rPr>
        <w:t>evaluación razonada y humana del bienestar social que Adam Smith consideraba fundament</w:t>
      </w:r>
      <w:r>
        <w:rPr>
          <w:rFonts w:ascii="Times New Roman" w:hAnsi="Times New Roman" w:cs="Times New Roman"/>
          <w:sz w:val="24"/>
          <w:szCs w:val="24"/>
        </w:rPr>
        <w:t>al para la labor del economista”</w:t>
      </w:r>
      <w:r w:rsidRPr="00527860">
        <w:rPr>
          <w:rFonts w:ascii="Times New Roman" w:hAnsi="Times New Roman" w:cs="Times New Roman"/>
          <w:sz w:val="24"/>
          <w:szCs w:val="24"/>
        </w:rPr>
        <w:t>.</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Sen compara la definición de Robbins con la del economista Arthur Pigou, que vivió a fines del siglo XIX y</w:t>
      </w:r>
      <w:r>
        <w:rPr>
          <w:rFonts w:ascii="Times New Roman" w:hAnsi="Times New Roman" w:cs="Times New Roman"/>
          <w:sz w:val="24"/>
          <w:szCs w:val="24"/>
        </w:rPr>
        <w:t xml:space="preserve"> principios del XX y escribió: “</w:t>
      </w:r>
      <w:r w:rsidRPr="00527860">
        <w:rPr>
          <w:rFonts w:ascii="Times New Roman" w:hAnsi="Times New Roman" w:cs="Times New Roman"/>
          <w:sz w:val="24"/>
          <w:szCs w:val="24"/>
        </w:rPr>
        <w:t>La ciencia económica no nace del asombro, sino de la sublevación del entusiasmo social frente a la sordidez de calles miserables y</w:t>
      </w:r>
      <w:r>
        <w:rPr>
          <w:rFonts w:ascii="Times New Roman" w:hAnsi="Times New Roman" w:cs="Times New Roman"/>
          <w:sz w:val="24"/>
          <w:szCs w:val="24"/>
        </w:rPr>
        <w:t xml:space="preserve"> la tristeza de vidas marchitas”</w:t>
      </w:r>
      <w:r w:rsidRPr="00527860">
        <w:rPr>
          <w:rFonts w:ascii="Times New Roman" w:hAnsi="Times New Roman" w:cs="Times New Roman"/>
          <w:sz w:val="24"/>
          <w:szCs w:val="24"/>
        </w:rPr>
        <w:t>. La economía debiera dedicarse a entender los factores que subyacen a la sordidez asociada con la pobreza y las privaciones, y eliminarlos. Nuevamente, la Teoría gen</w:t>
      </w:r>
      <w:r>
        <w:rPr>
          <w:rFonts w:ascii="Times New Roman" w:hAnsi="Times New Roman" w:cs="Times New Roman"/>
          <w:sz w:val="24"/>
          <w:szCs w:val="24"/>
        </w:rPr>
        <w:t>eral de Keynes lo resume bien: “</w:t>
      </w:r>
      <w:r w:rsidRPr="00527860">
        <w:rPr>
          <w:rFonts w:ascii="Times New Roman" w:hAnsi="Times New Roman" w:cs="Times New Roman"/>
          <w:sz w:val="24"/>
          <w:szCs w:val="24"/>
        </w:rPr>
        <w:t>El pr</w:t>
      </w:r>
      <w:r>
        <w:rPr>
          <w:rFonts w:ascii="Times New Roman" w:hAnsi="Times New Roman" w:cs="Times New Roman"/>
          <w:sz w:val="24"/>
          <w:szCs w:val="24"/>
        </w:rPr>
        <w:t>oblema político de la humanidad”, afirma, “</w:t>
      </w:r>
      <w:r w:rsidRPr="00527860">
        <w:rPr>
          <w:rFonts w:ascii="Times New Roman" w:hAnsi="Times New Roman" w:cs="Times New Roman"/>
          <w:sz w:val="24"/>
          <w:szCs w:val="24"/>
        </w:rPr>
        <w:t xml:space="preserve">es cómo combinar tres cosas: la eficiencia económica, la justicia </w:t>
      </w:r>
      <w:r>
        <w:rPr>
          <w:rFonts w:ascii="Times New Roman" w:hAnsi="Times New Roman" w:cs="Times New Roman"/>
          <w:sz w:val="24"/>
          <w:szCs w:val="24"/>
        </w:rPr>
        <w:t>social y la libertad personal”.</w:t>
      </w:r>
    </w:p>
    <w:p w:rsidR="00772428" w:rsidRPr="00527860" w:rsidRDefault="00772428" w:rsidP="00772428">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Parece que abandonamos los dos últimos componentes del trío keynesiano. Debemos superar nuestra fijación con el dinero como única medida del bienestar humano, aprender más sobre la forma de pensar de los sociólogos y, sobre todo, pasar más tiempo con los filósofos para recobrar el territorio intelectual que sup</w:t>
      </w:r>
      <w:r>
        <w:rPr>
          <w:rFonts w:ascii="Times New Roman" w:hAnsi="Times New Roman" w:cs="Times New Roman"/>
          <w:sz w:val="24"/>
          <w:szCs w:val="24"/>
        </w:rPr>
        <w:t>o ser central para la economía.</w:t>
      </w:r>
    </w:p>
    <w:p w:rsidR="00772428" w:rsidRPr="00616153" w:rsidRDefault="00772428" w:rsidP="00772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7860">
        <w:rPr>
          <w:rFonts w:ascii="Times New Roman" w:hAnsi="Times New Roman" w:cs="Times New Roman"/>
          <w:sz w:val="24"/>
          <w:szCs w:val="24"/>
        </w:rPr>
        <w:t>Angus Deaton ganó el Premio Nobel de Economía en 2015 y es catedrático emérito de Economía en Princeton</w:t>
      </w:r>
      <w:r>
        <w:rPr>
          <w:rFonts w:ascii="Times New Roman" w:hAnsi="Times New Roman" w:cs="Times New Roman"/>
          <w:sz w:val="24"/>
          <w:szCs w:val="24"/>
        </w:rPr>
        <w:t>)</w:t>
      </w:r>
    </w:p>
    <w:p w:rsidR="00772428" w:rsidRPr="00EF5998" w:rsidRDefault="00772428" w:rsidP="00772428">
      <w:pPr>
        <w:shd w:val="clear" w:color="auto" w:fill="FFFFFF"/>
        <w:spacing w:after="390" w:line="240" w:lineRule="auto"/>
        <w:jc w:val="both"/>
        <w:rPr>
          <w:rFonts w:ascii="Times New Roman" w:eastAsia="Times New Roman" w:hAnsi="Times New Roman" w:cs="Times New Roman"/>
          <w:b/>
          <w:sz w:val="24"/>
          <w:szCs w:val="24"/>
          <w:lang w:eastAsia="es-ES"/>
        </w:rPr>
      </w:pPr>
      <w:r w:rsidRPr="00EF5998">
        <w:rPr>
          <w:rFonts w:ascii="Times New Roman" w:eastAsia="Times New Roman" w:hAnsi="Times New Roman" w:cs="Times New Roman"/>
          <w:b/>
          <w:sz w:val="24"/>
          <w:szCs w:val="24"/>
          <w:lang w:eastAsia="es-ES"/>
        </w:rPr>
        <w:lastRenderedPageBreak/>
        <w:t>- “Banderas de nuestros padres” vs. “amistades peligrosas”</w:t>
      </w:r>
    </w:p>
    <w:p w:rsidR="00772428" w:rsidRDefault="00772428">
      <w:r w:rsidRPr="00772428">
        <w:rPr>
          <w:noProof/>
          <w:lang w:val="en-GB" w:eastAsia="zh-CN"/>
        </w:rPr>
        <w:drawing>
          <wp:inline distT="0" distB="0" distL="0" distR="0">
            <wp:extent cx="4114800" cy="41211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114079" cy="4120428"/>
                    </a:xfrm>
                    <a:prstGeom prst="rect">
                      <a:avLst/>
                    </a:prstGeom>
                  </pic:spPr>
                </pic:pic>
              </a:graphicData>
            </a:graphic>
          </wp:inline>
        </w:drawing>
      </w:r>
    </w:p>
    <w:p w:rsidR="00772428" w:rsidRPr="00661DBB" w:rsidRDefault="00772428" w:rsidP="00772428">
      <w:pPr>
        <w:shd w:val="clear" w:color="auto" w:fill="FFFFFF"/>
        <w:spacing w:after="180" w:line="240" w:lineRule="auto"/>
        <w:jc w:val="both"/>
        <w:rPr>
          <w:rFonts w:ascii="Times New Roman" w:eastAsia="Times New Roman" w:hAnsi="Times New Roman" w:cs="Times New Roman"/>
          <w:sz w:val="24"/>
          <w:szCs w:val="24"/>
          <w:lang w:eastAsia="es-ES"/>
        </w:rPr>
      </w:pPr>
      <w:r w:rsidRPr="00661DBB">
        <w:rPr>
          <w:rFonts w:ascii="Times New Roman" w:eastAsia="Times New Roman" w:hAnsi="Times New Roman" w:cs="Times New Roman"/>
          <w:b/>
          <w:bCs/>
          <w:sz w:val="24"/>
          <w:szCs w:val="24"/>
          <w:lang w:eastAsia="es-ES"/>
        </w:rPr>
        <w:t>Desventajas del libre comercio</w:t>
      </w:r>
    </w:p>
    <w:p w:rsidR="00772428" w:rsidRPr="00661DBB" w:rsidRDefault="00772428" w:rsidP="00772428">
      <w:pPr>
        <w:numPr>
          <w:ilvl w:val="0"/>
          <w:numId w:val="1"/>
        </w:numPr>
        <w:shd w:val="clear" w:color="auto" w:fill="FFFFFF"/>
        <w:spacing w:after="60" w:line="240" w:lineRule="auto"/>
        <w:ind w:left="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Favorece a los poderosos. </w:t>
      </w:r>
    </w:p>
    <w:p w:rsidR="00772428" w:rsidRPr="00661DBB" w:rsidRDefault="00772428" w:rsidP="00772428">
      <w:pPr>
        <w:numPr>
          <w:ilvl w:val="0"/>
          <w:numId w:val="1"/>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661DBB">
        <w:rPr>
          <w:rFonts w:ascii="Times New Roman" w:eastAsia="Times New Roman" w:hAnsi="Times New Roman" w:cs="Times New Roman"/>
          <w:sz w:val="24"/>
          <w:szCs w:val="24"/>
          <w:lang w:eastAsia="es-ES"/>
        </w:rPr>
        <w:t>Genera cambios ver</w:t>
      </w:r>
      <w:r>
        <w:rPr>
          <w:rFonts w:ascii="Times New Roman" w:eastAsia="Times New Roman" w:hAnsi="Times New Roman" w:cs="Times New Roman"/>
          <w:sz w:val="24"/>
          <w:szCs w:val="24"/>
          <w:lang w:eastAsia="es-ES"/>
        </w:rPr>
        <w:t xml:space="preserve">tiginosos. </w:t>
      </w:r>
    </w:p>
    <w:p w:rsidR="00772428" w:rsidRPr="00661DBB" w:rsidRDefault="00772428" w:rsidP="00772428">
      <w:pPr>
        <w:numPr>
          <w:ilvl w:val="0"/>
          <w:numId w:val="1"/>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661DBB">
        <w:rPr>
          <w:rFonts w:ascii="Times New Roman" w:eastAsia="Times New Roman" w:hAnsi="Times New Roman" w:cs="Times New Roman"/>
          <w:sz w:val="24"/>
          <w:szCs w:val="24"/>
          <w:lang w:eastAsia="es-ES"/>
        </w:rPr>
        <w:t>No b</w:t>
      </w:r>
      <w:r>
        <w:rPr>
          <w:rFonts w:ascii="Times New Roman" w:eastAsia="Times New Roman" w:hAnsi="Times New Roman" w:cs="Times New Roman"/>
          <w:sz w:val="24"/>
          <w:szCs w:val="24"/>
          <w:lang w:eastAsia="es-ES"/>
        </w:rPr>
        <w:t xml:space="preserve">eneficia a los trabajadores. </w:t>
      </w:r>
    </w:p>
    <w:p w:rsidR="00772428" w:rsidRPr="009F4540" w:rsidRDefault="00772428" w:rsidP="00772428">
      <w:pPr>
        <w:numPr>
          <w:ilvl w:val="0"/>
          <w:numId w:val="1"/>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661DBB">
        <w:rPr>
          <w:rFonts w:ascii="Times New Roman" w:eastAsia="Times New Roman" w:hAnsi="Times New Roman" w:cs="Times New Roman"/>
          <w:sz w:val="24"/>
          <w:szCs w:val="24"/>
          <w:lang w:eastAsia="es-ES"/>
        </w:rPr>
        <w:t>Migra el empleo.</w:t>
      </w:r>
    </w:p>
    <w:p w:rsidR="00772428" w:rsidRPr="009F4540" w:rsidRDefault="00772428" w:rsidP="00772428">
      <w:pPr>
        <w:shd w:val="clear" w:color="auto" w:fill="FFFFFF"/>
        <w:spacing w:after="60" w:line="240" w:lineRule="auto"/>
        <w:jc w:val="both"/>
        <w:rPr>
          <w:rFonts w:ascii="Times New Roman" w:eastAsia="Times New Roman" w:hAnsi="Times New Roman" w:cs="Times New Roman"/>
          <w:sz w:val="24"/>
          <w:szCs w:val="24"/>
          <w:lang w:eastAsia="es-ES"/>
        </w:rPr>
      </w:pPr>
    </w:p>
    <w:p w:rsidR="00772428" w:rsidRDefault="00772428" w:rsidP="00772428">
      <w:pPr>
        <w:shd w:val="clear" w:color="auto" w:fill="FFFFFF"/>
        <w:spacing w:after="390" w:line="240" w:lineRule="auto"/>
        <w:jc w:val="both"/>
        <w:rPr>
          <w:rFonts w:ascii="Times New Roman" w:eastAsia="Times New Roman" w:hAnsi="Times New Roman" w:cs="Times New Roman"/>
          <w:sz w:val="24"/>
          <w:szCs w:val="24"/>
          <w:lang w:eastAsia="es-ES"/>
        </w:rPr>
      </w:pPr>
      <w:r w:rsidRPr="009F4540">
        <w:rPr>
          <w:rFonts w:ascii="Times New Roman" w:eastAsia="Times New Roman" w:hAnsi="Times New Roman" w:cs="Times New Roman"/>
          <w:sz w:val="24"/>
          <w:szCs w:val="24"/>
          <w:lang w:eastAsia="es-ES"/>
        </w:rPr>
        <w:t>Quienes defienden el proteccionismo, argumentan que ello es necesario para proteger la industria naciente en un país, para poner a buen recaudo los recursos naturales nacionales, para preservar las costumbres y tradiciones y para proteger la producción nacional.</w:t>
      </w:r>
    </w:p>
    <w:p w:rsidR="00772428" w:rsidRPr="009F4540" w:rsidRDefault="00772428" w:rsidP="00772428">
      <w:pPr>
        <w:shd w:val="clear" w:color="auto" w:fill="FFFFFF"/>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sz w:val="24"/>
          <w:szCs w:val="24"/>
          <w:lang w:eastAsia="es-ES"/>
        </w:rPr>
        <w:t>V</w:t>
      </w:r>
      <w:r w:rsidRPr="00661DBB">
        <w:rPr>
          <w:rFonts w:ascii="Times New Roman" w:eastAsia="Times New Roman" w:hAnsi="Times New Roman" w:cs="Times New Roman"/>
          <w:b/>
          <w:bCs/>
          <w:sz w:val="24"/>
          <w:szCs w:val="24"/>
          <w:lang w:eastAsia="es-ES"/>
        </w:rPr>
        <w:t>entajas del libre comercio</w:t>
      </w:r>
    </w:p>
    <w:p w:rsidR="00772428" w:rsidRPr="009F4540" w:rsidRDefault="00772428" w:rsidP="00772428">
      <w:pPr>
        <w:shd w:val="clear" w:color="auto" w:fill="FFFFFF"/>
        <w:spacing w:after="390" w:line="240" w:lineRule="auto"/>
        <w:jc w:val="both"/>
        <w:rPr>
          <w:rFonts w:ascii="Times New Roman" w:eastAsia="Times New Roman" w:hAnsi="Times New Roman" w:cs="Times New Roman"/>
          <w:sz w:val="24"/>
          <w:szCs w:val="24"/>
          <w:lang w:eastAsia="es-ES"/>
        </w:rPr>
      </w:pPr>
      <w:r w:rsidRPr="009F4540">
        <w:rPr>
          <w:rFonts w:ascii="Times New Roman" w:eastAsia="Times New Roman" w:hAnsi="Times New Roman" w:cs="Times New Roman"/>
          <w:sz w:val="24"/>
          <w:szCs w:val="24"/>
          <w:lang w:eastAsia="es-ES"/>
        </w:rPr>
        <w:t xml:space="preserve">Por el contrario, los </w:t>
      </w:r>
      <w:r w:rsidRPr="00DD4E63">
        <w:rPr>
          <w:rFonts w:ascii="Times New Roman" w:eastAsia="Times New Roman" w:hAnsi="Times New Roman" w:cs="Times New Roman"/>
          <w:sz w:val="24"/>
          <w:szCs w:val="24"/>
          <w:lang w:eastAsia="es-ES"/>
        </w:rPr>
        <w:t>defensores del comercio libre</w:t>
      </w:r>
      <w:r w:rsidRPr="009F4540">
        <w:rPr>
          <w:rFonts w:ascii="Times New Roman" w:eastAsia="Times New Roman" w:hAnsi="Times New Roman" w:cs="Times New Roman"/>
          <w:sz w:val="24"/>
          <w:szCs w:val="24"/>
          <w:lang w:eastAsia="es-ES"/>
        </w:rPr>
        <w:t xml:space="preserve"> arguyen que la libertad de comercio es beneficiosa por una serie de motivos:</w:t>
      </w:r>
    </w:p>
    <w:p w:rsidR="00772428" w:rsidRPr="009F4540" w:rsidRDefault="00772428" w:rsidP="00772428">
      <w:pPr>
        <w:numPr>
          <w:ilvl w:val="0"/>
          <w:numId w:val="2"/>
        </w:numPr>
        <w:shd w:val="clear" w:color="auto" w:fill="FFFFFF"/>
        <w:spacing w:before="100" w:beforeAutospacing="1" w:after="100" w:afterAutospacing="1" w:line="240" w:lineRule="auto"/>
        <w:ind w:left="60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w:t>
      </w:r>
      <w:r w:rsidRPr="009F4540">
        <w:rPr>
          <w:rFonts w:ascii="Times New Roman" w:eastAsia="Times New Roman" w:hAnsi="Times New Roman" w:cs="Times New Roman"/>
          <w:sz w:val="24"/>
          <w:szCs w:val="24"/>
          <w:lang w:eastAsia="es-ES"/>
        </w:rPr>
        <w:t>ermite una mayor especialización por países en la pr</w:t>
      </w:r>
      <w:r>
        <w:rPr>
          <w:rFonts w:ascii="Times New Roman" w:eastAsia="Times New Roman" w:hAnsi="Times New Roman" w:cs="Times New Roman"/>
          <w:sz w:val="24"/>
          <w:szCs w:val="24"/>
          <w:lang w:eastAsia="es-ES"/>
        </w:rPr>
        <w:t>oducción de determinados bienes.</w:t>
      </w:r>
    </w:p>
    <w:p w:rsidR="00772428" w:rsidRPr="009F4540" w:rsidRDefault="00772428" w:rsidP="00772428">
      <w:pPr>
        <w:numPr>
          <w:ilvl w:val="0"/>
          <w:numId w:val="2"/>
        </w:numPr>
        <w:shd w:val="clear" w:color="auto" w:fill="FFFFFF"/>
        <w:spacing w:before="100" w:beforeAutospacing="1" w:after="100" w:afterAutospacing="1" w:line="240" w:lineRule="auto"/>
        <w:ind w:left="60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w:t>
      </w:r>
      <w:r w:rsidRPr="009F4540">
        <w:rPr>
          <w:rFonts w:ascii="Times New Roman" w:eastAsia="Times New Roman" w:hAnsi="Times New Roman" w:cs="Times New Roman"/>
          <w:sz w:val="24"/>
          <w:szCs w:val="24"/>
          <w:lang w:eastAsia="es-ES"/>
        </w:rPr>
        <w:t>omenta la competitividad, pre</w:t>
      </w:r>
      <w:r>
        <w:rPr>
          <w:rFonts w:ascii="Times New Roman" w:eastAsia="Times New Roman" w:hAnsi="Times New Roman" w:cs="Times New Roman"/>
          <w:sz w:val="24"/>
          <w:szCs w:val="24"/>
          <w:lang w:eastAsia="es-ES"/>
        </w:rPr>
        <w:t>miando la eficiencia productiva.</w:t>
      </w:r>
    </w:p>
    <w:p w:rsidR="00772428" w:rsidRPr="009F4540" w:rsidRDefault="00772428" w:rsidP="00772428">
      <w:pPr>
        <w:numPr>
          <w:ilvl w:val="0"/>
          <w:numId w:val="2"/>
        </w:numPr>
        <w:shd w:val="clear" w:color="auto" w:fill="FFFFFF"/>
        <w:spacing w:before="100" w:beforeAutospacing="1" w:after="100" w:afterAutospacing="1" w:line="240" w:lineRule="auto"/>
        <w:ind w:left="60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w:t>
      </w:r>
      <w:r w:rsidRPr="009F4540">
        <w:rPr>
          <w:rFonts w:ascii="Times New Roman" w:eastAsia="Times New Roman" w:hAnsi="Times New Roman" w:cs="Times New Roman"/>
          <w:sz w:val="24"/>
          <w:szCs w:val="24"/>
          <w:lang w:eastAsia="es-ES"/>
        </w:rPr>
        <w:t>on</w:t>
      </w:r>
      <w:r>
        <w:rPr>
          <w:rFonts w:ascii="Times New Roman" w:eastAsia="Times New Roman" w:hAnsi="Times New Roman" w:cs="Times New Roman"/>
          <w:sz w:val="24"/>
          <w:szCs w:val="24"/>
          <w:lang w:eastAsia="es-ES"/>
        </w:rPr>
        <w:t>sigue abaratar costes y precios.</w:t>
      </w:r>
    </w:p>
    <w:p w:rsidR="00772428" w:rsidRPr="009F4540" w:rsidRDefault="00772428" w:rsidP="00772428">
      <w:pPr>
        <w:numPr>
          <w:ilvl w:val="0"/>
          <w:numId w:val="2"/>
        </w:numPr>
        <w:shd w:val="clear" w:color="auto" w:fill="FFFFFF"/>
        <w:spacing w:before="100" w:beforeAutospacing="1" w:after="100" w:afterAutospacing="1" w:line="240" w:lineRule="auto"/>
        <w:ind w:left="60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w:t>
      </w:r>
      <w:r w:rsidRPr="009F4540">
        <w:rPr>
          <w:rFonts w:ascii="Times New Roman" w:eastAsia="Times New Roman" w:hAnsi="Times New Roman" w:cs="Times New Roman"/>
          <w:sz w:val="24"/>
          <w:szCs w:val="24"/>
          <w:lang w:eastAsia="es-ES"/>
        </w:rPr>
        <w:t>avorece la buena arm</w:t>
      </w:r>
      <w:r>
        <w:rPr>
          <w:rFonts w:ascii="Times New Roman" w:eastAsia="Times New Roman" w:hAnsi="Times New Roman" w:cs="Times New Roman"/>
          <w:sz w:val="24"/>
          <w:szCs w:val="24"/>
          <w:lang w:eastAsia="es-ES"/>
        </w:rPr>
        <w:t>onía y convivencia entre países.</w:t>
      </w:r>
    </w:p>
    <w:p w:rsidR="00772428" w:rsidRDefault="00772428" w:rsidP="00772428">
      <w:pPr>
        <w:numPr>
          <w:ilvl w:val="0"/>
          <w:numId w:val="2"/>
        </w:numPr>
        <w:shd w:val="clear" w:color="auto" w:fill="FFFFFF"/>
        <w:spacing w:before="100" w:beforeAutospacing="1" w:after="100" w:afterAutospacing="1" w:line="240" w:lineRule="auto"/>
        <w:ind w:left="60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w:t>
      </w:r>
      <w:r w:rsidRPr="009F4540">
        <w:rPr>
          <w:rFonts w:ascii="Times New Roman" w:eastAsia="Times New Roman" w:hAnsi="Times New Roman" w:cs="Times New Roman"/>
          <w:sz w:val="24"/>
          <w:szCs w:val="24"/>
          <w:lang w:eastAsia="es-ES"/>
        </w:rPr>
        <w:t>ejora el bienestar de los consumidores.</w:t>
      </w:r>
    </w:p>
    <w:p w:rsidR="00772428" w:rsidRPr="009F4540" w:rsidRDefault="00772428" w:rsidP="00772428">
      <w:pPr>
        <w:shd w:val="clear" w:color="auto" w:fill="FFFFFF"/>
        <w:spacing w:after="390" w:line="240" w:lineRule="auto"/>
        <w:jc w:val="both"/>
        <w:rPr>
          <w:rFonts w:ascii="Times New Roman" w:eastAsia="Times New Roman" w:hAnsi="Times New Roman" w:cs="Times New Roman"/>
          <w:sz w:val="24"/>
          <w:szCs w:val="24"/>
          <w:lang w:eastAsia="es-ES"/>
        </w:rPr>
      </w:pPr>
      <w:r w:rsidRPr="009F4540">
        <w:rPr>
          <w:rFonts w:ascii="Times New Roman" w:eastAsia="Times New Roman" w:hAnsi="Times New Roman" w:cs="Times New Roman"/>
          <w:sz w:val="24"/>
          <w:szCs w:val="24"/>
          <w:lang w:eastAsia="es-ES"/>
        </w:rPr>
        <w:lastRenderedPageBreak/>
        <w:t>En la actualidad el mundo tiene un perfil librecambista, gracias a la acción de la Organización Mundial del Comercio (OMC), organismo internacional cuya finalidad principal es, precisamente, conseguir un comercio internacional más libre. Con anterioridad a la OMC, el GATT (General Agreement on Tariffs and Trade) buscó el mismo objetivo, logrando hacer descender ampliamente los aranceles mundiales.</w:t>
      </w:r>
    </w:p>
    <w:p w:rsidR="00772428" w:rsidRDefault="00772428" w:rsidP="00772428">
      <w:pPr>
        <w:shd w:val="clear" w:color="auto" w:fill="FFFFFF"/>
        <w:spacing w:after="390" w:line="240" w:lineRule="auto"/>
        <w:jc w:val="both"/>
        <w:rPr>
          <w:rFonts w:ascii="Times New Roman" w:eastAsia="Times New Roman" w:hAnsi="Times New Roman" w:cs="Times New Roman"/>
          <w:sz w:val="24"/>
          <w:szCs w:val="24"/>
          <w:lang w:eastAsia="es-ES"/>
        </w:rPr>
      </w:pPr>
      <w:r w:rsidRPr="009F4540">
        <w:rPr>
          <w:rFonts w:ascii="Times New Roman" w:eastAsia="Times New Roman" w:hAnsi="Times New Roman" w:cs="Times New Roman"/>
          <w:sz w:val="24"/>
          <w:szCs w:val="24"/>
          <w:lang w:eastAsia="es-ES"/>
        </w:rPr>
        <w:t>A pesar de ello, el proteccionismo sigue estando presente, pues en ocasiones está justificado proteger alguna industria o sector que estén pasando por una etapa delicada, aunque coyunturalmente. Por otra parte, se puede advertir que el debate librecambio-proteccionismo continúa estando hoy muy candente</w:t>
      </w:r>
      <w:r>
        <w:rPr>
          <w:rFonts w:ascii="Times New Roman" w:eastAsia="Times New Roman" w:hAnsi="Times New Roman" w:cs="Times New Roman"/>
          <w:sz w:val="24"/>
          <w:szCs w:val="24"/>
          <w:lang w:eastAsia="es-ES"/>
        </w:rPr>
        <w:t>…</w:t>
      </w:r>
    </w:p>
    <w:p w:rsidR="00772428" w:rsidRPr="009F4540" w:rsidRDefault="00772428" w:rsidP="00772428">
      <w:pPr>
        <w:pStyle w:val="NormalWeb"/>
        <w:shd w:val="clear" w:color="auto" w:fill="FFFFFF"/>
        <w:spacing w:after="0"/>
        <w:jc w:val="both"/>
        <w:textAlignment w:val="baseline"/>
      </w:pPr>
      <w:r>
        <w:rPr>
          <w:b/>
        </w:rPr>
        <w:t xml:space="preserve">- </w:t>
      </w:r>
      <w:r w:rsidRPr="00A36BF5">
        <w:rPr>
          <w:u w:val="single"/>
        </w:rPr>
        <w:t>Imperios modernos</w:t>
      </w:r>
      <w:r w:rsidRPr="009F4540">
        <w:t xml:space="preserve">(Fuente: Jordi Bacaria Colom </w:t>
      </w:r>
      <w:r>
        <w:t xml:space="preserve">- </w:t>
      </w:r>
      <w:r w:rsidRPr="009F4540">
        <w:t xml:space="preserve">Foreign Affairs Latinoamérica - </w:t>
      </w:r>
      <w:r w:rsidRPr="00616153">
        <w:rPr>
          <w:b/>
        </w:rPr>
        <w:t>27/10/19</w:t>
      </w:r>
      <w:r>
        <w:t>)</w:t>
      </w:r>
    </w:p>
    <w:p w:rsidR="00772428" w:rsidRPr="009F4540" w:rsidRDefault="00772428" w:rsidP="00772428">
      <w:pPr>
        <w:pStyle w:val="NormalWeb"/>
        <w:shd w:val="clear" w:color="auto" w:fill="FFFFFF"/>
        <w:spacing w:before="120" w:beforeAutospacing="0" w:after="270" w:afterAutospacing="0"/>
        <w:jc w:val="both"/>
      </w:pPr>
      <w:r w:rsidRPr="009F4540">
        <w:t>La definición de imperio podría incluir hoy a China, Estados Unidos, Rusia y la Unión Europea.</w:t>
      </w:r>
    </w:p>
    <w:p w:rsidR="00772428" w:rsidRPr="009F4540" w:rsidRDefault="00772428" w:rsidP="00772428">
      <w:pPr>
        <w:pStyle w:val="NormalWeb"/>
        <w:shd w:val="clear" w:color="auto" w:fill="FFFFFF"/>
        <w:spacing w:before="120" w:beforeAutospacing="0" w:after="270" w:afterAutospacing="0"/>
        <w:jc w:val="both"/>
      </w:pPr>
      <w:r w:rsidRPr="009F4540">
        <w:t>China es analizada por Ulises Granados. Actualmente, China desea expulsar a Estados Unidos de su zona de influencia y convertirse en hegemón político, económico y militar. Así, el crecimiento económico de China llevará inevitablemente a que Beijing trate de dominar Asia de la misma forma en que Washington domina el hemisferio occidental y a que aumenten las posibilidades de un conflicto con Estados Unidos, la tan citada trampa de Tucídides.</w:t>
      </w:r>
    </w:p>
    <w:p w:rsidR="00772428" w:rsidRPr="009F4540" w:rsidRDefault="00772428" w:rsidP="00772428">
      <w:pPr>
        <w:pStyle w:val="NormalWeb"/>
        <w:shd w:val="clear" w:color="auto" w:fill="FFFFFF"/>
        <w:spacing w:after="0"/>
        <w:jc w:val="both"/>
        <w:textAlignment w:val="baseline"/>
      </w:pPr>
      <w:r w:rsidRPr="009F4540">
        <w:t>(…)</w:t>
      </w:r>
    </w:p>
    <w:p w:rsidR="00772428"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5B6813">
        <w:rPr>
          <w:rFonts w:ascii="Times New Roman" w:eastAsia="Times New Roman" w:hAnsi="Times New Roman" w:cs="Times New Roman"/>
          <w:sz w:val="24"/>
          <w:szCs w:val="24"/>
          <w:lang w:eastAsia="es-ES"/>
        </w:rPr>
        <w:t>Considerar a la Unión Europea como un imperio puede resultar sorprendente si se tiene en cuenta su corta historia. Sin embargo, Gabriel Goodliffe destaca una visión de la Unión Europea como un condominio imperial alemán a raíz de la crisis de la eurozona, o bien como un imperio benigno, un “imperio no imperial” altruista que gobierna siguiendo los principios de reciprocidad, solidaridad y cooperación, según la descripción de algunos líderes europeos. Ambos puntos de vista comparten el concepto básico de la Unión Europea como un imperio, y así abordan el problema central de cómo gobernar un espacio geográfico único, pero socialmente diferente, que ha confrontado a los imperios a lo largo de la historia. Esta experiencia imperial benigna y pacífica encuentra su referente más cercano en el primer medio siglo de integración europea de la posguerra. Desde 1953, con la creación de la Comunidad Europea del Carbón y del Acero, hasta el advenimiento del mercado único y el inicio de la unificación monetaria, este proyecto de integración coincidió con el periodo más largo de prosperidad económica y paz social y regional de Europa. Sin embargo, el liderazgo hegemónico alemán y las reacciones negativas que ha provocado en la Unión Europea plantean dudas sobre el futuro de la integración.</w:t>
      </w:r>
    </w:p>
    <w:p w:rsidR="00772428"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5B6813">
        <w:rPr>
          <w:rFonts w:ascii="Times New Roman" w:eastAsia="Times New Roman" w:hAnsi="Times New Roman" w:cs="Times New Roman"/>
          <w:sz w:val="24"/>
          <w:szCs w:val="24"/>
          <w:lang w:eastAsia="es-ES"/>
        </w:rPr>
        <w:t xml:space="preserve">Joshua Simon relaciona el Derecho Internacional con el imperio y sitúa el inicio de esta relación en el descubrimiento del Nuevo Mundo y en las relaciones entre el derecho natural y el de las naciones. El derecho de las naciones justificaba el imperialismo europeo en el Nuevo Mundo. Así, los orígenes del Derecho Internacional radican en “el encuentro colonial”: el descubrimiento, la conquista, el asentamiento y el gobierno de América por las grandes potencias de Europa. La descolonización coincide con la institucionalización de la política internacional y suele considerarse como el fin de la estrecha asociación entre el Derecho </w:t>
      </w:r>
      <w:r w:rsidRPr="005B6813">
        <w:rPr>
          <w:rFonts w:ascii="Times New Roman" w:eastAsia="Times New Roman" w:hAnsi="Times New Roman" w:cs="Times New Roman"/>
          <w:sz w:val="24"/>
          <w:szCs w:val="24"/>
          <w:lang w:eastAsia="es-ES"/>
        </w:rPr>
        <w:lastRenderedPageBreak/>
        <w:t>Internacional y el imperio. Sin embargo, esta interpretación oscurece las maneras como las nuevas instituciones internacionales contribuyeron a preservar las desigualdades de riqueza y poder después de la descolonización formal. Por ejemplo, la Liga de las Naciones, la primera institución realmente internacional del mundo, vigilaba lo que para fines prácticos era un sistema de gobierno imperialista, ya que se encomendaba a las “naciones avanzadas” la administración de “las colonias y los territorios habitados por pueblos incapaces aún de encarar solos las condiciones extenuantes del mundo moderno”. También las instituciones creadas después de la Segunda Guerra Mundial, los tratados, los acuerdos y las convenciones, así como las leyes que apuntalan el sistema internacional institucionalizado, son universales en la forma pero dispares en el efecto. Actualmente, algunos gobiernos de derecha incumplen manifiestamente los principios del Derecho Internacional. Trump se niega a cumplir con los términos del Pacto Mundial para una Migración Segura, Ordenada y Regular aprobado por la Asamblea General de la Organización de las Naciones Unidas en 2018. En Italia, Matteo Salvini no permite que buques con migrantes rescatados en el mar atraquen en sus puertos, lo que constituye una violación de costumbres jurídicas internacionales que se remontan al </w:t>
      </w:r>
      <w:r w:rsidRPr="009F4540">
        <w:rPr>
          <w:rFonts w:ascii="Times New Roman" w:eastAsia="Times New Roman" w:hAnsi="Times New Roman" w:cs="Times New Roman"/>
          <w:i/>
          <w:iCs/>
          <w:sz w:val="24"/>
          <w:szCs w:val="24"/>
          <w:bdr w:val="none" w:sz="0" w:space="0" w:color="auto" w:frame="1"/>
          <w:lang w:eastAsia="es-ES"/>
        </w:rPr>
        <w:t>jus gentium</w:t>
      </w:r>
      <w:r w:rsidRPr="005B6813">
        <w:rPr>
          <w:rFonts w:ascii="Times New Roman" w:eastAsia="Times New Roman" w:hAnsi="Times New Roman" w:cs="Times New Roman"/>
          <w:sz w:val="24"/>
          <w:szCs w:val="24"/>
          <w:lang w:eastAsia="es-ES"/>
        </w:rPr>
        <w:t> del siglo XVI.</w:t>
      </w:r>
    </w:p>
    <w:p w:rsidR="00772428" w:rsidRPr="005B6813"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5B6813">
        <w:rPr>
          <w:rFonts w:ascii="Times New Roman" w:eastAsia="Times New Roman" w:hAnsi="Times New Roman" w:cs="Times New Roman"/>
          <w:sz w:val="24"/>
          <w:szCs w:val="24"/>
          <w:lang w:eastAsia="es-ES"/>
        </w:rPr>
        <w:t>En el contexto actual de los nuevos imperialismos, los imperialismos nostálgicos o las instituciones internacionales de origen y curso imperialista, tal como se explica en esta primera parte de la revista, retomamos las conclusiones de Simon. Los internacionalistas liberales tendrán que eliminar las características imperialistas del orden internacional que ellos construyeron y aún defienden, y reconocer que el universalismo oficial del Derecho Internacional no siempre produce en la práctica un mundo igualitario. Y los internacionalistas de izquierda deben admitir que el potencial del Derecho Internacional no se anula debido a su historia. Es posible un mejor mundo, pero debe construirse sobre los cimientos, y no las ruinas, del mundo en el que vivimos.</w:t>
      </w:r>
    </w:p>
    <w:p w:rsidR="00772428" w:rsidRPr="005B6813"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5B6813">
        <w:rPr>
          <w:rFonts w:ascii="Times New Roman" w:eastAsia="Times New Roman" w:hAnsi="Times New Roman" w:cs="Times New Roman"/>
          <w:sz w:val="24"/>
          <w:szCs w:val="24"/>
          <w:lang w:eastAsia="es-ES"/>
        </w:rPr>
        <w:t>En Diálogo Ñ, Dani Rodrik analiza las consecuencias de la globalización o la hiperglobalización a partir de sus causas y de una perspectiva crítica sobre las políticas que la han desencadenado. Rodrik advierte que, a pesar que no se puede regresar al sistema de Bretton Woods de tipos de cambio fijos ni al proteccionismo comercial desmedido, sí se pueden aprovechar las lecciones del antiguo sistema para concebir una globalización más sana. Para ello se requiere el apoyo popular basado en que los países apliquen las normas de la Organización Mundial del Comercio que permiten a los países ricos reconstituir los contratos sociales internos. Ello implica evitar la competencia desleal, cierto control de capitales, sobre todo a corto plazo, y liberar la movilidad laboral trasfronteriza, junto con políticas para compensar a los perdedores de la globalización.</w:t>
      </w:r>
    </w:p>
    <w:p w:rsidR="00772428" w:rsidRPr="009F4540"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5B6813">
        <w:rPr>
          <w:rFonts w:ascii="Times New Roman" w:eastAsia="Times New Roman" w:hAnsi="Times New Roman" w:cs="Times New Roman"/>
          <w:sz w:val="24"/>
          <w:szCs w:val="24"/>
          <w:lang w:eastAsia="es-ES"/>
        </w:rPr>
        <w:t>Susan Lund, James Manyika y Michael Spence apuntan las ventajas de la globalización desde la perspectiva de los próximos ganadores y advierten que los países ricos eligieron un muy mal momento para cerrarse al comercio, la inversión y la inmigración, ya que ahora, cuando es el momento para aprovechar los beneficios de la globalización, con su proteccionismo van a provocar que todos pierdan. Con el requilibrio de la economía mundial después de la Gran Recesión, las economías emergentes generan la mayor parte de la demanda en el mundo. Además, debido al avance de las nuevas tecnologías y la inteligencia artificial, también cambian los patrones de comercio. Al mismo tiempo que se desaceleró el comercio de mercancías, se incrementa el de servicios, sobre todo de bienes intangibles. Sin embargo, las mercancías todavía importan y los aranceles distorsionan sus precios. Por esto, los argumentos a favor del libre comercio siguen tan en boga como hace 3 décadas y así deberían seguir en beneficio de todos.</w:t>
      </w:r>
    </w:p>
    <w:p w:rsidR="00772428" w:rsidRPr="009F4540"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9F4540">
        <w:rPr>
          <w:rFonts w:ascii="Times New Roman" w:eastAsia="Times New Roman" w:hAnsi="Times New Roman" w:cs="Times New Roman"/>
          <w:sz w:val="24"/>
          <w:szCs w:val="24"/>
          <w:lang w:eastAsia="es-ES"/>
        </w:rPr>
        <w:lastRenderedPageBreak/>
        <w:t>(…)</w:t>
      </w:r>
    </w:p>
    <w:p w:rsidR="00772428" w:rsidRPr="005B6813" w:rsidRDefault="00772428" w:rsidP="00772428">
      <w:pPr>
        <w:shd w:val="clear" w:color="auto" w:fill="FFFFFF"/>
        <w:spacing w:before="120" w:after="270" w:line="240" w:lineRule="auto"/>
        <w:jc w:val="both"/>
        <w:rPr>
          <w:rFonts w:ascii="Times New Roman" w:eastAsia="Times New Roman" w:hAnsi="Times New Roman" w:cs="Times New Roman"/>
          <w:sz w:val="24"/>
          <w:szCs w:val="24"/>
          <w:lang w:eastAsia="es-ES"/>
        </w:rPr>
      </w:pPr>
      <w:r w:rsidRPr="009F4540">
        <w:rPr>
          <w:rFonts w:ascii="Times New Roman" w:hAnsi="Times New Roman" w:cs="Times New Roman"/>
          <w:sz w:val="24"/>
          <w:szCs w:val="24"/>
          <w:shd w:val="clear" w:color="auto" w:fill="FFFFFF"/>
        </w:rPr>
        <w:t>La reciente caída del PIB en Alemania resalta la importancia del análisis de Robert Kagan, quien, partiendo del histórico problema alemán y de su solución con la integración europea y la seguridad atlántica, remite al dilema actual de la falta de acción del país en contraposición con el protagonismo del pasado. Si los alemanes no se hubieran sentido vinculados a los ideales comunes al resto de Europa y Estados Unidos, habría sido imposible sumar su soberanía a la de otros por pertenecer a la nueva institución paneuropea, sobre todo en lo referente a cambiar el marco alemán por el euro y aceptar las restricciones que la membresía a la OTAN impuso a la independencia alemana. Cuatro elementos acabaron con la antigua cuestión alemana: la garantía de seguridad de Estados Unidos, el régimen de libre comercio internacional, la ola democrática y la supresión del nacionalismo, pero ahora están en el aire. En los años por venir, los alemanes quizá vivan en una Europa mayormente renacionalizada. En tales circunstancias, ¿podrán resistir un regreso al nacionalismo? La franca hostilidad del gobierno de Trump a la Unión Europea fomenta estas tendencias. En la pugna europea, que ha enfrentado a liberales con iliberales e internacionalistas con nacionalistas, los segundos han sido los favorecidos por Washington, que además se ha vuelto contra el régimen de libre comercio mundial que afianza la estabilidad política europea y alemana. El blanco específico del Presidente estadounidense es Alemania. Los efectos de más presiones y enfrentamientos serán una desaceleración de la economía alemana y, con ella, el regreso del nacionalismo resentido y la inestabilidad política. Hay que pensar en la Europa de la actualidad como una bomba sin explotar, pero con el detonador intacto y los explosivos todavía activos. Mientras, Trump es un niño con un martillo que la golpea alegre y despreocupado.</w:t>
      </w:r>
    </w:p>
    <w:p w:rsidR="00772428" w:rsidRPr="00EF5998" w:rsidRDefault="00772428" w:rsidP="00772428">
      <w:pPr>
        <w:spacing w:line="240" w:lineRule="auto"/>
        <w:jc w:val="both"/>
        <w:rPr>
          <w:rFonts w:ascii="Times New Roman" w:hAnsi="Times New Roman" w:cs="Times New Roman"/>
          <w:sz w:val="24"/>
          <w:szCs w:val="24"/>
          <w:shd w:val="clear" w:color="auto" w:fill="FFFFFF"/>
        </w:rPr>
      </w:pPr>
      <w:r w:rsidRPr="00EF5998">
        <w:rPr>
          <w:rFonts w:ascii="Times New Roman" w:hAnsi="Times New Roman" w:cs="Times New Roman"/>
          <w:sz w:val="24"/>
          <w:szCs w:val="24"/>
          <w:shd w:val="clear" w:color="auto" w:fill="FFFFFF"/>
        </w:rPr>
        <w:t>Escribe Miguel Ángel Aguilar: “En este juego de las tinieblas puede ser conveniente el regreso en algún momento al método científico que, como resume el profesor Francisco J. Ynduráin, comprende idealmente cuatro etapas. La primera consiste en la observación de un fenómeno que llame nuestra atención. La segunda, en la elección y medición de las magnitudes relacionadas con el fenómeno, lo que requiere intuición y sensibilidad para elegir qué variables se medirán y para proveernos de los instrumentos técnicos capaces de transformar en números las observaciones que hayamos realizado. La tercera, consiste en la búsqueda de una Ley matemática que relacione las variables medidas, de tal forma que su conocimiento no requiera memorizarse. La cuarta, es la búsqueda de un principio o modo de pensar desde del cual la Ley experimental averiguada se haga evidente. En el caso de la difracción de la luz, esa tarea la cumplió Fermat quien en 1650 al establecer que de todos los caminos posibles para viajar de A a B, la luz sigue el que requiere menos tiempo, el más breve.</w:t>
      </w:r>
    </w:p>
    <w:p w:rsidR="00772428" w:rsidRPr="00EF5998" w:rsidRDefault="00772428" w:rsidP="00772428">
      <w:pPr>
        <w:spacing w:line="240" w:lineRule="auto"/>
        <w:jc w:val="both"/>
        <w:rPr>
          <w:rFonts w:ascii="Times New Roman" w:hAnsi="Times New Roman" w:cs="Times New Roman"/>
          <w:sz w:val="24"/>
          <w:szCs w:val="24"/>
          <w:shd w:val="clear" w:color="auto" w:fill="FFFFFF"/>
        </w:rPr>
      </w:pPr>
      <w:r w:rsidRPr="00EF5998">
        <w:rPr>
          <w:rFonts w:ascii="Times New Roman" w:hAnsi="Times New Roman" w:cs="Times New Roman"/>
          <w:sz w:val="24"/>
          <w:szCs w:val="24"/>
          <w:shd w:val="clear" w:color="auto" w:fill="FFFFFF"/>
        </w:rPr>
        <w:t xml:space="preserve">Pero, el método científico sólo lo es si cumple las cuatro etapas referidas y tiene en cuenta que cualquier sistema de enunciados para ser considerado como un principio físico debe estar de modo permanente sujeto a la comprobación, tanto de sus propias predicciones como a las que pudieran resultar de nuevos experimentos llevados a cabo en condiciones también nuevas”… (La luz y el camino más breve - Vozpópuli - </w:t>
      </w:r>
      <w:r w:rsidRPr="00EF5998">
        <w:rPr>
          <w:rFonts w:ascii="Times New Roman" w:hAnsi="Times New Roman" w:cs="Times New Roman"/>
          <w:b/>
          <w:sz w:val="24"/>
          <w:szCs w:val="24"/>
          <w:shd w:val="clear" w:color="auto" w:fill="FFFFFF"/>
        </w:rPr>
        <w:t>11/1/23</w:t>
      </w:r>
      <w:r w:rsidRPr="00EF5998">
        <w:rPr>
          <w:rFonts w:ascii="Times New Roman" w:hAnsi="Times New Roman" w:cs="Times New Roman"/>
          <w:sz w:val="24"/>
          <w:szCs w:val="24"/>
          <w:shd w:val="clear" w:color="auto" w:fill="FFFFFF"/>
        </w:rPr>
        <w:t>)</w:t>
      </w:r>
    </w:p>
    <w:p w:rsidR="00772428" w:rsidRPr="00EF5998" w:rsidRDefault="00772428" w:rsidP="00772428">
      <w:pPr>
        <w:spacing w:line="240" w:lineRule="auto"/>
        <w:jc w:val="both"/>
        <w:rPr>
          <w:rFonts w:ascii="Times New Roman" w:hAnsi="Times New Roman" w:cs="Times New Roman"/>
          <w:sz w:val="24"/>
          <w:szCs w:val="24"/>
          <w:shd w:val="clear" w:color="auto" w:fill="FFFFFF"/>
        </w:rPr>
      </w:pPr>
      <w:r w:rsidRPr="00EF5998">
        <w:rPr>
          <w:rFonts w:ascii="Times New Roman" w:hAnsi="Times New Roman" w:cs="Times New Roman"/>
          <w:sz w:val="24"/>
          <w:szCs w:val="24"/>
          <w:shd w:val="clear" w:color="auto" w:fill="FFFFFF"/>
        </w:rPr>
        <w:t>Pero el “juego de tinieblas” del librecambio, “viene de lejos”… y hay algunos ejemplos históricos “que sangran todavía”… aunque los “ciegos voluntarios” nieguen la evidencia.</w:t>
      </w:r>
    </w:p>
    <w:p w:rsidR="00772428" w:rsidRPr="00EF5998" w:rsidRDefault="00772428" w:rsidP="00772428">
      <w:pPr>
        <w:spacing w:line="240" w:lineRule="auto"/>
        <w:jc w:val="both"/>
        <w:rPr>
          <w:rFonts w:ascii="Times New Roman" w:hAnsi="Times New Roman" w:cs="Times New Roman"/>
          <w:sz w:val="24"/>
          <w:szCs w:val="24"/>
          <w:shd w:val="clear" w:color="auto" w:fill="FFFFFF"/>
        </w:rPr>
      </w:pPr>
      <w:r w:rsidRPr="00EF5998">
        <w:rPr>
          <w:rFonts w:ascii="Times New Roman" w:hAnsi="Times New Roman" w:cs="Times New Roman"/>
          <w:sz w:val="24"/>
          <w:szCs w:val="24"/>
          <w:shd w:val="clear" w:color="auto" w:fill="FFFFFF"/>
        </w:rPr>
        <w:t>Momentos históricos diferentes (1825, 1839, 1842, 1854), con víctimas distintas (Provincias Unidas del Río de la Plata, China, Japón), pero con los mismos victimarios (Reino Unido, Estados Unidos). La forma que tenían los “imperios dominantes” de practicar el librecambio.</w:t>
      </w:r>
    </w:p>
    <w:p w:rsidR="00772428" w:rsidRPr="00EF5998" w:rsidRDefault="00772428" w:rsidP="00772428">
      <w:pPr>
        <w:pStyle w:val="NormalWeb"/>
        <w:shd w:val="clear" w:color="auto" w:fill="FFFFFF"/>
        <w:spacing w:after="0"/>
        <w:jc w:val="both"/>
        <w:textAlignment w:val="baseline"/>
      </w:pPr>
      <w:r w:rsidRPr="00EF5998">
        <w:rPr>
          <w:b/>
        </w:rPr>
        <w:lastRenderedPageBreak/>
        <w:t xml:space="preserve">Nota: Tratados Desiguales </w:t>
      </w:r>
      <w:r w:rsidRPr="00EF5998">
        <w:t>es un término que hace referencia a la calidad de condiciones en los que fueron firmados ciertos tratados entre varios estados del Este de Asia y autoridades extranjeras. Aunque principalmente es usado para referirse a los firmados por China cabe destacar que no solo la Dinastía Qing (de China) fue afectada, sino que también lo fueron el Shogunato Tokugawa de Japón y la Dinastía Joseon de Corea. Dichos tratados fueron firmados durante el siglo XIX y principios del siglo XX, periodo en el cual, esos estados, fueron incapaces de resistir las presiones militares y económicas de las potencias de Occidente.</w:t>
      </w:r>
    </w:p>
    <w:p w:rsidR="00772428" w:rsidRPr="001B4834" w:rsidRDefault="00772428" w:rsidP="00772428">
      <w:pPr>
        <w:pStyle w:val="NormalWeb"/>
        <w:shd w:val="clear" w:color="auto" w:fill="FFFFFF"/>
        <w:spacing w:after="0"/>
        <w:jc w:val="both"/>
        <w:textAlignment w:val="baseline"/>
        <w:rPr>
          <w:b/>
        </w:rPr>
      </w:pPr>
      <w:r w:rsidRPr="001B4834">
        <w:rPr>
          <w:b/>
        </w:rPr>
        <w:t xml:space="preserve">Tratado de Amistad, Comercio y Navegación entre Argentina y el Reino Unido </w:t>
      </w:r>
    </w:p>
    <w:p w:rsidR="00772428" w:rsidRPr="00D22C29" w:rsidRDefault="00772428" w:rsidP="00772428">
      <w:pPr>
        <w:pStyle w:val="NormalWeb"/>
        <w:shd w:val="clear" w:color="auto" w:fill="FFFFFF"/>
        <w:spacing w:after="0"/>
        <w:jc w:val="both"/>
        <w:textAlignment w:val="baseline"/>
      </w:pPr>
      <w:r w:rsidRPr="00D22C29">
        <w:t>(Fuente: Wikipedia)</w:t>
      </w:r>
    </w:p>
    <w:p w:rsidR="00772428" w:rsidRDefault="00772428" w:rsidP="00772428">
      <w:pPr>
        <w:pStyle w:val="NormalWeb"/>
        <w:shd w:val="clear" w:color="auto" w:fill="FFFFFF"/>
        <w:spacing w:after="0"/>
        <w:jc w:val="both"/>
        <w:textAlignment w:val="baseline"/>
      </w:pPr>
      <w:r>
        <w:t>El Tratado de Amistad, Comercio y Navegación entre Argentina y el Reino Unido es un tratado de 1825 entre las Provincias Unidas del Río de la Plata y el Reino Unido de Gran Bretaña e Irlanda, antecesores de los actuales Argentina y Reino Unido. Con este tratado, el Reino Unido aceptó la Declaración de Independencia Argentina de 1816.</w:t>
      </w:r>
    </w:p>
    <w:p w:rsidR="00772428" w:rsidRDefault="00772428" w:rsidP="00772428">
      <w:pPr>
        <w:pStyle w:val="NormalWeb"/>
        <w:shd w:val="clear" w:color="auto" w:fill="FFFFFF"/>
        <w:spacing w:after="0"/>
        <w:jc w:val="both"/>
        <w:textAlignment w:val="baseline"/>
      </w:pPr>
      <w:r>
        <w:t>El tratado fue firmado en Buenos Aires el 2 de febrero del año de 1825. Fue ratificado por las Provincias Unidas y Reino Unido. Las ratificaciones fueron canjeadas en Londres el 12 de mayo de 1825.</w:t>
      </w:r>
    </w:p>
    <w:p w:rsidR="00772428" w:rsidRDefault="00772428" w:rsidP="00772428">
      <w:pPr>
        <w:pStyle w:val="NormalWeb"/>
        <w:shd w:val="clear" w:color="auto" w:fill="FFFFFF"/>
        <w:spacing w:after="0"/>
        <w:jc w:val="both"/>
        <w:textAlignment w:val="baseline"/>
      </w:pPr>
      <w:r>
        <w:t>El tratado establecía libertad de comercio entre ambas naciones, así como también libertades y garantías para sus súbditos o habitantes en sus respectivos territorios. También establecía la formación de consulados en sus territorios.</w:t>
      </w:r>
    </w:p>
    <w:p w:rsidR="00772428" w:rsidRDefault="00772428" w:rsidP="00772428">
      <w:pPr>
        <w:pStyle w:val="NormalWeb"/>
        <w:shd w:val="clear" w:color="auto" w:fill="FFFFFF"/>
        <w:spacing w:after="0"/>
        <w:jc w:val="both"/>
        <w:textAlignment w:val="baseline"/>
      </w:pPr>
      <w:r>
        <w:t>El tratado también permitió a los súbditos británicos mantener su religión y construir sus propias iglesias y cementerios, en el territorio de las provincias. Este fue un paso sin precedentes en la historia de la libertad religiosa en Argentina, ya que fue la primera vez que se permitió legalmente en el país una religión distinta a la católica. El tratado estableció también un acuerdo para detener la trata de esclavos en el Atlántico.</w:t>
      </w:r>
    </w:p>
    <w:p w:rsidR="00772428" w:rsidRDefault="00772428" w:rsidP="00772428">
      <w:pPr>
        <w:pStyle w:val="NormalWeb"/>
        <w:shd w:val="clear" w:color="auto" w:fill="FFFFFF"/>
        <w:spacing w:after="0"/>
        <w:jc w:val="both"/>
        <w:textAlignment w:val="baseline"/>
      </w:pPr>
      <w:r>
        <w:t>En el contexto de la disputa por las Islas Malvinas (Inglés: Falkland Islands), Lowell S. Gustafson argumenta que al firmar el Tratado sin hacer ninguna reserva sobre el asentamiento de Argentina en las islas para 1825, el Reino Unido debilitó su reclamo.</w:t>
      </w:r>
    </w:p>
    <w:p w:rsidR="00772428" w:rsidRDefault="00772428" w:rsidP="00772428">
      <w:pPr>
        <w:pStyle w:val="NormalWeb"/>
        <w:shd w:val="clear" w:color="auto" w:fill="FFFFFF"/>
        <w:spacing w:after="0"/>
        <w:jc w:val="both"/>
        <w:textAlignment w:val="baseline"/>
      </w:pPr>
      <w:r>
        <w:t>Tratado de amistad, comercio y navegación, celebrado entre Las Provincias Unidas del Río de la Plata y S. M. B.</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Pr>
          <w:color w:val="202122"/>
        </w:rPr>
        <w:t>Habiendo</w:t>
      </w:r>
      <w:r w:rsidRPr="00D22C29">
        <w:rPr>
          <w:color w:val="202122"/>
        </w:rPr>
        <w:t xml:space="preserve"> existido por muchos años un comercio extenso entre los dominios de Su Majestad Británica, y los territorios de las Provincias Unidas del Río de la Plata, parece conveniente a la seguridad y fomento del mismo comercio y en apoyo de una buena inteligencia entre S. M. y las expresadas Provincias Unidas, que sus relaciones, ya existentes sean formalmente reconocidas y confirmadas por medio de un tratado de amistad, comercio y navegación.</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Con este fin han nombrado sus respectiv</w:t>
      </w:r>
      <w:r>
        <w:rPr>
          <w:color w:val="202122"/>
        </w:rPr>
        <w:t xml:space="preserve">os plenipotenciarios; a saber: </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 xml:space="preserve">S. M. el Rey del Reino Unido de la Gran Bretaña e Irlanda al Sr. Woobdine Parish, Cónsul general de S. M. en Buenos Aires: y las Provincias Unidas del Río de la Plata al señor </w:t>
      </w:r>
      <w:r w:rsidRPr="00D22C29">
        <w:rPr>
          <w:color w:val="202122"/>
        </w:rPr>
        <w:lastRenderedPageBreak/>
        <w:t>D. Manuel José García, Ministro Secretario en los departamentos de gobierno, hacienda, y relaciones exteriores del Ejecutivo Nacional de las dichas Provincias:</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Quienes habiendo canjeado sus respectivos plenos poderes, y hallándose estos extendidos en debida forma, han concluido, y convenido en los artículos siguientes.</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Habrá perpetua amistad entre los dominios, y súbditos de S. M. el Rey del Reino Unido de la Gran Bretaña, e Irlanda, y las Provincias Unidas del Río de la Plata, y sus habitantes.</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II.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Habrá entre todos los territorios de S. M. B. en Europa y los territorios de las Provincias Unidas del Río de la Plata una recíproca libertad de comercio.</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Los habitantes de los dos países gozarán respectivamente la franqueza de llegar segura y libremente con sus buques y cargas a todos aquellos parajes, puertos y ríos en los dichos territorios adonde sea, o pueda ser permitido a otros extranjeros llegar, entrar en los mismos y permanecer, y residir en cualquiera parte de dichos territorios respectivamente.</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También alquilar y ocupar casas, y almacenes para los fines de su tráfico; y generalmente los comerciantes y traficantes de cada nación respectivamente disfrutarán de las más completa protección, y seguridad para su comercio, siempre sujetos a las leyes y estatutos de los dos países respectivamente.</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III.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S. M. el Rey del Reino Unido de la Gran Bretaña e Irlanda, se obliga además, a que, en todos sus dominios fuera de Europa, los habitantes de las provincias Unidas del Río de la Plata tengan la misma libertad de comercio y navegación estipulada en el artículo anterior, con toda la extensión que en el día se permite, o en adelante se permitiere, a cualquiera otra nación.</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IV.</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No se impondrán ningunos otros ni mayores derechos a la importación en los territorios de S. M. B., de cualquiera de los artículos de producción, cultivo, o fabricación de las Provincias Unidas del Río de la Plata, y no se impondrán ningunos otros ni mayores derechos a la importación en las dichas Provincias Unidas de cualesquiera de los artículos de producción, cultivo, o fabricación de los dominios de S. M. B, que los que se paguen, o en adelante se pagaren, por los mismos artículos, siendo de producción, cultivo, o fabricación, de cualquiera otro país extranjero; ni tampoco se impondrán ningunos otros ni mayores derechos, en los territorios o dominios de cada una de las partes contratantes, a la extracción de cualesquier artículos en los territorios o dominios de la otra, de aquellos que se pagan, o en adelante se pagaren, a la extracción de iguales artículos a cualquiera otro país extranjero: ni tampoco se impondrá prohibición alguna a la extracción o introducción de cualesquier artículos de producción, cultivo, o fabricación de los dominios de S. M. B, o de las Provincias Unidas a ellas, o desde las dichas Provincias Unidas, que no comprendiere igualmente a todas las otras naciones.</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V.</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 xml:space="preserve">No se impondrá mayor ni alguna otra clase de derechos o cargas por razón de toneladas, fanal, puerto, pilotaje, salvamento en caso de avería o naufragio, ni otro algún derecho local, en cualesquiera de los puertos de las dichas Provincias Unidas, a los buques británicos de más de ciento y veinte toneladas, que aquellos que se pagaren, en los mismos puertos, por los </w:t>
      </w:r>
      <w:r w:rsidRPr="00D22C29">
        <w:rPr>
          <w:color w:val="202122"/>
        </w:rPr>
        <w:lastRenderedPageBreak/>
        <w:t>buques de las dichas Provincias Unidas del mismo porte; ni en los puertos de cualesquiera de los territorios de S. M. B. a los buques de las Provincias Unidas de más de ciento veinte toneladas, que aquellos que se pagaren, en los mismos puertos, por los buques británicos del mismo porte.</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VI.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Los mismos derechos se pagarán a la introducción en las dichas Provincias Unidas de cualquier artículo de producción, cultivo, o fabricación de los dominios de S. M. B. ya se haga dicha introducción en buques de las Provincias Unidas, o en buques británicos; y los mismos derechos se pagarán a la introducción en los dominios de S.M. B. de cualquier artículo de producción, cultivo o fabricación de las Provincias Unidad, ya sea que tal introducción se haga en buques británicos o en buques de las dichas Provincias Unidas. —Los mismos derechos se pagarán, y las mismas concesiones y gratificaciones por vía de reembolso de derechos se abonarán a la exportación de cualesquier artículos de producción, cultivo, o fabricación de los dominios de S. M. B. a las Provincias Unidas, ya sea que la referida exportación se haga en buques de las dichas Provincias Unidas, o en buques británicos; y los mismos derechos se pagarán y las mismas concesiones y gratificaciones por vía de reembolso de derechos se abonarán, a la exportación de cualesquier artículos de producción, cultivo o fabricación de las Provincias Unidas a los dominios de S. M. B., ya sea que la referida exportación se haga en buques británicos, o en buques de las dichas Provincias Unidas.</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VII.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Con el fin de evitar cualquier mala inteligencia por lo tocante a los reglamentos que puedan respectivamente constituir un buque británico o un buque de las dichas Provincias Unidas, se estipula por el presente, que todos los buques construidos en los dominios de S. M. B., que sean poseídos, tripulados, y matriculados con arreglo a las leyes de la Gran Bretaña serán considerados como buques británicos; y que todos los buques construidos en los territorios de dichas Provincias, debidamente matriculados, y poseídos por los ciudadanos de las mismas, o cualquiera de ellos, y cuyo capitán y tres cuartas partes de la tripulación sean ciudadanos de las dichas Provincias Unidas, serán considerados como buques de las dichas Provincias Unidas.</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VIII.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Todo comerciante, comandante de buque, y demás súbditos de S. M. B., tendrán, en todos los territorios de las dichas Provincias Unidas, la misma libertad que los naturales de ellas para manejar sus propios asuntos, o confiarlos al cuidado de quien quiera que gusten, en calidad de corredor, factor, agente, o intérprete; ni se les obligará a emplear ninguna otra persona para dichos fines, ni pagarles salario ni remuneración alguna, a menos que quieran emplearlos; concediéndose entera libertad, en todos los casos, al comprador y vendedor para contratar y fijar el precio de cualesquier efectos, mercaderías, o renglones de comercio, que se introduzcan o extraigan de las dichas Provincias Unidas, como crean oportuno.</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IX.</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 xml:space="preserve">En todo lo relativo a la carga y descarga de buques, seguridad de mercaderías, pertenencias y efectos, disposición de propiedades de toda clase y denominación, por venta, donación, cambio, o de cualquier otro modo; como también a la administración de justicia, los súbditos y ciudadanos de las dos partes contratantes gozarán, en sus respectivos dominios, de los mismos privilegios, franquezas, y derechos, como la nación más favorecida, y por ninguno de dichos motivos, se les exigirá mayores derechos o impuestos que los que se pagan, o en adelante se pagaren, por los súbditos naturales o ciudadanos de la Potencia en </w:t>
      </w:r>
      <w:r w:rsidRPr="00D22C29">
        <w:rPr>
          <w:color w:val="202122"/>
        </w:rPr>
        <w:lastRenderedPageBreak/>
        <w:t>cuyos dominios residieren: estarán exentos de todo servicio militar obligatorio, de cualquier clase que sea, terrestre o marítimo; y de todo empréstito forzoso: de exacciones o requisiciones miliares; ni serán obligados a pagar ninguna contribución ordinaria, bajo pretexto alguno, mayor que las que pagaren los súbditos naturales o ciudadanos del país.</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X.</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Cada una de las partes contratantes estará facultada a nombrar cónsules para la protección del comercio, que residan en los dominios y territorios de la otra; pero antes que ningún cónsul pueda ejercer sus funciones, deberá, en la forma acostumbrada, ser aprobado y admitido por el gobierno cerca del cual haya sido enviado; y cada una de las partes contratantes podrá exceptuar de la residencia de cónsules, aquellos puntos especiales que una u otra de ellas juzgue oportuno exceptuar.</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XI.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Para la mayor seguridad del comercio entre los súbditos de S. M. B., y los habitantes de las Provincias Unidas del Río de la Plata, se estipula que, en cualquier caso en que por desgracia aconteciese alguna interrupción de las amigables relaciones de comercio, o un rompimiento entre las dos partes contratantes, los súbditos o ciudadanos de cada cual de las dos partes contratantes residentes en los dominios de la otra, tendrán el privilegio de permanecer y continuar su tráfico en ellos, sin interrupción alguna, en tanto que se condujeren con tranquilidad, y no quebrantaren las leyes de modo alguno; y sus efectos y propiedades, ya fueren confiadas a particulares o al estado, no estarán sujetas a embargo ni secuestro, ni a ninguna otra exacción que aquellas que puedan hacerse a igual clase de efectos o propiedades pertenecientes a los naturales habitantes del Estado en que dichos súbditos o ciudadanos residieren.</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XII.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Los súbditos de S. M. B. residentes en las Provincias Unidas del Río de la Plata, no serán inquietados, perseguidos, ni molestados por razón de su religión: más gozarán de una perfecta libertad de conciencia en ellas, celebrando el Oficio Divino ya dentro de sus propias casas, o en sus propias y particulares iglesias o capillas, las que estarán facultados para edificar y mantener en los sitios convenientes, que sean aprobados por el gobierno de dichas Provincias Unidas: también será permitido enterrar a los súbditos de S. M. B. que murieren en los territorios de las dichas Provincias Unidas, en sus propios cementerios, que podrán, del mismo modo, libremente establecer y mantener. Así mismo los ciudadanos de las dichas Provincias Unidas gozarán, en todos los dominios de S. M. B. de una perfecta e ilimitada libertad de conciencia, y del ejercicio de su religión pública o privadamente, en las casas de su morada, o en las capillas y sitios de culto destinados para el dicho fin, en conformidad con el sistema de tolerancia establecido en los dominios de S. M.</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XIII.</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Los súbditos de Su Majestad Británica residentes en las Provincias Unidas del Río de la Plata, tendrán el derecho de disponer libremente de sus propiedades, de toda clase, en la forma que quisieren, o por testamento, según lo tengan por conveniente; y en caso que muriere algún súbdito británico, sin haber hecho su dicha última disposición o testamento en el territorio de las Provincias Unidas, el cónsul general Británico, o en su ausencia, el que lo representare, tendrá el derecho de nombrar curadores que se encarguen de la propiedad del difunto, a beneficio de los legítimos herederos, y acreedores, sin intervención alguna, dando noticia conveniente a las autoridades del país; y recíprocamente.</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lastRenderedPageBreak/>
        <w:t>Artículo</w:t>
      </w:r>
      <w:r w:rsidRPr="00D22C29">
        <w:rPr>
          <w:rStyle w:val="mw-headline"/>
          <w:rFonts w:ascii="Times New Roman" w:hAnsi="Times New Roman" w:cs="Times New Roman"/>
          <w:color w:val="000000"/>
          <w:sz w:val="24"/>
          <w:szCs w:val="24"/>
        </w:rPr>
        <w:t xml:space="preserve"> XIV.</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Deseando Su Majestad Británica ansiosamente la abolición total del comercio de esclavos, las Provincias Unidas del Río de la Plata se obligan a cooperar con Su Majestad Británica al complemento de obra tan benéfica, y a prohibir a todas las personas residentes en las dichas Provincias Unidas o sujetas a su jurisdicción del modo más eficaz, y por las leyes más solemnes de tomar parte alguna en dicho tráfico.</w:t>
      </w:r>
    </w:p>
    <w:p w:rsidR="00772428" w:rsidRPr="00D22C29" w:rsidRDefault="00772428" w:rsidP="00772428">
      <w:pPr>
        <w:pStyle w:val="Ttulo3"/>
        <w:shd w:val="clear" w:color="auto" w:fill="FFFFFF"/>
        <w:spacing w:before="72" w:line="240" w:lineRule="auto"/>
        <w:jc w:val="both"/>
        <w:rPr>
          <w:rFonts w:ascii="Times New Roman" w:hAnsi="Times New Roman" w:cs="Times New Roman"/>
          <w:color w:val="000000"/>
          <w:sz w:val="24"/>
          <w:szCs w:val="24"/>
        </w:rPr>
      </w:pPr>
      <w:r>
        <w:rPr>
          <w:rStyle w:val="mw-headline"/>
          <w:rFonts w:ascii="Times New Roman" w:hAnsi="Times New Roman" w:cs="Times New Roman"/>
          <w:color w:val="000000"/>
          <w:sz w:val="24"/>
          <w:szCs w:val="24"/>
        </w:rPr>
        <w:t>Artículo</w:t>
      </w:r>
      <w:r w:rsidRPr="00D22C29">
        <w:rPr>
          <w:rStyle w:val="mw-headline"/>
          <w:rFonts w:ascii="Times New Roman" w:hAnsi="Times New Roman" w:cs="Times New Roman"/>
          <w:color w:val="000000"/>
          <w:sz w:val="24"/>
          <w:szCs w:val="24"/>
        </w:rPr>
        <w:t xml:space="preserve"> XV.</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El presente tratado será ratificado, y las ratificaciones canjeadas en Londres dentro de cuatro meses, o antes si fuere posible.</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En testimonio de lo cual los respectivos plenipotenciarios lo han firmado y sellado con sus sellos.</w:t>
      </w:r>
    </w:p>
    <w:p w:rsidR="00772428" w:rsidRPr="00D22C29" w:rsidRDefault="00772428" w:rsidP="00772428">
      <w:pPr>
        <w:pStyle w:val="NormalWeb"/>
        <w:shd w:val="clear" w:color="auto" w:fill="FFFFFF"/>
        <w:spacing w:before="120" w:beforeAutospacing="0" w:after="120" w:afterAutospacing="0"/>
        <w:ind w:firstLine="480"/>
        <w:jc w:val="both"/>
        <w:rPr>
          <w:color w:val="202122"/>
        </w:rPr>
      </w:pPr>
      <w:r w:rsidRPr="00D22C29">
        <w:rPr>
          <w:color w:val="202122"/>
        </w:rPr>
        <w:t>Hecho en Buenos Aires, el día dos de febrero en el año de nuestro Señor mil ochocientos veinte y cinco.</w:t>
      </w:r>
    </w:p>
    <w:p w:rsidR="00772428" w:rsidRDefault="00772428" w:rsidP="00772428">
      <w:pPr>
        <w:shd w:val="clear" w:color="auto" w:fill="FFFFFF"/>
        <w:spacing w:line="240" w:lineRule="auto"/>
        <w:jc w:val="both"/>
        <w:rPr>
          <w:rFonts w:ascii="Times New Roman" w:hAnsi="Times New Roman" w:cs="Times New Roman"/>
          <w:color w:val="202122"/>
          <w:sz w:val="24"/>
          <w:szCs w:val="24"/>
        </w:rPr>
      </w:pPr>
      <w:r w:rsidRPr="00D22C29">
        <w:rPr>
          <w:rFonts w:ascii="Times New Roman" w:hAnsi="Times New Roman" w:cs="Times New Roman"/>
          <w:color w:val="202122"/>
          <w:sz w:val="24"/>
          <w:szCs w:val="24"/>
        </w:rPr>
        <w:t>Manuel J. García. (LS)</w:t>
      </w:r>
    </w:p>
    <w:p w:rsidR="00772428" w:rsidRPr="00B648D0" w:rsidRDefault="00772428" w:rsidP="00772428">
      <w:pPr>
        <w:shd w:val="clear" w:color="auto" w:fill="FFFFFF"/>
        <w:spacing w:line="240" w:lineRule="auto"/>
        <w:jc w:val="both"/>
        <w:rPr>
          <w:rFonts w:ascii="Times New Roman" w:hAnsi="Times New Roman" w:cs="Times New Roman"/>
          <w:color w:val="202122"/>
          <w:sz w:val="24"/>
          <w:szCs w:val="24"/>
          <w:u w:val="single"/>
        </w:rPr>
      </w:pPr>
      <w:r w:rsidRPr="00D22C29">
        <w:rPr>
          <w:rFonts w:ascii="Times New Roman" w:hAnsi="Times New Roman" w:cs="Times New Roman"/>
          <w:color w:val="202122"/>
          <w:sz w:val="24"/>
          <w:szCs w:val="24"/>
        </w:rPr>
        <w:t xml:space="preserve">1825 - </w:t>
      </w:r>
      <w:r w:rsidRPr="00B648D0">
        <w:rPr>
          <w:rFonts w:ascii="Times New Roman" w:hAnsi="Times New Roman" w:cs="Times New Roman"/>
          <w:color w:val="202122"/>
          <w:sz w:val="24"/>
          <w:szCs w:val="24"/>
          <w:u w:val="single"/>
        </w:rPr>
        <w:t>Primera invasión comercial a Buenos Aires - Tratado de Amistad, Libre Come</w:t>
      </w:r>
      <w:r>
        <w:rPr>
          <w:rFonts w:ascii="Times New Roman" w:hAnsi="Times New Roman" w:cs="Times New Roman"/>
          <w:color w:val="202122"/>
          <w:sz w:val="24"/>
          <w:szCs w:val="24"/>
          <w:u w:val="single"/>
        </w:rPr>
        <w:t>rcio y Navegación</w:t>
      </w:r>
    </w:p>
    <w:p w:rsidR="00772428" w:rsidRPr="00D22C29" w:rsidRDefault="00772428" w:rsidP="00772428">
      <w:pPr>
        <w:shd w:val="clear" w:color="auto" w:fill="FFFFFF"/>
        <w:spacing w:line="240" w:lineRule="auto"/>
        <w:jc w:val="both"/>
        <w:rPr>
          <w:rFonts w:ascii="Times New Roman" w:hAnsi="Times New Roman" w:cs="Times New Roman"/>
          <w:color w:val="202122"/>
          <w:sz w:val="24"/>
          <w:szCs w:val="24"/>
        </w:rPr>
      </w:pPr>
      <w:r w:rsidRPr="00D22C29">
        <w:rPr>
          <w:rFonts w:ascii="Times New Roman" w:hAnsi="Times New Roman" w:cs="Times New Roman"/>
          <w:color w:val="202122"/>
          <w:sz w:val="24"/>
          <w:szCs w:val="24"/>
        </w:rPr>
        <w:t>Para 1825 los ingleses continuaban haciendo de las suyas; el 2 de Febrero de ese año se firma un tratado de amistad, comercio y libre navegación, entre las Provincias Unidas del Río de la Plata y la Gran Bretaña. A través de este tratado, las Provincias Unidas, eran reconocidas como Nación independiente del Reino de España; y también se establecía recíproca libertad de comercio, disminución de los derechos de importación y eximición de tasas portuarias para ambas partes; libertad de conciencia para los súbditos ingleses que residían nuestro territorio, y la abolición total de la esclavitud, establec</w:t>
      </w:r>
      <w:r>
        <w:rPr>
          <w:rFonts w:ascii="Times New Roman" w:hAnsi="Times New Roman" w:cs="Times New Roman"/>
          <w:color w:val="202122"/>
          <w:sz w:val="24"/>
          <w:szCs w:val="24"/>
        </w:rPr>
        <w:t>ida en Buenos Aires desde 1813.</w:t>
      </w:r>
    </w:p>
    <w:p w:rsidR="00772428" w:rsidRPr="00D22C29" w:rsidRDefault="00772428" w:rsidP="00772428">
      <w:pPr>
        <w:shd w:val="clear" w:color="auto" w:fill="FFFFFF"/>
        <w:spacing w:line="240" w:lineRule="auto"/>
        <w:jc w:val="both"/>
        <w:rPr>
          <w:rFonts w:ascii="Times New Roman" w:hAnsi="Times New Roman" w:cs="Times New Roman"/>
          <w:color w:val="202122"/>
          <w:sz w:val="24"/>
          <w:szCs w:val="24"/>
        </w:rPr>
      </w:pPr>
      <w:r w:rsidRPr="00D22C29">
        <w:rPr>
          <w:rFonts w:ascii="Times New Roman" w:hAnsi="Times New Roman" w:cs="Times New Roman"/>
          <w:color w:val="202122"/>
          <w:sz w:val="24"/>
          <w:szCs w:val="24"/>
        </w:rPr>
        <w:t>Realmente extraño o cipayo fue este tratado, pues la esclavitud había sido abolida en la Asamblea de 1813 y fue tan solo algo declamativo, pues al poco tiempo se firmó un decreto especial que permitía a los ingleses continuar con la esclavitud y por otro lado, ni siquiera contábamos con barcos para poder efectuar ese libre comercio y la libre navegación, dicho de otra forma, todas las ventajas del tratado eran para los Ingleses.</w:t>
      </w:r>
    </w:p>
    <w:p w:rsidR="00772428" w:rsidRDefault="00772428" w:rsidP="00772428">
      <w:pPr>
        <w:shd w:val="clear" w:color="auto" w:fill="FFFFFF"/>
        <w:spacing w:line="240" w:lineRule="auto"/>
        <w:jc w:val="both"/>
        <w:rPr>
          <w:rFonts w:ascii="Times New Roman" w:hAnsi="Times New Roman" w:cs="Times New Roman"/>
          <w:color w:val="202122"/>
          <w:sz w:val="24"/>
          <w:szCs w:val="24"/>
        </w:rPr>
      </w:pPr>
      <w:r w:rsidRPr="00D22C29">
        <w:rPr>
          <w:rFonts w:ascii="Times New Roman" w:hAnsi="Times New Roman" w:cs="Times New Roman"/>
          <w:color w:val="202122"/>
          <w:sz w:val="24"/>
          <w:szCs w:val="24"/>
        </w:rPr>
        <w:t>Pese al reconocimiento como Nación soberana y al tratado vigente, el 02 de Enero de 1833, los ingleses, nuevamente (1765 y 1769) y por tercera vez,  invaden militarmente  el Puerto de Soledad, en las Islas Malvinas, a través del Capitán de Navío John Onslow, al mando de la Corbeta HMS “Clio”, territorio que por el tratado de Tordesillas, correspondía al Reino de España, y que luego, por la cesión de tierras, al ser reconocida nuestra independencia,  pasaron a pertenecer a las Provincias Unidas del Río de la Plata.</w:t>
      </w:r>
    </w:p>
    <w:p w:rsidR="00772428" w:rsidRPr="001B4834" w:rsidRDefault="00772428" w:rsidP="00772428">
      <w:pPr>
        <w:shd w:val="clear" w:color="auto" w:fill="FFFFFF"/>
        <w:spacing w:line="240" w:lineRule="auto"/>
        <w:jc w:val="both"/>
        <w:rPr>
          <w:rFonts w:ascii="Times New Roman" w:hAnsi="Times New Roman" w:cs="Times New Roman"/>
          <w:b/>
          <w:sz w:val="24"/>
          <w:szCs w:val="24"/>
        </w:rPr>
      </w:pPr>
      <w:r w:rsidRPr="001B4834">
        <w:rPr>
          <w:rFonts w:ascii="Times New Roman" w:hAnsi="Times New Roman" w:cs="Times New Roman"/>
          <w:b/>
          <w:sz w:val="24"/>
          <w:szCs w:val="24"/>
        </w:rPr>
        <w:t>Guerras del opio</w:t>
      </w:r>
    </w:p>
    <w:p w:rsidR="00772428" w:rsidRPr="00566680" w:rsidRDefault="00772428" w:rsidP="00772428">
      <w:pPr>
        <w:pStyle w:val="NormalWeb"/>
        <w:spacing w:before="120" w:beforeAutospacing="0" w:after="120" w:afterAutospacing="0"/>
        <w:jc w:val="both"/>
      </w:pPr>
      <w:r w:rsidRPr="00566680">
        <w:t>Las </w:t>
      </w:r>
      <w:r w:rsidRPr="00566680">
        <w:rPr>
          <w:b/>
          <w:bCs/>
        </w:rPr>
        <w:t>guerras del Opio</w:t>
      </w:r>
      <w:r w:rsidRPr="00566680">
        <w:t> (en </w:t>
      </w:r>
      <w:hyperlink r:id="rId9" w:tooltip="Caracteres chinos tradicionales" w:history="1">
        <w:r w:rsidRPr="00566680">
          <w:rPr>
            <w:rStyle w:val="Hipervnculo"/>
            <w:color w:val="auto"/>
            <w:u w:val="none"/>
          </w:rPr>
          <w:t>chino tradicional</w:t>
        </w:r>
      </w:hyperlink>
      <w:r w:rsidRPr="00566680">
        <w:t>, </w:t>
      </w:r>
      <w:r w:rsidRPr="00566680">
        <w:rPr>
          <w:rFonts w:eastAsia="MS Gothic"/>
        </w:rPr>
        <w:t>鴉片戰爭</w:t>
      </w:r>
      <w:r w:rsidRPr="00566680">
        <w:t>; en </w:t>
      </w:r>
      <w:hyperlink r:id="rId10" w:tooltip="Caracteres chinos simplificados" w:history="1">
        <w:r w:rsidRPr="00566680">
          <w:rPr>
            <w:rStyle w:val="Hipervnculo"/>
            <w:color w:val="auto"/>
            <w:u w:val="none"/>
          </w:rPr>
          <w:t>chino simplificado</w:t>
        </w:r>
      </w:hyperlink>
      <w:r w:rsidRPr="00566680">
        <w:t>, </w:t>
      </w:r>
      <w:r w:rsidRPr="00566680">
        <w:rPr>
          <w:rFonts w:eastAsia="SimSun"/>
        </w:rPr>
        <w:t>鸦片战</w:t>
      </w:r>
      <w:r w:rsidRPr="00566680">
        <w:rPr>
          <w:rFonts w:eastAsia="MS Gothic"/>
        </w:rPr>
        <w:t>争</w:t>
      </w:r>
      <w:r w:rsidRPr="00566680">
        <w:t>; </w:t>
      </w:r>
      <w:hyperlink r:id="rId11" w:tooltip="Pinyin" w:history="1">
        <w:r w:rsidRPr="00566680">
          <w:rPr>
            <w:rStyle w:val="Hipervnculo"/>
            <w:color w:val="auto"/>
            <w:u w:val="none"/>
          </w:rPr>
          <w:t>pinyin</w:t>
        </w:r>
      </w:hyperlink>
      <w:r w:rsidRPr="00566680">
        <w:t>, </w:t>
      </w:r>
      <w:r w:rsidRPr="00566680">
        <w:rPr>
          <w:i/>
          <w:iCs/>
        </w:rPr>
        <w:t>Yāpiàn Zhànzhēng</w:t>
      </w:r>
      <w:r w:rsidRPr="00566680">
        <w:t>) o las </w:t>
      </w:r>
      <w:r w:rsidRPr="00566680">
        <w:rPr>
          <w:b/>
          <w:bCs/>
        </w:rPr>
        <w:t>guerras anglo-chinas</w:t>
      </w:r>
      <w:r w:rsidRPr="00566680">
        <w:t> fueron dos conflictos bélicos que ocurrieron en el siglo </w:t>
      </w:r>
      <w:r w:rsidRPr="00566680">
        <w:rPr>
          <w:smallCaps/>
        </w:rPr>
        <w:t>xix</w:t>
      </w:r>
      <w:r w:rsidRPr="00566680">
        <w:t> entre los imperios </w:t>
      </w:r>
      <w:hyperlink r:id="rId12" w:tooltip="Imperio chino" w:history="1">
        <w:r w:rsidRPr="00566680">
          <w:rPr>
            <w:rStyle w:val="Hipervnculo"/>
            <w:color w:val="auto"/>
            <w:u w:val="none"/>
          </w:rPr>
          <w:t>chino</w:t>
        </w:r>
      </w:hyperlink>
      <w:r w:rsidRPr="00566680">
        <w:t> y </w:t>
      </w:r>
      <w:hyperlink r:id="rId13" w:tooltip="Imperio británico" w:history="1">
        <w:r w:rsidRPr="00566680">
          <w:rPr>
            <w:rStyle w:val="Hipervnculo"/>
            <w:color w:val="auto"/>
            <w:u w:val="none"/>
          </w:rPr>
          <w:t>británico</w:t>
        </w:r>
      </w:hyperlink>
      <w:r w:rsidRPr="00566680">
        <w:t>. La </w:t>
      </w:r>
      <w:hyperlink r:id="rId14" w:tooltip="Primera Guerra del Opio" w:history="1">
        <w:r w:rsidRPr="00566680">
          <w:rPr>
            <w:rStyle w:val="Hipervnculo"/>
            <w:color w:val="auto"/>
            <w:u w:val="none"/>
          </w:rPr>
          <w:t>primera</w:t>
        </w:r>
      </w:hyperlink>
      <w:r w:rsidRPr="00566680">
        <w:t> duró entre 1839 y 1842. La </w:t>
      </w:r>
      <w:hyperlink r:id="rId15" w:tooltip="Segunda Guerra del Opio" w:history="1">
        <w:r w:rsidRPr="00566680">
          <w:rPr>
            <w:rStyle w:val="Hipervnculo"/>
            <w:color w:val="auto"/>
            <w:u w:val="none"/>
          </w:rPr>
          <w:t>segunda</w:t>
        </w:r>
      </w:hyperlink>
      <w:r w:rsidRPr="00566680">
        <w:t>, </w:t>
      </w:r>
      <w:hyperlink r:id="rId16" w:tooltip="Segundo Imperio francés" w:history="1">
        <w:r w:rsidRPr="00566680">
          <w:rPr>
            <w:rStyle w:val="Hipervnculo"/>
            <w:color w:val="auto"/>
            <w:u w:val="none"/>
          </w:rPr>
          <w:t>en la que Francia</w:t>
        </w:r>
      </w:hyperlink>
      <w:r w:rsidRPr="00566680">
        <w:t> se implicó con los británicos, ​ estalló en 1856 y duró hasta 1860. Sus causas fueron los intereses comerciales que crearon el contrabando británico de </w:t>
      </w:r>
      <w:hyperlink r:id="rId17" w:tooltip="Opio" w:history="1">
        <w:r w:rsidRPr="00566680">
          <w:rPr>
            <w:rStyle w:val="Hipervnculo"/>
            <w:color w:val="auto"/>
            <w:u w:val="none"/>
          </w:rPr>
          <w:t>opio</w:t>
        </w:r>
      </w:hyperlink>
      <w:r w:rsidRPr="00566680">
        <w:t> en la </w:t>
      </w:r>
      <w:hyperlink r:id="rId18" w:tooltip="India Británica" w:history="1">
        <w:r w:rsidRPr="00566680">
          <w:rPr>
            <w:rStyle w:val="Hipervnculo"/>
            <w:color w:val="auto"/>
            <w:u w:val="none"/>
          </w:rPr>
          <w:t>India</w:t>
        </w:r>
      </w:hyperlink>
      <w:r w:rsidRPr="00566680">
        <w:t> y en China y los esfuerzos del gobierno chino por imponer sus leyes a ese comercio.</w:t>
      </w:r>
    </w:p>
    <w:p w:rsidR="00772428" w:rsidRPr="00566680" w:rsidRDefault="00772428" w:rsidP="00772428">
      <w:pPr>
        <w:pStyle w:val="NormalWeb"/>
        <w:spacing w:before="120" w:beforeAutospacing="0" w:after="120" w:afterAutospacing="0"/>
        <w:jc w:val="both"/>
      </w:pPr>
      <w:r w:rsidRPr="00566680">
        <w:lastRenderedPageBreak/>
        <w:t>La derrota china en las dos guerras forzó al gobierno a tolerar el comercio de opio. Los británicos coaccionaron a los chinos para firmar los </w:t>
      </w:r>
      <w:hyperlink r:id="rId19" w:tooltip="Tratados Desiguales" w:history="1">
        <w:r w:rsidRPr="00566680">
          <w:rPr>
            <w:rStyle w:val="Hipervnculo"/>
            <w:color w:val="auto"/>
            <w:u w:val="none"/>
          </w:rPr>
          <w:t>Tratados Desiguales</w:t>
        </w:r>
      </w:hyperlink>
      <w:r w:rsidRPr="00566680">
        <w:t>, abriendo varios puertos al comercio exterior y anexionándose </w:t>
      </w:r>
      <w:hyperlink r:id="rId20" w:tooltip="Hong Kong" w:history="1">
        <w:r w:rsidRPr="00566680">
          <w:rPr>
            <w:rStyle w:val="Hipervnculo"/>
            <w:color w:val="auto"/>
            <w:u w:val="none"/>
          </w:rPr>
          <w:t>Hong Kong</w:t>
        </w:r>
      </w:hyperlink>
      <w:r w:rsidRPr="00566680">
        <w:t> (</w:t>
      </w:r>
      <w:hyperlink r:id="rId21" w:tooltip="Tratado de Nankín" w:history="1">
        <w:r w:rsidRPr="00566680">
          <w:rPr>
            <w:rStyle w:val="Hipervnculo"/>
            <w:color w:val="auto"/>
            <w:u w:val="none"/>
          </w:rPr>
          <w:t>Tratado de Nankín</w:t>
        </w:r>
      </w:hyperlink>
      <w:r w:rsidRPr="00566680">
        <w:t> y cesión de Hong Kong al Reino Unido). </w:t>
      </w:r>
      <w:hyperlink r:id="rId22" w:tooltip="Portugal" w:history="1">
        <w:r w:rsidRPr="00566680">
          <w:rPr>
            <w:rStyle w:val="Hipervnculo"/>
            <w:color w:val="auto"/>
            <w:u w:val="none"/>
          </w:rPr>
          <w:t>Portugal</w:t>
        </w:r>
      </w:hyperlink>
      <w:r w:rsidRPr="00566680">
        <w:t> siguió a los británicos, forzando términos de intercambio desiguales a </w:t>
      </w:r>
      <w:hyperlink r:id="rId23" w:tooltip="China" w:history="1">
        <w:r w:rsidRPr="00566680">
          <w:rPr>
            <w:rStyle w:val="Hipervnculo"/>
            <w:color w:val="auto"/>
            <w:u w:val="none"/>
          </w:rPr>
          <w:t>China</w:t>
        </w:r>
      </w:hyperlink>
      <w:r w:rsidRPr="00566680">
        <w:t> y la ampliación de </w:t>
      </w:r>
      <w:hyperlink r:id="rId24" w:tooltip="Macao" w:history="1">
        <w:r w:rsidRPr="00566680">
          <w:rPr>
            <w:rStyle w:val="Hipervnculo"/>
            <w:color w:val="auto"/>
            <w:u w:val="none"/>
          </w:rPr>
          <w:t>Macao</w:t>
        </w:r>
      </w:hyperlink>
      <w:r w:rsidRPr="00566680">
        <w:t>, bajo dominio portugués desde el siglo </w:t>
      </w:r>
      <w:r w:rsidRPr="00566680">
        <w:rPr>
          <w:smallCaps/>
        </w:rPr>
        <w:t>xvi</w:t>
      </w:r>
      <w:r w:rsidRPr="00566680">
        <w:t>.</w:t>
      </w:r>
    </w:p>
    <w:p w:rsidR="00772428" w:rsidRPr="00566680" w:rsidRDefault="00772428" w:rsidP="00772428">
      <w:pPr>
        <w:pStyle w:val="NormalWeb"/>
        <w:spacing w:before="120" w:beforeAutospacing="0" w:after="120" w:afterAutospacing="0"/>
        <w:jc w:val="both"/>
      </w:pPr>
      <w:r w:rsidRPr="00566680">
        <w:t>Lo anterior contribuyó a la </w:t>
      </w:r>
      <w:hyperlink r:id="rId25" w:tooltip="Rebelión Taiping" w:history="1">
        <w:r w:rsidRPr="00566680">
          <w:rPr>
            <w:rStyle w:val="Hipervnculo"/>
            <w:color w:val="auto"/>
            <w:u w:val="none"/>
          </w:rPr>
          <w:t>Rebelión Taiping</w:t>
        </w:r>
      </w:hyperlink>
      <w:r w:rsidRPr="00566680">
        <w:t> a mediados del siglo </w:t>
      </w:r>
      <w:r w:rsidRPr="00566680">
        <w:rPr>
          <w:smallCaps/>
        </w:rPr>
        <w:t>xix</w:t>
      </w:r>
      <w:r w:rsidRPr="00566680">
        <w:t>, la </w:t>
      </w:r>
      <w:hyperlink r:id="rId26" w:tooltip="Rebelión de los Bóxers" w:history="1">
        <w:r w:rsidRPr="00566680">
          <w:rPr>
            <w:rStyle w:val="Hipervnculo"/>
            <w:color w:val="auto"/>
            <w:u w:val="none"/>
          </w:rPr>
          <w:t>Rebelión de los Bóxers</w:t>
        </w:r>
      </w:hyperlink>
      <w:r w:rsidRPr="00566680">
        <w:t> a principios del XX, y la caída de la </w:t>
      </w:r>
      <w:hyperlink r:id="rId27" w:tooltip="Dinastía Qing" w:history="1">
        <w:r w:rsidRPr="00566680">
          <w:rPr>
            <w:rStyle w:val="Hipervnculo"/>
            <w:color w:val="auto"/>
            <w:u w:val="none"/>
          </w:rPr>
          <w:t>Dinastía Qing</w:t>
        </w:r>
      </w:hyperlink>
      <w:r w:rsidRPr="00566680">
        <w:t> en 1912. También acabó con el relativo aislamiento chino respecto a </w:t>
      </w:r>
      <w:hyperlink r:id="rId28" w:tooltip="Occidente" w:history="1">
        <w:r w:rsidRPr="00566680">
          <w:rPr>
            <w:rStyle w:val="Hipervnculo"/>
            <w:color w:val="auto"/>
            <w:u w:val="none"/>
          </w:rPr>
          <w:t>Occidente</w:t>
        </w:r>
      </w:hyperlink>
      <w:r w:rsidRPr="00566680">
        <w:t xml:space="preserve">. </w:t>
      </w:r>
    </w:p>
    <w:p w:rsidR="00772428" w:rsidRPr="00566680" w:rsidRDefault="00772428" w:rsidP="00772428">
      <w:pPr>
        <w:pStyle w:val="NormalWeb"/>
        <w:spacing w:before="120" w:beforeAutospacing="0" w:after="120" w:afterAutospacing="0"/>
        <w:jc w:val="both"/>
        <w:rPr>
          <w:b/>
        </w:rPr>
      </w:pPr>
      <w:r w:rsidRPr="00566680">
        <w:rPr>
          <w:b/>
        </w:rPr>
        <w:t>Comercio chino</w:t>
      </w:r>
    </w:p>
    <w:p w:rsidR="00772428" w:rsidRPr="00566680" w:rsidRDefault="00772428" w:rsidP="00772428">
      <w:pPr>
        <w:pStyle w:val="NormalWeb"/>
        <w:spacing w:before="120" w:beforeAutospacing="0" w:after="120" w:afterAutospacing="0"/>
        <w:jc w:val="both"/>
      </w:pPr>
      <w:r w:rsidRPr="00566680">
        <w:t>El comercio marítimo más directo entre Europa y el </w:t>
      </w:r>
      <w:hyperlink r:id="rId29" w:tooltip="Imperio chino" w:history="1">
        <w:r w:rsidRPr="00566680">
          <w:rPr>
            <w:rStyle w:val="Hipervnculo"/>
            <w:color w:val="auto"/>
            <w:u w:val="none"/>
          </w:rPr>
          <w:t>Imperio chino</w:t>
        </w:r>
      </w:hyperlink>
      <w:r w:rsidRPr="00566680">
        <w:t> comenzó en el siglo </w:t>
      </w:r>
      <w:r w:rsidRPr="00566680">
        <w:rPr>
          <w:smallCaps/>
        </w:rPr>
        <w:t>xvi</w:t>
      </w:r>
      <w:r w:rsidRPr="00566680">
        <w:t>, después de que los portugueses establecieran la colonia de </w:t>
      </w:r>
      <w:hyperlink r:id="rId30" w:tooltip="Goa" w:history="1">
        <w:r w:rsidRPr="00566680">
          <w:rPr>
            <w:rStyle w:val="Hipervnculo"/>
            <w:color w:val="auto"/>
            <w:u w:val="none"/>
          </w:rPr>
          <w:t>Goa</w:t>
        </w:r>
      </w:hyperlink>
      <w:r w:rsidRPr="00566680">
        <w:t> en la </w:t>
      </w:r>
      <w:hyperlink r:id="rId31" w:tooltip="India" w:history="1">
        <w:r w:rsidRPr="00566680">
          <w:rPr>
            <w:rStyle w:val="Hipervnculo"/>
            <w:color w:val="auto"/>
            <w:u w:val="none"/>
          </w:rPr>
          <w:t>India</w:t>
        </w:r>
      </w:hyperlink>
      <w:r w:rsidRPr="00566680">
        <w:t>, y poco después la de </w:t>
      </w:r>
      <w:hyperlink r:id="rId32" w:tooltip="Macao" w:history="1">
        <w:r w:rsidRPr="00566680">
          <w:rPr>
            <w:rStyle w:val="Hipervnculo"/>
            <w:color w:val="auto"/>
            <w:u w:val="none"/>
          </w:rPr>
          <w:t>Macao</w:t>
        </w:r>
      </w:hyperlink>
      <w:r w:rsidRPr="00566680">
        <w:t> en el sur de China. Después de la conquista española de las </w:t>
      </w:r>
      <w:hyperlink r:id="rId33" w:tooltip="Filipinas" w:history="1">
        <w:r w:rsidRPr="00566680">
          <w:rPr>
            <w:rStyle w:val="Hipervnculo"/>
            <w:color w:val="auto"/>
            <w:u w:val="none"/>
          </w:rPr>
          <w:t>Filipinas</w:t>
        </w:r>
      </w:hyperlink>
      <w:r w:rsidRPr="00566680">
        <w:t>, el ritmo del intercambio entre China y Occidente se aceleró drásticamente. El </w:t>
      </w:r>
      <w:hyperlink r:id="rId34" w:tooltip="Galeón de Manila" w:history="1">
        <w:r w:rsidRPr="00566680">
          <w:rPr>
            <w:rStyle w:val="Hipervnculo"/>
            <w:color w:val="auto"/>
            <w:u w:val="none"/>
          </w:rPr>
          <w:t>Galeón de Manila</w:t>
        </w:r>
      </w:hyperlink>
      <w:r w:rsidRPr="00566680">
        <w:t> llegó a transportar más plata a China que la </w:t>
      </w:r>
      <w:hyperlink r:id="rId35" w:tooltip="Ruta de la Seda" w:history="1">
        <w:r w:rsidRPr="00566680">
          <w:rPr>
            <w:rStyle w:val="Hipervnculo"/>
            <w:color w:val="auto"/>
            <w:u w:val="none"/>
          </w:rPr>
          <w:t>Ruta de la Seda</w:t>
        </w:r>
      </w:hyperlink>
      <w:r w:rsidRPr="00566680">
        <w:t>.</w:t>
      </w:r>
    </w:p>
    <w:p w:rsidR="00772428" w:rsidRPr="00566680" w:rsidRDefault="00772428" w:rsidP="00772428">
      <w:pPr>
        <w:pStyle w:val="NormalWeb"/>
        <w:spacing w:before="120" w:beforeAutospacing="0" w:after="120" w:afterAutospacing="0"/>
        <w:jc w:val="both"/>
      </w:pPr>
      <w:r w:rsidRPr="00566680">
        <w:t>Desde China se intentó limitar a un mínimo el contacto con el mundo exterior. Los chinos solo permitieron el comercio por el puerto de </w:t>
      </w:r>
      <w:hyperlink r:id="rId36" w:tooltip="Cantón (China)" w:history="1">
        <w:r w:rsidRPr="00566680">
          <w:rPr>
            <w:rStyle w:val="Hipervnculo"/>
            <w:color w:val="auto"/>
            <w:u w:val="none"/>
          </w:rPr>
          <w:t>Cantón</w:t>
        </w:r>
      </w:hyperlink>
      <w:r w:rsidRPr="00566680">
        <w:t>. Se establecieron monopolios y trámites rigurosos para restringir el flujo del comercio, teniendo como resultado altos precios de venta para los artículos importados y demanda limitada.</w:t>
      </w:r>
    </w:p>
    <w:p w:rsidR="00772428" w:rsidRPr="00566680" w:rsidRDefault="00772428" w:rsidP="00772428">
      <w:pPr>
        <w:pStyle w:val="NormalWeb"/>
        <w:spacing w:before="120" w:beforeAutospacing="0" w:after="120" w:afterAutospacing="0"/>
        <w:jc w:val="both"/>
      </w:pPr>
      <w:r w:rsidRPr="00566680">
        <w:t>El </w:t>
      </w:r>
      <w:hyperlink r:id="rId37" w:tooltip="Imperio mogol" w:history="1">
        <w:r w:rsidRPr="00566680">
          <w:rPr>
            <w:rStyle w:val="Hipervnculo"/>
            <w:color w:val="auto"/>
            <w:u w:val="none"/>
          </w:rPr>
          <w:t>Imperio mogol</w:t>
        </w:r>
      </w:hyperlink>
      <w:r w:rsidRPr="00566680">
        <w:t> empezó a vender opio a los chinos hasta que fue sucedido por la implantación de la </w:t>
      </w:r>
      <w:hyperlink r:id="rId38" w:tooltip="Compañía Británica de las Indias Orientales" w:history="1">
        <w:r w:rsidRPr="00566680">
          <w:rPr>
            <w:rStyle w:val="Hipervnculo"/>
            <w:color w:val="auto"/>
            <w:u w:val="none"/>
          </w:rPr>
          <w:t>Compañía Británica de las Indias Orientales</w:t>
        </w:r>
      </w:hyperlink>
      <w:r w:rsidRPr="00566680">
        <w:t> en </w:t>
      </w:r>
      <w:hyperlink r:id="rId39" w:tooltip="Bengala" w:history="1">
        <w:r w:rsidRPr="00566680">
          <w:rPr>
            <w:rStyle w:val="Hipervnculo"/>
            <w:color w:val="auto"/>
            <w:u w:val="none"/>
          </w:rPr>
          <w:t>Bengala</w:t>
        </w:r>
      </w:hyperlink>
      <w:r w:rsidRPr="00566680">
        <w:t> y monopolizó el comercio. Desde </w:t>
      </w:r>
      <w:hyperlink r:id="rId40" w:tooltip="Indonesia" w:history="1">
        <w:r w:rsidRPr="00566680">
          <w:rPr>
            <w:rStyle w:val="Hipervnculo"/>
            <w:color w:val="auto"/>
            <w:u w:val="none"/>
          </w:rPr>
          <w:t>Indonesia</w:t>
        </w:r>
      </w:hyperlink>
      <w:r w:rsidRPr="00566680">
        <w:t>, a través de la </w:t>
      </w:r>
      <w:hyperlink r:id="rId41" w:tooltip="Compañía Neerlandesa de las Indias Orientales" w:history="1">
        <w:r w:rsidRPr="00566680">
          <w:rPr>
            <w:rStyle w:val="Hipervnculo"/>
            <w:color w:val="auto"/>
            <w:u w:val="none"/>
          </w:rPr>
          <w:t>Compañía Neerlandesa de las Indias Orientales</w:t>
        </w:r>
      </w:hyperlink>
      <w:r w:rsidRPr="00566680">
        <w:t>, ese país había favorecido a su vez este comercio hacia China, siendo realmente el modelo del tráfico exitoso del opio y su uso para compensar el enorme déficit comercial con China.</w:t>
      </w:r>
    </w:p>
    <w:p w:rsidR="00772428" w:rsidRPr="00566680" w:rsidRDefault="00772428" w:rsidP="00772428">
      <w:pPr>
        <w:pStyle w:val="NormalWeb"/>
        <w:spacing w:before="120" w:beforeAutospacing="0" w:after="120" w:afterAutospacing="0"/>
        <w:jc w:val="both"/>
      </w:pPr>
      <w:r w:rsidRPr="00566680">
        <w:t>A causa de la alta demanda de </w:t>
      </w:r>
      <w:hyperlink r:id="rId42" w:tooltip="Té" w:history="1">
        <w:r w:rsidRPr="00566680">
          <w:rPr>
            <w:rStyle w:val="Hipervnculo"/>
            <w:color w:val="auto"/>
            <w:u w:val="none"/>
          </w:rPr>
          <w:t>té</w:t>
        </w:r>
      </w:hyperlink>
      <w:r w:rsidRPr="00566680">
        <w:t>, </w:t>
      </w:r>
      <w:hyperlink r:id="rId43" w:tooltip="Seda" w:history="1">
        <w:r w:rsidRPr="00566680">
          <w:rPr>
            <w:rStyle w:val="Hipervnculo"/>
            <w:color w:val="auto"/>
            <w:u w:val="none"/>
          </w:rPr>
          <w:t>seda</w:t>
        </w:r>
      </w:hyperlink>
      <w:r w:rsidRPr="00566680">
        <w:t> y </w:t>
      </w:r>
      <w:hyperlink r:id="rId44" w:tooltip="Porcelana" w:history="1">
        <w:r w:rsidRPr="00566680">
          <w:rPr>
            <w:rStyle w:val="Hipervnculo"/>
            <w:color w:val="auto"/>
            <w:u w:val="none"/>
          </w:rPr>
          <w:t>porcelana</w:t>
        </w:r>
      </w:hyperlink>
      <w:r w:rsidRPr="00566680">
        <w:t> en el Reino Unido y la baja demanda de mercancías británicas en China, Gran Bretaña tenía un gran déficit comercial con China y debía pagar estos artículos con </w:t>
      </w:r>
      <w:hyperlink r:id="rId45" w:tooltip="Plata" w:history="1">
        <w:r w:rsidRPr="00566680">
          <w:rPr>
            <w:rStyle w:val="Hipervnculo"/>
            <w:color w:val="auto"/>
            <w:u w:val="none"/>
          </w:rPr>
          <w:t>plata</w:t>
        </w:r>
      </w:hyperlink>
      <w:r w:rsidRPr="00566680">
        <w:t>. Gran Bretaña comenzó a exportar ilegalmente opio a China desde la </w:t>
      </w:r>
      <w:hyperlink r:id="rId46" w:tooltip="Raj británico" w:history="1">
        <w:r w:rsidRPr="00566680">
          <w:rPr>
            <w:rStyle w:val="Hipervnculo"/>
            <w:color w:val="auto"/>
            <w:u w:val="none"/>
          </w:rPr>
          <w:t>India Británica</w:t>
        </w:r>
      </w:hyperlink>
      <w:r w:rsidRPr="00566680">
        <w:t> en el siglo </w:t>
      </w:r>
      <w:r w:rsidRPr="00566680">
        <w:rPr>
          <w:smallCaps/>
        </w:rPr>
        <w:t>xviii</w:t>
      </w:r>
      <w:r w:rsidRPr="00566680">
        <w:t> para contrarrestar su déficit. El comercio del opio creció rápidamente, y el flujo de plata comenzó a reducirse. El </w:t>
      </w:r>
      <w:hyperlink r:id="rId47" w:tooltip="Emperador Daoguang" w:history="1">
        <w:r w:rsidRPr="00566680">
          <w:rPr>
            <w:rStyle w:val="Hipervnculo"/>
            <w:color w:val="auto"/>
            <w:u w:val="none"/>
          </w:rPr>
          <w:t>emperador Daoguang</w:t>
        </w:r>
      </w:hyperlink>
      <w:r w:rsidRPr="00566680">
        <w:t> prohibió la venta y el consumo de opio en 1829 a causa del gran número de adictos.</w:t>
      </w:r>
    </w:p>
    <w:p w:rsidR="00772428" w:rsidRPr="00566680" w:rsidRDefault="00772428" w:rsidP="00772428">
      <w:pPr>
        <w:pStyle w:val="NormalWeb"/>
        <w:spacing w:before="120" w:beforeAutospacing="0" w:after="120" w:afterAutospacing="0"/>
        <w:jc w:val="both"/>
      </w:pPr>
      <w:r w:rsidRPr="00566680">
        <w:t>La disputa se desató debido al comercio del </w:t>
      </w:r>
      <w:hyperlink r:id="rId48" w:tooltip="Opio" w:history="1">
        <w:r w:rsidRPr="00566680">
          <w:rPr>
            <w:rStyle w:val="Hipervnculo"/>
            <w:color w:val="auto"/>
            <w:u w:val="none"/>
          </w:rPr>
          <w:t>opio</w:t>
        </w:r>
      </w:hyperlink>
      <w:r w:rsidRPr="00566680">
        <w:t>, el cual se veía desde ambos lados de maneras muy distintas. El emperador censuró el opio en China por el efecto negativo de este en la población. Los británicos, en cambio, veían al opio como el mercado ideal que los ayudaría a compensar el gran comercio con China. Estas guerras y los subsiguientes tratados firmados entre las potencias dieron como resultado que varios puertos de China se abrieran al comercio con Occidente, lo que condujo en parte a la caída de la economía china. Estas guerras se consideran la primera guerra de drogas.</w:t>
      </w:r>
    </w:p>
    <w:p w:rsidR="00772428" w:rsidRPr="00566680" w:rsidRDefault="00772428" w:rsidP="00772428">
      <w:pPr>
        <w:pStyle w:val="NormalWeb"/>
        <w:spacing w:before="120" w:beforeAutospacing="0" w:after="120" w:afterAutospacing="0"/>
        <w:jc w:val="both"/>
        <w:rPr>
          <w:b/>
        </w:rPr>
      </w:pPr>
      <w:r w:rsidRPr="00566680">
        <w:rPr>
          <w:b/>
        </w:rPr>
        <w:t>Crecimiento del comercio del opio</w:t>
      </w:r>
    </w:p>
    <w:p w:rsidR="00772428" w:rsidRPr="00566680" w:rsidRDefault="00772428" w:rsidP="00772428">
      <w:pPr>
        <w:pStyle w:val="NormalWeb"/>
        <w:spacing w:before="120" w:beforeAutospacing="0" w:after="120" w:afterAutospacing="0"/>
        <w:jc w:val="both"/>
      </w:pPr>
      <w:r w:rsidRPr="00566680">
        <w:t>A la </w:t>
      </w:r>
      <w:hyperlink r:id="rId49" w:tooltip="Dinastía Qing" w:history="1">
        <w:r w:rsidRPr="00566680">
          <w:rPr>
            <w:rStyle w:val="Hipervnculo"/>
            <w:color w:val="auto"/>
            <w:u w:val="none"/>
          </w:rPr>
          <w:t>dinastía imperial china</w:t>
        </w:r>
      </w:hyperlink>
      <w:r w:rsidRPr="00566680">
        <w:t> la asediaban, cada vez con más insistencia, las potencias extranjeras que demandaban un mayor comercio bilateral con China, tras una gran caída a principios del siglo </w:t>
      </w:r>
      <w:r w:rsidRPr="00566680">
        <w:rPr>
          <w:smallCaps/>
        </w:rPr>
        <w:t>xix</w:t>
      </w:r>
      <w:r w:rsidRPr="00566680">
        <w:t>.</w:t>
      </w:r>
    </w:p>
    <w:p w:rsidR="00772428" w:rsidRPr="00566680" w:rsidRDefault="00772428" w:rsidP="00772428">
      <w:pPr>
        <w:pStyle w:val="NormalWeb"/>
        <w:spacing w:before="120" w:beforeAutospacing="0" w:after="120" w:afterAutospacing="0"/>
        <w:jc w:val="both"/>
      </w:pPr>
      <w:r w:rsidRPr="00566680">
        <w:t>Los europeos compraban porcelana, seda, condimentos y té chinos, pero eran incapaces de vender algún bien de interés para China. En lugar de eso, se veían obligados a pagar con plata, lo cual significaba un gran esfuerzo para las ya apretadas finanzas europeas provocadas por las guerras napoleónicas.</w:t>
      </w:r>
    </w:p>
    <w:p w:rsidR="00772428" w:rsidRPr="00566680" w:rsidRDefault="00772428" w:rsidP="00772428">
      <w:pPr>
        <w:pStyle w:val="NormalWeb"/>
        <w:spacing w:before="120" w:beforeAutospacing="0" w:after="120" w:afterAutospacing="0"/>
        <w:jc w:val="both"/>
      </w:pPr>
      <w:r w:rsidRPr="00566680">
        <w:lastRenderedPageBreak/>
        <w:t>El </w:t>
      </w:r>
      <w:hyperlink r:id="rId50" w:tooltip="Opio" w:history="1">
        <w:r w:rsidRPr="00566680">
          <w:rPr>
            <w:rStyle w:val="Hipervnculo"/>
            <w:color w:val="auto"/>
            <w:u w:val="none"/>
          </w:rPr>
          <w:t>opio</w:t>
        </w:r>
      </w:hyperlink>
      <w:r w:rsidRPr="00566680">
        <w:t> era producido en China desde el siglo </w:t>
      </w:r>
      <w:r w:rsidRPr="00566680">
        <w:rPr>
          <w:smallCaps/>
        </w:rPr>
        <w:t>xv</w:t>
      </w:r>
      <w:r w:rsidRPr="00566680">
        <w:t>. Se mezclaba con tabaco en un proceso inventado por los españoles, que luego fue dominado por los neerlandeses en el siglo </w:t>
      </w:r>
      <w:r w:rsidRPr="00566680">
        <w:rPr>
          <w:smallCaps/>
        </w:rPr>
        <w:t>xvii</w:t>
      </w:r>
      <w:r w:rsidRPr="00566680">
        <w:t> y generalizado de forma masiva por los británicos en el XVIII. Al observar los problemas de salud y sociales vinculados con su consumo, el gobierno imperial chino lo prohibió en 1829.</w:t>
      </w:r>
    </w:p>
    <w:p w:rsidR="00772428" w:rsidRPr="00566680" w:rsidRDefault="00772428" w:rsidP="00772428">
      <w:pPr>
        <w:pStyle w:val="NormalWeb"/>
        <w:spacing w:before="120" w:beforeAutospacing="0" w:after="120" w:afterAutospacing="0"/>
        <w:jc w:val="both"/>
      </w:pPr>
      <w:r w:rsidRPr="00566680">
        <w:t>Los británicos comenzaron a producir opio a mediados del siglo </w:t>
      </w:r>
      <w:r w:rsidRPr="00566680">
        <w:rPr>
          <w:smallCaps/>
        </w:rPr>
        <w:t>xviii</w:t>
      </w:r>
      <w:r w:rsidRPr="00566680">
        <w:t> en la India en cantidades significativas. Aprendieron el arte de los mogoles, quienes comerciaban con esa sustancia al menos desde el reino de </w:t>
      </w:r>
      <w:hyperlink r:id="rId51" w:tooltip="Akbar" w:history="1">
        <w:r w:rsidRPr="00566680">
          <w:rPr>
            <w:rStyle w:val="Hipervnculo"/>
            <w:color w:val="auto"/>
            <w:u w:val="none"/>
          </w:rPr>
          <w:t>Akbar</w:t>
        </w:r>
      </w:hyperlink>
      <w:r w:rsidRPr="00566680">
        <w:t> (1556-1605), e iniciaron su intercambio por plata en el sur de China.</w:t>
      </w:r>
    </w:p>
    <w:p w:rsidR="00772428" w:rsidRPr="00566680" w:rsidRDefault="00772428" w:rsidP="00772428">
      <w:pPr>
        <w:pStyle w:val="NormalWeb"/>
        <w:spacing w:before="120" w:beforeAutospacing="0" w:after="120" w:afterAutospacing="0"/>
        <w:jc w:val="both"/>
      </w:pPr>
      <w:r w:rsidRPr="00566680">
        <w:t>Los británicos observaron las grandes ganancias que potencialmente traería ese mercado (previamente dominado por </w:t>
      </w:r>
      <w:hyperlink r:id="rId52" w:tooltip="Yakarta" w:history="1">
        <w:r w:rsidRPr="00566680">
          <w:rPr>
            <w:rStyle w:val="Hipervnculo"/>
            <w:color w:val="auto"/>
            <w:u w:val="none"/>
          </w:rPr>
          <w:t>Yakarta</w:t>
        </w:r>
      </w:hyperlink>
      <w:r w:rsidRPr="00566680">
        <w:t>, entonces una colonia de los </w:t>
      </w:r>
      <w:hyperlink r:id="rId53" w:tooltip="Países Bajos" w:history="1">
        <w:r w:rsidRPr="00566680">
          <w:rPr>
            <w:rStyle w:val="Hipervnculo"/>
            <w:color w:val="auto"/>
            <w:u w:val="none"/>
          </w:rPr>
          <w:t>Países Bajos</w:t>
        </w:r>
      </w:hyperlink>
      <w:r w:rsidRPr="00566680">
        <w:t>) al invadir </w:t>
      </w:r>
      <w:hyperlink r:id="rId54" w:tooltip="Bengala" w:history="1">
        <w:r w:rsidRPr="00566680">
          <w:rPr>
            <w:rStyle w:val="Hipervnculo"/>
            <w:color w:val="auto"/>
            <w:u w:val="none"/>
          </w:rPr>
          <w:t>Bengala</w:t>
        </w:r>
      </w:hyperlink>
      <w:r w:rsidRPr="00566680">
        <w:t> en 1764. Las ganancias se acercaban al 400 por ciento y la </w:t>
      </w:r>
      <w:hyperlink r:id="rId55" w:tooltip="Amapola" w:history="1">
        <w:r w:rsidRPr="00566680">
          <w:rPr>
            <w:rStyle w:val="Hipervnculo"/>
            <w:color w:val="auto"/>
            <w:u w:val="none"/>
          </w:rPr>
          <w:t>amapola</w:t>
        </w:r>
      </w:hyperlink>
      <w:r w:rsidRPr="00566680">
        <w:t> crecía casi en todas partes.</w:t>
      </w:r>
    </w:p>
    <w:p w:rsidR="00772428" w:rsidRPr="00566680" w:rsidRDefault="00772428" w:rsidP="00772428">
      <w:pPr>
        <w:pStyle w:val="NormalWeb"/>
        <w:spacing w:before="120" w:beforeAutospacing="0" w:after="120" w:afterAutospacing="0"/>
        <w:jc w:val="both"/>
      </w:pPr>
      <w:r w:rsidRPr="00566680">
        <w:t>Las exportaciones de opio de los británicos crecieron vertiginosamente, de aproximadamente 15 toneladas en 1730 a 75 toneladas en 1773, embarcadas en más de 2000 cajas con 70 kg cada una.</w:t>
      </w:r>
    </w:p>
    <w:p w:rsidR="00772428" w:rsidRPr="00566680" w:rsidRDefault="00772428" w:rsidP="00772428">
      <w:pPr>
        <w:pStyle w:val="NormalWeb"/>
        <w:spacing w:before="120" w:beforeAutospacing="0" w:after="120" w:afterAutospacing="0"/>
        <w:jc w:val="both"/>
      </w:pPr>
      <w:r w:rsidRPr="00566680">
        <w:t>Los productos triangulaban de la siguiente manera:</w:t>
      </w:r>
    </w:p>
    <w:p w:rsidR="00772428" w:rsidRPr="00566680" w:rsidRDefault="00772428" w:rsidP="00772428">
      <w:pPr>
        <w:numPr>
          <w:ilvl w:val="0"/>
          <w:numId w:val="3"/>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t>Se transportaba el opio cultivado en el </w:t>
      </w:r>
      <w:hyperlink r:id="rId56" w:tooltip="Imperio otomano" w:history="1">
        <w:r w:rsidRPr="00566680">
          <w:rPr>
            <w:rStyle w:val="Hipervnculo"/>
            <w:rFonts w:ascii="Times New Roman" w:hAnsi="Times New Roman" w:cs="Times New Roman"/>
            <w:color w:val="auto"/>
            <w:sz w:val="24"/>
            <w:szCs w:val="24"/>
            <w:u w:val="none"/>
          </w:rPr>
          <w:t>Imperio otomano</w:t>
        </w:r>
      </w:hyperlink>
      <w:r w:rsidRPr="00566680">
        <w:rPr>
          <w:rFonts w:ascii="Times New Roman" w:hAnsi="Times New Roman" w:cs="Times New Roman"/>
          <w:sz w:val="24"/>
          <w:szCs w:val="24"/>
        </w:rPr>
        <w:t>, </w:t>
      </w:r>
      <w:hyperlink r:id="rId57" w:tooltip="Persia" w:history="1">
        <w:r w:rsidRPr="00566680">
          <w:rPr>
            <w:rStyle w:val="Hipervnculo"/>
            <w:rFonts w:ascii="Times New Roman" w:hAnsi="Times New Roman" w:cs="Times New Roman"/>
            <w:color w:val="auto"/>
            <w:sz w:val="24"/>
            <w:szCs w:val="24"/>
            <w:u w:val="none"/>
          </w:rPr>
          <w:t>Persia</w:t>
        </w:r>
      </w:hyperlink>
      <w:r w:rsidRPr="00566680">
        <w:rPr>
          <w:rFonts w:ascii="Times New Roman" w:hAnsi="Times New Roman" w:cs="Times New Roman"/>
          <w:sz w:val="24"/>
          <w:szCs w:val="24"/>
        </w:rPr>
        <w:t> y la </w:t>
      </w:r>
      <w:hyperlink r:id="rId58" w:tooltip="India" w:history="1">
        <w:r w:rsidRPr="00566680">
          <w:rPr>
            <w:rStyle w:val="Hipervnculo"/>
            <w:rFonts w:ascii="Times New Roman" w:hAnsi="Times New Roman" w:cs="Times New Roman"/>
            <w:color w:val="auto"/>
            <w:sz w:val="24"/>
            <w:szCs w:val="24"/>
            <w:u w:val="none"/>
          </w:rPr>
          <w:t>India</w:t>
        </w:r>
      </w:hyperlink>
      <w:r w:rsidRPr="00566680">
        <w:rPr>
          <w:rFonts w:ascii="Times New Roman" w:hAnsi="Times New Roman" w:cs="Times New Roman"/>
          <w:sz w:val="24"/>
          <w:szCs w:val="24"/>
        </w:rPr>
        <w:t> al </w:t>
      </w:r>
      <w:hyperlink r:id="rId59" w:tooltip="Imperio chino" w:history="1">
        <w:r w:rsidRPr="00566680">
          <w:rPr>
            <w:rStyle w:val="Hipervnculo"/>
            <w:rFonts w:ascii="Times New Roman" w:hAnsi="Times New Roman" w:cs="Times New Roman"/>
            <w:color w:val="auto"/>
            <w:sz w:val="24"/>
            <w:szCs w:val="24"/>
            <w:u w:val="none"/>
          </w:rPr>
          <w:t>Imperio chino</w:t>
        </w:r>
      </w:hyperlink>
      <w:r w:rsidRPr="00566680">
        <w:rPr>
          <w:rFonts w:ascii="Times New Roman" w:hAnsi="Times New Roman" w:cs="Times New Roman"/>
          <w:sz w:val="24"/>
          <w:szCs w:val="24"/>
        </w:rPr>
        <w:t>.</w:t>
      </w:r>
    </w:p>
    <w:p w:rsidR="00772428" w:rsidRPr="00566680" w:rsidRDefault="00772428" w:rsidP="00772428">
      <w:pPr>
        <w:numPr>
          <w:ilvl w:val="0"/>
          <w:numId w:val="3"/>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t>Se pagaban con </w:t>
      </w:r>
      <w:hyperlink r:id="rId60" w:tooltip="Opio" w:history="1">
        <w:r w:rsidRPr="00566680">
          <w:rPr>
            <w:rStyle w:val="Hipervnculo"/>
            <w:rFonts w:ascii="Times New Roman" w:hAnsi="Times New Roman" w:cs="Times New Roman"/>
            <w:color w:val="auto"/>
            <w:sz w:val="24"/>
            <w:szCs w:val="24"/>
            <w:u w:val="none"/>
          </w:rPr>
          <w:t>opio</w:t>
        </w:r>
      </w:hyperlink>
      <w:r w:rsidRPr="00566680">
        <w:rPr>
          <w:rFonts w:ascii="Times New Roman" w:hAnsi="Times New Roman" w:cs="Times New Roman"/>
          <w:sz w:val="24"/>
          <w:szCs w:val="24"/>
        </w:rPr>
        <w:t> las </w:t>
      </w:r>
      <w:hyperlink r:id="rId61" w:tooltip="Porcelana" w:history="1">
        <w:r w:rsidRPr="00566680">
          <w:rPr>
            <w:rStyle w:val="Hipervnculo"/>
            <w:rFonts w:ascii="Times New Roman" w:hAnsi="Times New Roman" w:cs="Times New Roman"/>
            <w:color w:val="auto"/>
            <w:sz w:val="24"/>
            <w:szCs w:val="24"/>
            <w:u w:val="none"/>
          </w:rPr>
          <w:t>porcelanas</w:t>
        </w:r>
      </w:hyperlink>
      <w:r w:rsidRPr="00566680">
        <w:rPr>
          <w:rFonts w:ascii="Times New Roman" w:hAnsi="Times New Roman" w:cs="Times New Roman"/>
          <w:sz w:val="24"/>
          <w:szCs w:val="24"/>
        </w:rPr>
        <w:t>, </w:t>
      </w:r>
      <w:hyperlink r:id="rId62" w:tooltip="Seda" w:history="1">
        <w:r w:rsidRPr="00566680">
          <w:rPr>
            <w:rStyle w:val="Hipervnculo"/>
            <w:rFonts w:ascii="Times New Roman" w:hAnsi="Times New Roman" w:cs="Times New Roman"/>
            <w:color w:val="auto"/>
            <w:sz w:val="24"/>
            <w:szCs w:val="24"/>
            <w:u w:val="none"/>
          </w:rPr>
          <w:t>sedas</w:t>
        </w:r>
      </w:hyperlink>
      <w:r w:rsidRPr="00566680">
        <w:rPr>
          <w:rFonts w:ascii="Times New Roman" w:hAnsi="Times New Roman" w:cs="Times New Roman"/>
          <w:sz w:val="24"/>
          <w:szCs w:val="24"/>
        </w:rPr>
        <w:t> y </w:t>
      </w:r>
      <w:hyperlink r:id="rId63" w:tooltip="Té" w:history="1">
        <w:r w:rsidRPr="00566680">
          <w:rPr>
            <w:rStyle w:val="Hipervnculo"/>
            <w:rFonts w:ascii="Times New Roman" w:hAnsi="Times New Roman" w:cs="Times New Roman"/>
            <w:color w:val="auto"/>
            <w:sz w:val="24"/>
            <w:szCs w:val="24"/>
            <w:u w:val="none"/>
          </w:rPr>
          <w:t>té</w:t>
        </w:r>
      </w:hyperlink>
      <w:r w:rsidRPr="00566680">
        <w:rPr>
          <w:rFonts w:ascii="Times New Roman" w:hAnsi="Times New Roman" w:cs="Times New Roman"/>
          <w:sz w:val="24"/>
          <w:szCs w:val="24"/>
        </w:rPr>
        <w:t>.</w:t>
      </w:r>
    </w:p>
    <w:p w:rsidR="00772428" w:rsidRPr="00566680" w:rsidRDefault="00772428" w:rsidP="00772428">
      <w:pPr>
        <w:numPr>
          <w:ilvl w:val="0"/>
          <w:numId w:val="3"/>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t>Estas se llevaban a la </w:t>
      </w:r>
      <w:hyperlink r:id="rId64" w:tooltip="Costa Este de los Estados Unidos" w:history="1">
        <w:r w:rsidRPr="00566680">
          <w:rPr>
            <w:rStyle w:val="Hipervnculo"/>
            <w:rFonts w:ascii="Times New Roman" w:hAnsi="Times New Roman" w:cs="Times New Roman"/>
            <w:color w:val="auto"/>
            <w:sz w:val="24"/>
            <w:szCs w:val="24"/>
            <w:u w:val="none"/>
          </w:rPr>
          <w:t>Costa Este</w:t>
        </w:r>
      </w:hyperlink>
      <w:r w:rsidRPr="00566680">
        <w:rPr>
          <w:rFonts w:ascii="Times New Roman" w:hAnsi="Times New Roman" w:cs="Times New Roman"/>
          <w:sz w:val="24"/>
          <w:szCs w:val="24"/>
        </w:rPr>
        <w:t> de los Estados Unidos y al </w:t>
      </w:r>
      <w:hyperlink r:id="rId65" w:tooltip="Reino Unido de Gran Bretaña e Irlanda" w:history="1">
        <w:r w:rsidRPr="00566680">
          <w:rPr>
            <w:rStyle w:val="Hipervnculo"/>
            <w:rFonts w:ascii="Times New Roman" w:hAnsi="Times New Roman" w:cs="Times New Roman"/>
            <w:color w:val="auto"/>
            <w:sz w:val="24"/>
            <w:szCs w:val="24"/>
            <w:u w:val="none"/>
          </w:rPr>
          <w:t>Reino Unido</w:t>
        </w:r>
      </w:hyperlink>
      <w:r w:rsidRPr="00566680">
        <w:rPr>
          <w:rFonts w:ascii="Times New Roman" w:hAnsi="Times New Roman" w:cs="Times New Roman"/>
          <w:sz w:val="24"/>
          <w:szCs w:val="24"/>
        </w:rPr>
        <w:t>, en donde se cobraban, y con las ganancias obtenidas se iba a </w:t>
      </w:r>
      <w:hyperlink r:id="rId66" w:tooltip="Turquía" w:history="1">
        <w:r w:rsidRPr="00566680">
          <w:rPr>
            <w:rStyle w:val="Hipervnculo"/>
            <w:rFonts w:ascii="Times New Roman" w:hAnsi="Times New Roman" w:cs="Times New Roman"/>
            <w:color w:val="auto"/>
            <w:sz w:val="24"/>
            <w:szCs w:val="24"/>
            <w:u w:val="none"/>
          </w:rPr>
          <w:t>Turquía</w:t>
        </w:r>
      </w:hyperlink>
      <w:r w:rsidRPr="00566680">
        <w:rPr>
          <w:rFonts w:ascii="Times New Roman" w:hAnsi="Times New Roman" w:cs="Times New Roman"/>
          <w:sz w:val="24"/>
          <w:szCs w:val="24"/>
        </w:rPr>
        <w:t> y la India para comprar más opio.</w:t>
      </w:r>
    </w:p>
    <w:p w:rsidR="00772428" w:rsidRPr="00566680" w:rsidRDefault="00772428" w:rsidP="00772428">
      <w:pPr>
        <w:pStyle w:val="NormalWeb"/>
        <w:spacing w:before="120" w:beforeAutospacing="0" w:after="120" w:afterAutospacing="0"/>
        <w:jc w:val="both"/>
      </w:pPr>
      <w:r w:rsidRPr="00566680">
        <w:t>En la primavera de 1830, ante el alarmante y desenfrenado abuso del comercio del opio en China, el Emperador </w:t>
      </w:r>
      <w:hyperlink r:id="rId67" w:tooltip="Daoguang" w:history="1">
        <w:r w:rsidRPr="00566680">
          <w:rPr>
            <w:rStyle w:val="Hipervnculo"/>
            <w:color w:val="auto"/>
            <w:u w:val="none"/>
          </w:rPr>
          <w:t>Daoguang</w:t>
        </w:r>
      </w:hyperlink>
      <w:r w:rsidRPr="00566680">
        <w:t> ordenó a </w:t>
      </w:r>
      <w:hyperlink r:id="rId68" w:tooltip="Lin Hse Tsu" w:history="1">
        <w:r w:rsidRPr="00566680">
          <w:rPr>
            <w:rStyle w:val="Hipervnculo"/>
            <w:color w:val="auto"/>
            <w:u w:val="none"/>
          </w:rPr>
          <w:t>Lin Hse Tsu</w:t>
        </w:r>
      </w:hyperlink>
      <w:r w:rsidRPr="00566680">
        <w:t> que combatiera rápidamente esta plaga, y este respondió atajando la corrupción del funcionariado imperial y ordenando la destrucción de más de 20.000 cajas de opio.</w:t>
      </w:r>
    </w:p>
    <w:p w:rsidR="00772428" w:rsidRPr="00566680" w:rsidRDefault="000820F7" w:rsidP="00772428">
      <w:pPr>
        <w:pStyle w:val="NormalWeb"/>
        <w:spacing w:before="120" w:beforeAutospacing="0" w:after="120" w:afterAutospacing="0"/>
        <w:jc w:val="both"/>
      </w:pPr>
      <w:hyperlink r:id="rId69" w:tooltip="Lin Hse Tsu" w:history="1">
        <w:r w:rsidR="00772428" w:rsidRPr="00566680">
          <w:rPr>
            <w:rStyle w:val="Hipervnculo"/>
            <w:color w:val="auto"/>
            <w:u w:val="none"/>
          </w:rPr>
          <w:t>Lin Hse Tsu</w:t>
        </w:r>
      </w:hyperlink>
      <w:r w:rsidR="00772428" w:rsidRPr="00566680">
        <w:t> envió una carta a la </w:t>
      </w:r>
      <w:hyperlink r:id="rId70" w:tooltip="Victoria I del Reino Unido" w:history="1">
        <w:r w:rsidR="00772428" w:rsidRPr="00566680">
          <w:rPr>
            <w:rStyle w:val="Hipervnculo"/>
            <w:color w:val="auto"/>
            <w:u w:val="none"/>
          </w:rPr>
          <w:t>Reina Victoria</w:t>
        </w:r>
      </w:hyperlink>
      <w:r w:rsidR="00772428" w:rsidRPr="00566680">
        <w:t>​ pidiéndole que respetara las reglas del comercio internacional y no comerciara con sustancias tóxicas.</w:t>
      </w:r>
    </w:p>
    <w:p w:rsidR="00772428" w:rsidRPr="00566680" w:rsidRDefault="00772428" w:rsidP="00772428">
      <w:pPr>
        <w:shd w:val="clear" w:color="auto" w:fill="F9F9F9"/>
        <w:spacing w:line="240" w:lineRule="auto"/>
        <w:jc w:val="both"/>
        <w:rPr>
          <w:rFonts w:ascii="Times New Roman" w:hAnsi="Times New Roman" w:cs="Times New Roman"/>
          <w:sz w:val="24"/>
          <w:szCs w:val="24"/>
        </w:rPr>
      </w:pPr>
      <w:r w:rsidRPr="00566680">
        <w:rPr>
          <w:rFonts w:ascii="Times New Roman" w:hAnsi="Times New Roman" w:cs="Times New Roman"/>
          <w:sz w:val="24"/>
          <w:szCs w:val="24"/>
        </w:rPr>
        <w:t>Pero existe una categoría de extranjeros malhechores que fabrican opio y lo traen a nuestro país para venderlo, incitando a los necios a destruirse a sí mismos, simplemente con el fin de sacar provecho. (...) ahora el vicio se ha extendido por todas partes y el veneno va penetrando cada vez más profundamente (...) Por este motivo, hemos decidido castigar con penas muy graves a los mercaderes y a los fumadores de opio, con el fin de poner término definitivamente a la propagación de este vicio. (...) Todo opio que se descubra en China se echará en aceite hirviendo y se destruirá. En lo sucesivo, todo barco extranjero que llegue con opio a bordo será incendiado (...) Lin Hse Tsu. Carta a la reina Victoria. 1839. ​</w:t>
      </w:r>
    </w:p>
    <w:p w:rsidR="00772428" w:rsidRPr="00566680" w:rsidRDefault="00772428" w:rsidP="00772428">
      <w:pPr>
        <w:pStyle w:val="NormalWeb"/>
        <w:spacing w:before="120" w:beforeAutospacing="0" w:after="120" w:afterAutospacing="0"/>
        <w:jc w:val="both"/>
      </w:pPr>
      <w:r w:rsidRPr="00566680">
        <w:t>En el año 1865 se crea el banco </w:t>
      </w:r>
      <w:hyperlink r:id="rId71" w:tooltip="HSBC" w:history="1">
        <w:r w:rsidRPr="00566680">
          <w:rPr>
            <w:rStyle w:val="Hipervnculo"/>
            <w:color w:val="auto"/>
            <w:u w:val="none"/>
          </w:rPr>
          <w:t>HSBC</w:t>
        </w:r>
      </w:hyperlink>
      <w:r w:rsidRPr="00566680">
        <w:t xml:space="preserve"> para administrar las ganancias generadas por el tráfico de opio. </w:t>
      </w:r>
    </w:p>
    <w:p w:rsidR="00772428" w:rsidRPr="00566680" w:rsidRDefault="00772428" w:rsidP="00772428">
      <w:pPr>
        <w:pStyle w:val="NormalWeb"/>
        <w:spacing w:before="120" w:beforeAutospacing="0" w:after="120" w:afterAutospacing="0"/>
        <w:jc w:val="both"/>
        <w:rPr>
          <w:b/>
        </w:rPr>
      </w:pPr>
      <w:r w:rsidRPr="00566680">
        <w:rPr>
          <w:b/>
        </w:rPr>
        <w:t>Escalada de tensiones</w:t>
      </w:r>
    </w:p>
    <w:p w:rsidR="00772428" w:rsidRPr="00566680" w:rsidRDefault="00772428" w:rsidP="00772428">
      <w:pPr>
        <w:pStyle w:val="NormalWeb"/>
        <w:spacing w:before="120" w:beforeAutospacing="0" w:after="120" w:afterAutospacing="0"/>
        <w:jc w:val="both"/>
      </w:pPr>
      <w:r w:rsidRPr="00566680">
        <w:t>Tras la incautación del opio por parte del gobernador de Cantón (</w:t>
      </w:r>
      <w:hyperlink r:id="rId72" w:tooltip="Lin Hse Tsu" w:history="1">
        <w:r w:rsidRPr="00566680">
          <w:rPr>
            <w:rStyle w:val="Hipervnculo"/>
            <w:color w:val="auto"/>
            <w:u w:val="none"/>
          </w:rPr>
          <w:t>Lin Hse Tsu</w:t>
        </w:r>
      </w:hyperlink>
      <w:r w:rsidRPr="00566680">
        <w:t>) y el envío de la carta abierta a la </w:t>
      </w:r>
      <w:hyperlink r:id="rId73" w:tooltip="Victoria I del Reino Unido" w:history="1">
        <w:r w:rsidRPr="00566680">
          <w:rPr>
            <w:rStyle w:val="Hipervnculo"/>
            <w:color w:val="auto"/>
            <w:u w:val="none"/>
          </w:rPr>
          <w:t>Reina Victoria</w:t>
        </w:r>
      </w:hyperlink>
      <w:r w:rsidRPr="00566680">
        <w:t> el gobierno acusó a China de destruir mercancías británicas con lo que fue el principio de una serie de escalada de tensiones.</w:t>
      </w:r>
    </w:p>
    <w:p w:rsidR="00772428" w:rsidRPr="00566680" w:rsidRDefault="00772428" w:rsidP="00772428">
      <w:pPr>
        <w:numPr>
          <w:ilvl w:val="0"/>
          <w:numId w:val="4"/>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lastRenderedPageBreak/>
        <w:t>El 7 de julio de 1839 marineros británicos y estadounidenses produjeron serios altercados en </w:t>
      </w:r>
      <w:hyperlink r:id="rId74" w:tooltip="Kowloon" w:history="1">
        <w:r w:rsidRPr="00566680">
          <w:rPr>
            <w:rStyle w:val="Hipervnculo"/>
            <w:rFonts w:ascii="Times New Roman" w:hAnsi="Times New Roman" w:cs="Times New Roman"/>
            <w:color w:val="auto"/>
            <w:sz w:val="24"/>
            <w:szCs w:val="24"/>
            <w:u w:val="none"/>
          </w:rPr>
          <w:t>Kowloon</w:t>
        </w:r>
      </w:hyperlink>
      <w:r w:rsidRPr="00566680">
        <w:rPr>
          <w:rFonts w:ascii="Times New Roman" w:hAnsi="Times New Roman" w:cs="Times New Roman"/>
          <w:sz w:val="24"/>
          <w:szCs w:val="24"/>
        </w:rPr>
        <w:t> (Hong Kong), el castigo demandado por Lin Hse Tsu no fue el impuesto por los británicos.</w:t>
      </w:r>
    </w:p>
    <w:p w:rsidR="00772428" w:rsidRPr="00566680" w:rsidRDefault="00772428" w:rsidP="00772428">
      <w:pPr>
        <w:numPr>
          <w:ilvl w:val="0"/>
          <w:numId w:val="5"/>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t>Como respuesta el 15 de agosto del mismo año se cortaron los suministros de víveres y trabajadores a los británicos.</w:t>
      </w:r>
    </w:p>
    <w:p w:rsidR="00772428" w:rsidRPr="00566680" w:rsidRDefault="00772428" w:rsidP="00772428">
      <w:pPr>
        <w:numPr>
          <w:ilvl w:val="0"/>
          <w:numId w:val="6"/>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t>El 4 de septiembre un pequeño barco británico armado y con suministros llegó a Kowloon pero el bloqueo chino impidió que desembarcara, en noviembre dos barcos británicos procedentes de </w:t>
      </w:r>
      <w:hyperlink r:id="rId75" w:tooltip="Singapur" w:history="1">
        <w:r w:rsidRPr="00566680">
          <w:rPr>
            <w:rStyle w:val="Hipervnculo"/>
            <w:rFonts w:ascii="Times New Roman" w:hAnsi="Times New Roman" w:cs="Times New Roman"/>
            <w:color w:val="auto"/>
            <w:sz w:val="24"/>
            <w:szCs w:val="24"/>
            <w:u w:val="none"/>
          </w:rPr>
          <w:t>Singapur</w:t>
        </w:r>
      </w:hyperlink>
      <w:r w:rsidRPr="00566680">
        <w:rPr>
          <w:rFonts w:ascii="Times New Roman" w:hAnsi="Times New Roman" w:cs="Times New Roman"/>
          <w:sz w:val="24"/>
          <w:szCs w:val="24"/>
        </w:rPr>
        <w:t>, sin relación alguna con el comercio de opio, llegaron a </w:t>
      </w:r>
      <w:hyperlink r:id="rId76" w:tooltip="Cantón (China)" w:history="1">
        <w:r w:rsidRPr="00566680">
          <w:rPr>
            <w:rStyle w:val="Hipervnculo"/>
            <w:rFonts w:ascii="Times New Roman" w:hAnsi="Times New Roman" w:cs="Times New Roman"/>
            <w:color w:val="auto"/>
            <w:sz w:val="24"/>
            <w:szCs w:val="24"/>
            <w:u w:val="none"/>
          </w:rPr>
          <w:t>Cantón</w:t>
        </w:r>
      </w:hyperlink>
      <w:r w:rsidRPr="00566680">
        <w:rPr>
          <w:rFonts w:ascii="Times New Roman" w:hAnsi="Times New Roman" w:cs="Times New Roman"/>
          <w:sz w:val="24"/>
          <w:szCs w:val="24"/>
        </w:rPr>
        <w:t>.</w:t>
      </w:r>
    </w:p>
    <w:p w:rsidR="00772428" w:rsidRPr="00566680" w:rsidRDefault="00772428" w:rsidP="00772428">
      <w:pPr>
        <w:numPr>
          <w:ilvl w:val="0"/>
          <w:numId w:val="7"/>
        </w:numPr>
        <w:spacing w:before="100" w:beforeAutospacing="1" w:after="24" w:line="240" w:lineRule="auto"/>
        <w:ind w:left="384"/>
        <w:jc w:val="both"/>
        <w:rPr>
          <w:rFonts w:ascii="Times New Roman" w:hAnsi="Times New Roman" w:cs="Times New Roman"/>
          <w:sz w:val="24"/>
          <w:szCs w:val="24"/>
        </w:rPr>
      </w:pPr>
      <w:r w:rsidRPr="00566680">
        <w:rPr>
          <w:rFonts w:ascii="Times New Roman" w:hAnsi="Times New Roman" w:cs="Times New Roman"/>
          <w:sz w:val="24"/>
          <w:szCs w:val="24"/>
        </w:rPr>
        <w:t>Se produjo un enfrentamiento (junto con otros barcos británicos que realizaban un bloqueo comercial a China comandados por </w:t>
      </w:r>
      <w:hyperlink r:id="rId77" w:tooltip="Charles Elliot" w:history="1">
        <w:r w:rsidRPr="00566680">
          <w:rPr>
            <w:rStyle w:val="Hipervnculo"/>
            <w:rFonts w:ascii="Times New Roman" w:hAnsi="Times New Roman" w:cs="Times New Roman"/>
            <w:color w:val="auto"/>
            <w:sz w:val="24"/>
            <w:szCs w:val="24"/>
            <w:u w:val="none"/>
          </w:rPr>
          <w:t>Charles Elliot</w:t>
        </w:r>
      </w:hyperlink>
      <w:r w:rsidRPr="00566680">
        <w:rPr>
          <w:rFonts w:ascii="Times New Roman" w:hAnsi="Times New Roman" w:cs="Times New Roman"/>
          <w:sz w:val="24"/>
          <w:szCs w:val="24"/>
        </w:rPr>
        <w:t xml:space="preserve">) debido a lo que fue atribuido por los chinos como “confusión” pues los capitanes de los dos barcos firmaron el documento exigido por los chinos declarando no estar relacionados con el tráfico de opio. Este fue el primer episodio bélico de las llamadas Guerras del Opio. </w:t>
      </w:r>
    </w:p>
    <w:p w:rsidR="00772428" w:rsidRPr="00566680" w:rsidRDefault="00772428" w:rsidP="00772428">
      <w:pPr>
        <w:spacing w:before="100" w:beforeAutospacing="1" w:after="24" w:line="240" w:lineRule="auto"/>
        <w:ind w:left="24"/>
        <w:jc w:val="both"/>
        <w:rPr>
          <w:rFonts w:ascii="Times New Roman" w:hAnsi="Times New Roman" w:cs="Times New Roman"/>
          <w:b/>
          <w:sz w:val="24"/>
          <w:szCs w:val="24"/>
          <w:shd w:val="clear" w:color="auto" w:fill="FFFFFF"/>
        </w:rPr>
      </w:pPr>
      <w:r w:rsidRPr="00566680">
        <w:rPr>
          <w:rFonts w:ascii="Times New Roman" w:hAnsi="Times New Roman" w:cs="Times New Roman"/>
          <w:b/>
          <w:sz w:val="24"/>
          <w:szCs w:val="24"/>
          <w:shd w:val="clear" w:color="auto" w:fill="FFFFFF"/>
        </w:rPr>
        <w:t>¿Qué es la Guerra del Opio?</w:t>
      </w:r>
    </w:p>
    <w:p w:rsidR="00772428" w:rsidRPr="0047168C" w:rsidRDefault="00772428" w:rsidP="00772428">
      <w:pPr>
        <w:shd w:val="clear" w:color="auto" w:fill="FFFFFF"/>
        <w:spacing w:line="240" w:lineRule="auto"/>
        <w:jc w:val="both"/>
        <w:rPr>
          <w:rFonts w:ascii="Times New Roman" w:hAnsi="Times New Roman" w:cs="Times New Roman"/>
          <w:b/>
          <w:sz w:val="24"/>
          <w:szCs w:val="24"/>
        </w:rPr>
      </w:pPr>
      <w:bookmarkStart w:id="0" w:name="_GoBack"/>
      <w:bookmarkEnd w:id="0"/>
    </w:p>
    <w:p w:rsidR="00772428" w:rsidRPr="0047168C" w:rsidRDefault="00772428" w:rsidP="00772428">
      <w:pPr>
        <w:shd w:val="clear" w:color="auto" w:fill="FFFFFF"/>
        <w:spacing w:line="240" w:lineRule="auto"/>
        <w:jc w:val="both"/>
        <w:rPr>
          <w:rFonts w:ascii="Times New Roman" w:hAnsi="Times New Roman" w:cs="Times New Roman"/>
          <w:color w:val="202124"/>
          <w:sz w:val="24"/>
          <w:szCs w:val="24"/>
          <w:shd w:val="clear" w:color="auto" w:fill="FFFFFF"/>
        </w:rPr>
      </w:pPr>
      <w:r w:rsidRPr="0047168C">
        <w:rPr>
          <w:rFonts w:ascii="Times New Roman" w:hAnsi="Times New Roman" w:cs="Times New Roman"/>
          <w:color w:val="202124"/>
          <w:sz w:val="24"/>
          <w:szCs w:val="24"/>
          <w:shd w:val="clear" w:color="auto" w:fill="FFFFFF"/>
        </w:rPr>
        <w:t>La </w:t>
      </w:r>
      <w:r w:rsidRPr="0047168C">
        <w:rPr>
          <w:rFonts w:ascii="Times New Roman" w:hAnsi="Times New Roman" w:cs="Times New Roman"/>
          <w:bCs/>
          <w:color w:val="202124"/>
          <w:sz w:val="24"/>
          <w:szCs w:val="24"/>
          <w:shd w:val="clear" w:color="auto" w:fill="FFFFFF"/>
        </w:rPr>
        <w:t>Guerra del Opio</w:t>
      </w:r>
      <w:r w:rsidRPr="0047168C">
        <w:rPr>
          <w:rFonts w:ascii="Times New Roman" w:hAnsi="Times New Roman" w:cs="Times New Roman"/>
          <w:color w:val="202124"/>
          <w:sz w:val="24"/>
          <w:szCs w:val="24"/>
          <w:shd w:val="clear" w:color="auto" w:fill="FFFFFF"/>
        </w:rPr>
        <w:t> fue el conflicto que mantuvieron China y Gran Bretaña entre los años 1839 y 1842. El desencadenante del mismo fue la introducción en China de </w:t>
      </w:r>
      <w:r w:rsidRPr="0047168C">
        <w:rPr>
          <w:rFonts w:ascii="Times New Roman" w:hAnsi="Times New Roman" w:cs="Times New Roman"/>
          <w:bCs/>
          <w:color w:val="202124"/>
          <w:sz w:val="24"/>
          <w:szCs w:val="24"/>
          <w:shd w:val="clear" w:color="auto" w:fill="FFFFFF"/>
        </w:rPr>
        <w:t>opio</w:t>
      </w:r>
      <w:r w:rsidRPr="0047168C">
        <w:rPr>
          <w:rFonts w:ascii="Times New Roman" w:hAnsi="Times New Roman" w:cs="Times New Roman"/>
          <w:color w:val="202124"/>
          <w:sz w:val="24"/>
          <w:szCs w:val="24"/>
          <w:shd w:val="clear" w:color="auto" w:fill="FFFFFF"/>
        </w:rPr>
        <w:t> cultivado en la India y comercializado por la compañía británica de las Indias Orientales, administradora de la India.</w:t>
      </w:r>
    </w:p>
    <w:p w:rsidR="00772428" w:rsidRPr="0047168C" w:rsidRDefault="00772428" w:rsidP="00772428">
      <w:pPr>
        <w:shd w:val="clear" w:color="auto" w:fill="FFFFFF"/>
        <w:spacing w:after="180" w:line="240" w:lineRule="auto"/>
        <w:jc w:val="both"/>
        <w:rPr>
          <w:rFonts w:ascii="Times New Roman" w:eastAsia="Times New Roman" w:hAnsi="Times New Roman" w:cs="Times New Roman"/>
          <w:b/>
          <w:color w:val="202124"/>
          <w:sz w:val="24"/>
          <w:szCs w:val="24"/>
          <w:lang w:eastAsia="es-ES"/>
        </w:rPr>
      </w:pPr>
      <w:r w:rsidRPr="0047168C">
        <w:rPr>
          <w:rFonts w:ascii="Times New Roman" w:eastAsia="Times New Roman" w:hAnsi="Times New Roman" w:cs="Times New Roman"/>
          <w:b/>
          <w:color w:val="202124"/>
          <w:sz w:val="24"/>
          <w:szCs w:val="24"/>
          <w:lang w:eastAsia="es-ES"/>
        </w:rPr>
        <w:t>¿Por qué se dio?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br/>
        <w:t>Sus causas fueron los intereses comerciales </w:t>
      </w:r>
      <w:r w:rsidRPr="0047168C">
        <w:rPr>
          <w:rFonts w:ascii="Times New Roman" w:eastAsia="Times New Roman" w:hAnsi="Times New Roman" w:cs="Times New Roman"/>
          <w:bCs/>
          <w:color w:val="202124"/>
          <w:sz w:val="24"/>
          <w:szCs w:val="24"/>
          <w:lang w:eastAsia="es-ES"/>
        </w:rPr>
        <w:t>que</w:t>
      </w:r>
      <w:r w:rsidRPr="0047168C">
        <w:rPr>
          <w:rFonts w:ascii="Times New Roman" w:eastAsia="Times New Roman" w:hAnsi="Times New Roman" w:cs="Times New Roman"/>
          <w:color w:val="202124"/>
          <w:sz w:val="24"/>
          <w:szCs w:val="24"/>
          <w:lang w:eastAsia="es-ES"/>
        </w:rPr>
        <w:t> crearon el contrabando británico de </w:t>
      </w:r>
      <w:r w:rsidRPr="0047168C">
        <w:rPr>
          <w:rFonts w:ascii="Times New Roman" w:eastAsia="Times New Roman" w:hAnsi="Times New Roman" w:cs="Times New Roman"/>
          <w:bCs/>
          <w:color w:val="202124"/>
          <w:sz w:val="24"/>
          <w:szCs w:val="24"/>
          <w:lang w:eastAsia="es-ES"/>
        </w:rPr>
        <w:t>opio</w:t>
      </w:r>
      <w:r w:rsidRPr="0047168C">
        <w:rPr>
          <w:rFonts w:ascii="Times New Roman" w:eastAsia="Times New Roman" w:hAnsi="Times New Roman" w:cs="Times New Roman"/>
          <w:color w:val="202124"/>
          <w:sz w:val="24"/>
          <w:szCs w:val="24"/>
          <w:lang w:eastAsia="es-ES"/>
        </w:rPr>
        <w:t> en la India y en China y los esfuerzos del gobierno chino por imponer sus leyes a ese comercio. La derrota china en las dos </w:t>
      </w:r>
      <w:r w:rsidRPr="0047168C">
        <w:rPr>
          <w:rFonts w:ascii="Times New Roman" w:eastAsia="Times New Roman" w:hAnsi="Times New Roman" w:cs="Times New Roman"/>
          <w:bCs/>
          <w:color w:val="202124"/>
          <w:sz w:val="24"/>
          <w:szCs w:val="24"/>
          <w:lang w:eastAsia="es-ES"/>
        </w:rPr>
        <w:t>guerras</w:t>
      </w:r>
      <w:r w:rsidRPr="0047168C">
        <w:rPr>
          <w:rFonts w:ascii="Times New Roman" w:eastAsia="Times New Roman" w:hAnsi="Times New Roman" w:cs="Times New Roman"/>
          <w:color w:val="202124"/>
          <w:sz w:val="24"/>
          <w:szCs w:val="24"/>
          <w:lang w:eastAsia="es-ES"/>
        </w:rPr>
        <w:t> forzó al gobierno a tolerar el comercio de </w:t>
      </w:r>
      <w:r w:rsidRPr="0047168C">
        <w:rPr>
          <w:rFonts w:ascii="Times New Roman" w:eastAsia="Times New Roman" w:hAnsi="Times New Roman" w:cs="Times New Roman"/>
          <w:bCs/>
          <w:color w:val="202124"/>
          <w:sz w:val="24"/>
          <w:szCs w:val="24"/>
          <w:lang w:eastAsia="es-ES"/>
        </w:rPr>
        <w:t>opio</w:t>
      </w:r>
      <w:r w:rsidRPr="0047168C">
        <w:rPr>
          <w:rFonts w:ascii="Times New Roman" w:eastAsia="Times New Roman" w:hAnsi="Times New Roman" w:cs="Times New Roman"/>
          <w:color w:val="202124"/>
          <w:sz w:val="24"/>
          <w:szCs w:val="24"/>
          <w:lang w:eastAsia="es-ES"/>
        </w:rPr>
        <w:t>.</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180" w:line="240" w:lineRule="auto"/>
        <w:jc w:val="both"/>
        <w:rPr>
          <w:rFonts w:ascii="Times New Roman" w:eastAsia="Times New Roman" w:hAnsi="Times New Roman" w:cs="Times New Roman"/>
          <w:b/>
          <w:color w:val="202124"/>
          <w:sz w:val="24"/>
          <w:szCs w:val="24"/>
          <w:lang w:eastAsia="es-ES"/>
        </w:rPr>
      </w:pPr>
      <w:r w:rsidRPr="0047168C">
        <w:rPr>
          <w:rFonts w:ascii="Times New Roman" w:eastAsia="Times New Roman" w:hAnsi="Times New Roman" w:cs="Times New Roman"/>
          <w:b/>
          <w:color w:val="202124"/>
          <w:sz w:val="24"/>
          <w:szCs w:val="24"/>
          <w:lang w:eastAsia="es-ES"/>
        </w:rPr>
        <w:t>¿Cuál fue el objetivo principal de la Guerra del Opio?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70757A"/>
          <w:sz w:val="24"/>
          <w:szCs w:val="24"/>
          <w:lang w:eastAsia="es-ES"/>
        </w:rPr>
      </w:pPr>
      <w:r w:rsidRPr="0047168C">
        <w:rPr>
          <w:rFonts w:ascii="Times New Roman" w:eastAsia="Times New Roman" w:hAnsi="Times New Roman" w:cs="Times New Roman"/>
          <w:color w:val="202124"/>
          <w:sz w:val="24"/>
          <w:szCs w:val="24"/>
          <w:lang w:eastAsia="es-ES"/>
        </w:rPr>
        <w:br/>
        <w:t>Era imperativo corregir el desequilibrio en la balanza comercial. La respuesta estaba en el </w:t>
      </w:r>
      <w:r w:rsidRPr="003B6818">
        <w:rPr>
          <w:rFonts w:ascii="Times New Roman" w:eastAsia="Times New Roman" w:hAnsi="Times New Roman" w:cs="Times New Roman"/>
          <w:bCs/>
          <w:color w:val="202124"/>
          <w:sz w:val="24"/>
          <w:szCs w:val="24"/>
          <w:lang w:eastAsia="es-ES"/>
        </w:rPr>
        <w:t>opio</w:t>
      </w:r>
      <w:r w:rsidRPr="0047168C">
        <w:rPr>
          <w:rFonts w:ascii="Times New Roman" w:eastAsia="Times New Roman" w:hAnsi="Times New Roman" w:cs="Times New Roman"/>
          <w:color w:val="202124"/>
          <w:sz w:val="24"/>
          <w:szCs w:val="24"/>
          <w:lang w:eastAsia="es-ES"/>
        </w:rPr>
        <w:t>, una planta que se cultivaba en la India. Gracias a que la región india de Bengala se hallaba bajo control británico, se pudo producir y exportar masivamente esta planta a China.</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70757A"/>
          <w:sz w:val="24"/>
          <w:szCs w:val="24"/>
          <w:lang w:eastAsia="es-ES"/>
        </w:rPr>
      </w:pPr>
    </w:p>
    <w:p w:rsidR="00772428" w:rsidRPr="0047168C" w:rsidRDefault="00772428" w:rsidP="00772428">
      <w:pPr>
        <w:shd w:val="clear" w:color="auto" w:fill="FFFFFF"/>
        <w:spacing w:after="180" w:line="240" w:lineRule="auto"/>
        <w:jc w:val="both"/>
        <w:rPr>
          <w:rFonts w:ascii="Times New Roman" w:eastAsia="Times New Roman" w:hAnsi="Times New Roman" w:cs="Times New Roman"/>
          <w:b/>
          <w:color w:val="202124"/>
          <w:sz w:val="24"/>
          <w:szCs w:val="24"/>
          <w:lang w:eastAsia="es-ES"/>
        </w:rPr>
      </w:pPr>
      <w:r w:rsidRPr="0047168C">
        <w:rPr>
          <w:rFonts w:ascii="Times New Roman" w:eastAsia="Times New Roman" w:hAnsi="Times New Roman" w:cs="Times New Roman"/>
          <w:b/>
          <w:color w:val="202124"/>
          <w:sz w:val="24"/>
          <w:szCs w:val="24"/>
          <w:lang w:eastAsia="es-ES"/>
        </w:rPr>
        <w:t>¿Qué territorio perdió China en la Guerra del Opio?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La derrota </w:t>
      </w:r>
      <w:r w:rsidRPr="0047168C">
        <w:rPr>
          <w:rFonts w:ascii="Times New Roman" w:eastAsia="Times New Roman" w:hAnsi="Times New Roman" w:cs="Times New Roman"/>
          <w:bCs/>
          <w:color w:val="202124"/>
          <w:sz w:val="24"/>
          <w:szCs w:val="24"/>
          <w:lang w:eastAsia="es-ES"/>
        </w:rPr>
        <w:t>china</w:t>
      </w:r>
      <w:r w:rsidRPr="0047168C">
        <w:rPr>
          <w:rFonts w:ascii="Times New Roman" w:eastAsia="Times New Roman" w:hAnsi="Times New Roman" w:cs="Times New Roman"/>
          <w:color w:val="202124"/>
          <w:sz w:val="24"/>
          <w:szCs w:val="24"/>
          <w:lang w:eastAsia="es-ES"/>
        </w:rPr>
        <w:t> en las dos </w:t>
      </w:r>
      <w:r w:rsidRPr="0047168C">
        <w:rPr>
          <w:rFonts w:ascii="Times New Roman" w:eastAsia="Times New Roman" w:hAnsi="Times New Roman" w:cs="Times New Roman"/>
          <w:bCs/>
          <w:color w:val="202124"/>
          <w:sz w:val="24"/>
          <w:szCs w:val="24"/>
          <w:lang w:eastAsia="es-ES"/>
        </w:rPr>
        <w:t>guerras</w:t>
      </w:r>
      <w:r w:rsidRPr="0047168C">
        <w:rPr>
          <w:rFonts w:ascii="Times New Roman" w:eastAsia="Times New Roman" w:hAnsi="Times New Roman" w:cs="Times New Roman"/>
          <w:color w:val="202124"/>
          <w:sz w:val="24"/>
          <w:szCs w:val="24"/>
          <w:lang w:eastAsia="es-ES"/>
        </w:rPr>
        <w:t> forzó al gobierno a tolerar el comercio de </w:t>
      </w:r>
      <w:r w:rsidRPr="003B6818">
        <w:rPr>
          <w:rFonts w:ascii="Times New Roman" w:eastAsia="Times New Roman" w:hAnsi="Times New Roman" w:cs="Times New Roman"/>
          <w:bCs/>
          <w:color w:val="202124"/>
          <w:sz w:val="24"/>
          <w:szCs w:val="24"/>
          <w:lang w:eastAsia="es-ES"/>
        </w:rPr>
        <w:t>opio</w:t>
      </w:r>
      <w:r w:rsidRPr="0047168C">
        <w:rPr>
          <w:rFonts w:ascii="Times New Roman" w:eastAsia="Times New Roman" w:hAnsi="Times New Roman" w:cs="Times New Roman"/>
          <w:color w:val="202124"/>
          <w:sz w:val="24"/>
          <w:szCs w:val="24"/>
          <w:lang w:eastAsia="es-ES"/>
        </w:rPr>
        <w:t>. Los británicos coaccionaron a los </w:t>
      </w:r>
      <w:r w:rsidRPr="0047168C">
        <w:rPr>
          <w:rFonts w:ascii="Times New Roman" w:eastAsia="Times New Roman" w:hAnsi="Times New Roman" w:cs="Times New Roman"/>
          <w:bCs/>
          <w:color w:val="202124"/>
          <w:sz w:val="24"/>
          <w:szCs w:val="24"/>
          <w:lang w:eastAsia="es-ES"/>
        </w:rPr>
        <w:t>chinos</w:t>
      </w:r>
      <w:r w:rsidRPr="0047168C">
        <w:rPr>
          <w:rFonts w:ascii="Times New Roman" w:eastAsia="Times New Roman" w:hAnsi="Times New Roman" w:cs="Times New Roman"/>
          <w:color w:val="202124"/>
          <w:sz w:val="24"/>
          <w:szCs w:val="24"/>
          <w:lang w:eastAsia="es-ES"/>
        </w:rPr>
        <w:t> para firmar los Tratados Desiguales, abriendo varios puertos al comercio exterior y anexionándose Hong Kong (ver Tratado de Nankín y cesión de Hong Kong al Reino Unido).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180" w:line="240" w:lineRule="auto"/>
        <w:jc w:val="both"/>
        <w:rPr>
          <w:rFonts w:ascii="Times New Roman" w:eastAsia="Times New Roman" w:hAnsi="Times New Roman" w:cs="Times New Roman"/>
          <w:b/>
          <w:color w:val="202124"/>
          <w:sz w:val="24"/>
          <w:szCs w:val="24"/>
          <w:lang w:eastAsia="es-ES"/>
        </w:rPr>
      </w:pPr>
      <w:r w:rsidRPr="0047168C">
        <w:rPr>
          <w:rFonts w:ascii="Times New Roman" w:eastAsia="Times New Roman" w:hAnsi="Times New Roman" w:cs="Times New Roman"/>
          <w:b/>
          <w:color w:val="202124"/>
          <w:sz w:val="24"/>
          <w:szCs w:val="24"/>
          <w:lang w:eastAsia="es-ES"/>
        </w:rPr>
        <w:t>¿Por qué Inglaterra insistía en hacer comercio con China?</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Los ingleses querían acceder al mercado </w:t>
      </w:r>
      <w:r w:rsidRPr="0047168C">
        <w:rPr>
          <w:rFonts w:ascii="Times New Roman" w:eastAsia="Times New Roman" w:hAnsi="Times New Roman" w:cs="Times New Roman"/>
          <w:bCs/>
          <w:color w:val="202124"/>
          <w:sz w:val="24"/>
          <w:szCs w:val="24"/>
          <w:lang w:eastAsia="es-ES"/>
        </w:rPr>
        <w:t>chino</w:t>
      </w:r>
      <w:r w:rsidRPr="0047168C">
        <w:rPr>
          <w:rFonts w:ascii="Times New Roman" w:eastAsia="Times New Roman" w:hAnsi="Times New Roman" w:cs="Times New Roman"/>
          <w:color w:val="202124"/>
          <w:sz w:val="24"/>
          <w:szCs w:val="24"/>
          <w:lang w:eastAsia="es-ES"/>
        </w:rPr>
        <w:t> para equilibrar su balanza comercial.</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180" w:line="240" w:lineRule="auto"/>
        <w:jc w:val="both"/>
        <w:rPr>
          <w:rFonts w:ascii="Times New Roman" w:eastAsia="Times New Roman" w:hAnsi="Times New Roman" w:cs="Times New Roman"/>
          <w:b/>
          <w:color w:val="202124"/>
          <w:sz w:val="24"/>
          <w:szCs w:val="24"/>
          <w:lang w:eastAsia="es-ES"/>
        </w:rPr>
      </w:pPr>
      <w:r w:rsidRPr="0047168C">
        <w:rPr>
          <w:rFonts w:ascii="Times New Roman" w:eastAsia="Times New Roman" w:hAnsi="Times New Roman" w:cs="Times New Roman"/>
          <w:b/>
          <w:color w:val="202124"/>
          <w:sz w:val="24"/>
          <w:szCs w:val="24"/>
          <w:lang w:eastAsia="es-ES"/>
        </w:rPr>
        <w:lastRenderedPageBreak/>
        <w:t>¿Qué implicaciones tuvo el consumo de opio en la población de China?</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La demanda desmedida de esta droga permitió que Gran Bretaña sanara su deuda pública. Mientras las toneladas de </w:t>
      </w:r>
      <w:r w:rsidRPr="0047168C">
        <w:rPr>
          <w:rFonts w:ascii="Times New Roman" w:eastAsia="Times New Roman" w:hAnsi="Times New Roman" w:cs="Times New Roman"/>
          <w:b/>
          <w:bCs/>
          <w:color w:val="202124"/>
          <w:sz w:val="24"/>
          <w:szCs w:val="24"/>
          <w:lang w:eastAsia="es-ES"/>
        </w:rPr>
        <w:t>opio</w:t>
      </w:r>
      <w:r w:rsidRPr="0047168C">
        <w:rPr>
          <w:rFonts w:ascii="Times New Roman" w:eastAsia="Times New Roman" w:hAnsi="Times New Roman" w:cs="Times New Roman"/>
          <w:color w:val="202124"/>
          <w:sz w:val="24"/>
          <w:szCs w:val="24"/>
          <w:lang w:eastAsia="es-ES"/>
        </w:rPr>
        <w:t> exportadas a </w:t>
      </w:r>
      <w:r w:rsidRPr="0047168C">
        <w:rPr>
          <w:rFonts w:ascii="Times New Roman" w:eastAsia="Times New Roman" w:hAnsi="Times New Roman" w:cs="Times New Roman"/>
          <w:bCs/>
          <w:color w:val="202124"/>
          <w:sz w:val="24"/>
          <w:szCs w:val="24"/>
          <w:lang w:eastAsia="es-ES"/>
        </w:rPr>
        <w:t>China</w:t>
      </w:r>
      <w:r w:rsidRPr="0047168C">
        <w:rPr>
          <w:rFonts w:ascii="Times New Roman" w:eastAsia="Times New Roman" w:hAnsi="Times New Roman" w:cs="Times New Roman"/>
          <w:color w:val="202124"/>
          <w:sz w:val="24"/>
          <w:szCs w:val="24"/>
          <w:lang w:eastAsia="es-ES"/>
        </w:rPr>
        <w:t> favorecían el desarrollo de Occidente, el esplendor manchú se apagaba entrando en un periodo oscuro, donde se desataría la histeria del emperador Daoguang.</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r w:rsidRPr="0047168C">
        <w:rPr>
          <w:rFonts w:ascii="Times New Roman" w:eastAsia="Times New Roman" w:hAnsi="Times New Roman" w:cs="Times New Roman"/>
          <w:b/>
          <w:color w:val="202124"/>
          <w:sz w:val="24"/>
          <w:szCs w:val="24"/>
          <w:lang w:eastAsia="es-ES"/>
        </w:rPr>
        <w:t>Resistencia al imperialismo. China: la Guerra del Opio. 1839-1842</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La Guerra del Opio fue el conflicto que mantuvieron China y Gran Bretaña entre los años 1839 y 1842. El desencadenante del mismo fue la introducción en China de opio cultivado en la India y comercializado por la compañía británica de las Indias Orientales, administradora de la India.</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Esta sustancia (una droga estupefaciente) constituía una importante fuente de ingresos para los británicos y servía para equilibrar su balanza de pagos con China al compensar el gasto de las ingentes cantidades de té chino que Gran Bretaña importaba. Texto. El comercio del opio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El comercio del opio fue rechazado y prohibido por el gobierno chino. La puesta en práctica de la abolición recayó sobre el comisionado imperial Lin Zexu.</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Los emisarios enviados por los comerciantes británicos e indios quejándose por el quebranto que tal prohibición causaba a sus intereses decidieron a la Corona británica a enviar una flota de guerra que finalmente derrotó a la China. Texto. Quejas del Lin Zexu  a la reina Victoria de Inglaterra por  el comercio del opio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5876DA"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r w:rsidRPr="005876DA">
        <w:rPr>
          <w:rFonts w:ascii="Times New Roman" w:eastAsia="Times New Roman" w:hAnsi="Times New Roman" w:cs="Times New Roman"/>
          <w:b/>
          <w:color w:val="202124"/>
          <w:sz w:val="24"/>
          <w:szCs w:val="24"/>
          <w:lang w:eastAsia="es-ES"/>
        </w:rPr>
        <w:t>Batalla naval durante la Guerra del Opio</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Como consecuencia de este descalabro el emperador chino hubo de firmar el Tratado de Nanking, por el que se obligaba a China al libre comercio -el del opio incluido- con Inglaterra, a través de cinco puertos (el más importante de ellos Cantón) así como a la cesión de la isla de Hong Kong durante 150 años.</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Este conflicto y su resolución a favor de la potencia imperialista británica facilitó la irrupción en el escenario de otras potencias como Estados Unidos, Francia y Rusia que forzaron a China a firmar diversos convenios que han recibido la denominación de “Tratados Desiguales”. Como consecuencia de ellos, en 1860 China se vio apremiada a abrir otros once puertos al comercio exterior con el correspondiente menoscabo de su soberanía. Texto. Panfleto chino en contra de los blancos</w:t>
      </w: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7168C">
        <w:rPr>
          <w:rFonts w:ascii="Times New Roman" w:eastAsia="Times New Roman" w:hAnsi="Times New Roman" w:cs="Times New Roman"/>
          <w:color w:val="202124"/>
          <w:sz w:val="24"/>
          <w:szCs w:val="24"/>
          <w:lang w:eastAsia="es-ES"/>
        </w:rPr>
        <w:t>La impotencia china para conservar su independencia frente a las potencias imperialistas se acentuó aún más tras la derrota frente a Japón (1894-1895), que le costó importantes pérdidas territoriales, así como a raíz de la sublevación de los bóxer en 1900.</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3B6818"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r w:rsidRPr="003B6818">
        <w:rPr>
          <w:rFonts w:ascii="Times New Roman" w:eastAsia="Times New Roman" w:hAnsi="Times New Roman" w:cs="Times New Roman"/>
          <w:b/>
          <w:color w:val="202124"/>
          <w:sz w:val="24"/>
          <w:szCs w:val="24"/>
          <w:lang w:eastAsia="es-ES"/>
        </w:rPr>
        <w:t>Tratado de Kanagawa</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3B6818">
        <w:rPr>
          <w:rFonts w:ascii="Times New Roman" w:eastAsia="Times New Roman" w:hAnsi="Times New Roman" w:cs="Times New Roman"/>
          <w:color w:val="202124"/>
          <w:sz w:val="24"/>
          <w:szCs w:val="24"/>
          <w:lang w:eastAsia="es-ES"/>
        </w:rPr>
        <w:t xml:space="preserve">El </w:t>
      </w:r>
      <w:r w:rsidRPr="00DD4E63">
        <w:rPr>
          <w:rFonts w:ascii="Times New Roman" w:eastAsia="Times New Roman" w:hAnsi="Times New Roman" w:cs="Times New Roman"/>
          <w:b/>
          <w:color w:val="202124"/>
          <w:sz w:val="24"/>
          <w:szCs w:val="24"/>
          <w:lang w:eastAsia="es-ES"/>
        </w:rPr>
        <w:t>Tratado de Kanagawa</w:t>
      </w:r>
      <w:r w:rsidRPr="003B6818">
        <w:rPr>
          <w:rFonts w:ascii="Times New Roman" w:eastAsia="Times New Roman" w:hAnsi="Times New Roman" w:cs="Times New Roman"/>
          <w:color w:val="202124"/>
          <w:sz w:val="24"/>
          <w:szCs w:val="24"/>
          <w:lang w:eastAsia="es-ES"/>
        </w:rPr>
        <w:t xml:space="preserve"> se firmó el 31 de marzo de 1854 entre el Comodoro Matthew Perry, de Estados Unidos, y las autoridades de Japón, en el puerto japonés de Shimoda. Este tratado terminó con 200 años de aislamiento de Japón, y a la vez, con su política de exclusión (Sakoku), abriendo así los puertos japoneses de Shimoda y Hakodate al comercio con los </w:t>
      </w:r>
      <w:r w:rsidRPr="003B6818">
        <w:rPr>
          <w:rFonts w:ascii="Times New Roman" w:eastAsia="Times New Roman" w:hAnsi="Times New Roman" w:cs="Times New Roman"/>
          <w:color w:val="202124"/>
          <w:sz w:val="24"/>
          <w:szCs w:val="24"/>
          <w:lang w:eastAsia="es-ES"/>
        </w:rPr>
        <w:lastRenderedPageBreak/>
        <w:t>Estados Unidos, garantizando la seguridad de náufragos estadounidenses y estableciendo un cónsul permanente. El Tratado de Kanagawa fue seguido por el Tratado de Amistad y Comercio (USA-Japón) - Tratado de Harris de 1858, el cual permitió la concesión de establecimientos extranjeros, territorios extras para Japón y mínimos impuestos a las importaciones de sus bienes. Similares tratados fueron subsecuentemente negociados por los rusos, los franceses y los británicos.</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r w:rsidRPr="003B6818">
        <w:rPr>
          <w:rFonts w:ascii="Times New Roman" w:eastAsia="Times New Roman" w:hAnsi="Times New Roman" w:cs="Times New Roman"/>
          <w:b/>
          <w:color w:val="202124"/>
          <w:sz w:val="24"/>
          <w:szCs w:val="24"/>
          <w:lang w:eastAsia="es-ES"/>
        </w:rPr>
        <w:t>¿Cuál fue el Tratado de Kanagawa?</w:t>
      </w:r>
    </w:p>
    <w:p w:rsidR="00772428" w:rsidRPr="003B6818"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3B6818">
        <w:rPr>
          <w:rFonts w:ascii="Times New Roman" w:eastAsia="Times New Roman" w:hAnsi="Times New Roman" w:cs="Times New Roman"/>
          <w:color w:val="202124"/>
          <w:sz w:val="24"/>
          <w:szCs w:val="24"/>
          <w:lang w:eastAsia="es-ES"/>
        </w:rPr>
        <w:t>Este tratado terminó con 200 años de aislamiento de Japón, y a la vez, con su política de exclusión (Sakoku), abriendo así los puertos japoneses de Shimoda y Hakodate al comercio con los Estados Unidos, garantizando la seguridad de náufragos estadounidenses y estableciendo un cónsul permanente.</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3B6818"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r w:rsidRPr="003B6818">
        <w:rPr>
          <w:rFonts w:ascii="Times New Roman" w:eastAsia="Times New Roman" w:hAnsi="Times New Roman" w:cs="Times New Roman"/>
          <w:b/>
          <w:color w:val="202124"/>
          <w:sz w:val="24"/>
          <w:szCs w:val="24"/>
          <w:lang w:eastAsia="es-ES"/>
        </w:rPr>
        <w:t>¿Quién impuso el Tratado de Kanagawa?</w:t>
      </w:r>
    </w:p>
    <w:p w:rsidR="00772428" w:rsidRPr="003B681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3B6818">
        <w:rPr>
          <w:rFonts w:ascii="Times New Roman" w:eastAsia="Times New Roman" w:hAnsi="Times New Roman" w:cs="Times New Roman"/>
          <w:color w:val="202124"/>
          <w:sz w:val="24"/>
          <w:szCs w:val="24"/>
          <w:lang w:eastAsia="es-ES"/>
        </w:rPr>
        <w:t>Matthew Calbraith Perry fue un naturalista y oficial naval estadounidense. Rompió el aislamiento internacional de Japón y lo forzó a abrirse a los demás países extranjeros e impulsó el Tratado de Kanagawa.</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3B6818" w:rsidRDefault="00772428" w:rsidP="00772428">
      <w:pPr>
        <w:shd w:val="clear" w:color="auto" w:fill="FFFFFF"/>
        <w:spacing w:after="0" w:line="240" w:lineRule="auto"/>
        <w:jc w:val="both"/>
        <w:rPr>
          <w:rFonts w:ascii="Times New Roman" w:eastAsia="Times New Roman" w:hAnsi="Times New Roman" w:cs="Times New Roman"/>
          <w:b/>
          <w:color w:val="202124"/>
          <w:sz w:val="24"/>
          <w:szCs w:val="24"/>
          <w:lang w:eastAsia="es-ES"/>
        </w:rPr>
      </w:pPr>
      <w:r w:rsidRPr="003B6818">
        <w:rPr>
          <w:rFonts w:ascii="Times New Roman" w:eastAsia="Times New Roman" w:hAnsi="Times New Roman" w:cs="Times New Roman"/>
          <w:b/>
          <w:color w:val="202124"/>
          <w:sz w:val="24"/>
          <w:szCs w:val="24"/>
          <w:lang w:eastAsia="es-ES"/>
        </w:rPr>
        <w:t>¿Cómo se llegó a firmar el Tratado de Kanagawa?</w:t>
      </w:r>
    </w:p>
    <w:p w:rsidR="00772428" w:rsidRPr="003B681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3B6818">
        <w:rPr>
          <w:rFonts w:ascii="Times New Roman" w:eastAsia="Times New Roman" w:hAnsi="Times New Roman" w:cs="Times New Roman"/>
          <w:color w:val="202124"/>
          <w:sz w:val="24"/>
          <w:szCs w:val="24"/>
          <w:lang w:eastAsia="es-ES"/>
        </w:rPr>
        <w:t>El Tratado de Kanagawa fue seguido por el Tra</w:t>
      </w:r>
      <w:r>
        <w:rPr>
          <w:rFonts w:ascii="Times New Roman" w:eastAsia="Times New Roman" w:hAnsi="Times New Roman" w:cs="Times New Roman"/>
          <w:color w:val="202124"/>
          <w:sz w:val="24"/>
          <w:szCs w:val="24"/>
          <w:lang w:eastAsia="es-ES"/>
        </w:rPr>
        <w:t>tado de Amistad y Comercio (EEUU</w:t>
      </w:r>
      <w:r w:rsidRPr="003B6818">
        <w:rPr>
          <w:rFonts w:ascii="Times New Roman" w:eastAsia="Times New Roman" w:hAnsi="Times New Roman" w:cs="Times New Roman"/>
          <w:color w:val="202124"/>
          <w:sz w:val="24"/>
          <w:szCs w:val="24"/>
          <w:lang w:eastAsia="es-ES"/>
        </w:rPr>
        <w:t xml:space="preserve"> -Japón) - Tratado de Harris de 1858, que permitió la concesión de establecimientos extranjeros, territorios extras para ellos y mínimos aranceles para las importaciones estadounidenses.</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EF5998" w:rsidRDefault="00772428" w:rsidP="00772428">
      <w:pPr>
        <w:shd w:val="clear" w:color="auto" w:fill="FFFFFF"/>
        <w:spacing w:after="0" w:line="240" w:lineRule="auto"/>
        <w:jc w:val="both"/>
        <w:rPr>
          <w:rFonts w:ascii="Times New Roman" w:eastAsia="Times New Roman" w:hAnsi="Times New Roman" w:cs="Times New Roman"/>
          <w:b/>
          <w:sz w:val="24"/>
          <w:szCs w:val="24"/>
          <w:lang w:eastAsia="es-ES"/>
        </w:rPr>
      </w:pPr>
      <w:r w:rsidRPr="00EF5998">
        <w:rPr>
          <w:rFonts w:ascii="Times New Roman" w:eastAsia="Times New Roman" w:hAnsi="Times New Roman" w:cs="Times New Roman"/>
          <w:b/>
          <w:sz w:val="24"/>
          <w:szCs w:val="24"/>
          <w:lang w:eastAsia="es-ES"/>
        </w:rPr>
        <w:t>La doctrina de los países librecambistas: “haz lo que yo digo, no lo que yo hago”</w:t>
      </w:r>
    </w:p>
    <w:p w:rsidR="00772428" w:rsidRPr="00A36BF5" w:rsidRDefault="00772428" w:rsidP="00772428">
      <w:pPr>
        <w:shd w:val="clear" w:color="auto" w:fill="FFFFFF"/>
        <w:spacing w:after="0" w:line="240" w:lineRule="auto"/>
        <w:jc w:val="both"/>
        <w:rPr>
          <w:rFonts w:ascii="Times New Roman" w:eastAsia="Times New Roman" w:hAnsi="Times New Roman" w:cs="Times New Roman"/>
          <w:b/>
          <w:color w:val="FF0000"/>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u w:val="single"/>
          <w:lang w:eastAsia="es-ES"/>
        </w:rPr>
      </w:pPr>
      <w:r>
        <w:rPr>
          <w:rFonts w:ascii="Times New Roman" w:eastAsia="Times New Roman" w:hAnsi="Times New Roman" w:cs="Times New Roman"/>
          <w:color w:val="202124"/>
          <w:sz w:val="24"/>
          <w:szCs w:val="24"/>
          <w:lang w:eastAsia="es-ES"/>
        </w:rPr>
        <w:t xml:space="preserve">- </w:t>
      </w:r>
      <w:r w:rsidRPr="004201A0">
        <w:rPr>
          <w:rFonts w:ascii="Times New Roman" w:eastAsia="Times New Roman" w:hAnsi="Times New Roman" w:cs="Times New Roman"/>
          <w:color w:val="202124"/>
          <w:sz w:val="24"/>
          <w:szCs w:val="24"/>
          <w:u w:val="single"/>
          <w:lang w:eastAsia="es-ES"/>
        </w:rPr>
        <w:t>Del proteccionismo al libre­cambismo, una conversión oportunista</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Pr>
          <w:rFonts w:ascii="Times New Roman" w:eastAsia="Times New Roman" w:hAnsi="Times New Roman" w:cs="Times New Roman"/>
          <w:color w:val="202124"/>
          <w:sz w:val="24"/>
          <w:szCs w:val="24"/>
          <w:lang w:eastAsia="es-ES"/>
        </w:rPr>
        <w:t xml:space="preserve">(Fuente: </w:t>
      </w:r>
      <w:r w:rsidRPr="004201A0">
        <w:rPr>
          <w:rFonts w:ascii="Times New Roman" w:eastAsia="Times New Roman" w:hAnsi="Times New Roman" w:cs="Times New Roman"/>
          <w:color w:val="202124"/>
          <w:sz w:val="24"/>
          <w:szCs w:val="24"/>
          <w:lang w:eastAsia="es-ES"/>
        </w:rPr>
        <w:t>LeMonde diplomatique</w:t>
      </w:r>
      <w:r>
        <w:rPr>
          <w:rFonts w:ascii="Times New Roman" w:eastAsia="Times New Roman" w:hAnsi="Times New Roman" w:cs="Times New Roman"/>
          <w:color w:val="202124"/>
          <w:sz w:val="24"/>
          <w:szCs w:val="24"/>
          <w:lang w:eastAsia="es-ES"/>
        </w:rPr>
        <w:t xml:space="preserve"> - </w:t>
      </w:r>
      <w:r w:rsidRPr="004201A0">
        <w:rPr>
          <w:rFonts w:ascii="Times New Roman" w:eastAsia="Times New Roman" w:hAnsi="Times New Roman" w:cs="Times New Roman"/>
          <w:color w:val="202124"/>
          <w:sz w:val="24"/>
          <w:szCs w:val="24"/>
          <w:lang w:eastAsia="es-ES"/>
        </w:rPr>
        <w:t>Visión Desarrol</w:t>
      </w:r>
      <w:r>
        <w:rPr>
          <w:rFonts w:ascii="Times New Roman" w:eastAsia="Times New Roman" w:hAnsi="Times New Roman" w:cs="Times New Roman"/>
          <w:color w:val="202124"/>
          <w:sz w:val="24"/>
          <w:szCs w:val="24"/>
          <w:lang w:eastAsia="es-ES"/>
        </w:rPr>
        <w:t xml:space="preserve">lista - </w:t>
      </w:r>
      <w:r>
        <w:rPr>
          <w:rFonts w:ascii="Times New Roman" w:eastAsia="Times New Roman" w:hAnsi="Times New Roman" w:cs="Times New Roman"/>
          <w:b/>
          <w:color w:val="202124"/>
          <w:sz w:val="24"/>
          <w:szCs w:val="24"/>
          <w:lang w:eastAsia="es-ES"/>
        </w:rPr>
        <w:t>21/10/</w:t>
      </w:r>
      <w:r w:rsidRPr="006B46E5">
        <w:rPr>
          <w:rFonts w:ascii="Times New Roman" w:eastAsia="Times New Roman" w:hAnsi="Times New Roman" w:cs="Times New Roman"/>
          <w:b/>
          <w:color w:val="202124"/>
          <w:sz w:val="24"/>
          <w:szCs w:val="24"/>
          <w:lang w:eastAsia="es-ES"/>
        </w:rPr>
        <w:t>15</w:t>
      </w:r>
      <w:r>
        <w:rPr>
          <w:rFonts w:ascii="Times New Roman" w:eastAsia="Times New Roman" w:hAnsi="Times New Roman" w:cs="Times New Roman"/>
          <w:color w:val="202124"/>
          <w:sz w:val="24"/>
          <w:szCs w:val="24"/>
          <w:lang w:eastAsia="es-ES"/>
        </w:rPr>
        <w:t>)</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Presentado como una panacea para el desarrollo, el librecambio constituye la referencia común a todas las organizaciones multilaterales (Fondo Monetario Internacional, Organización Mundial de Comercio, Banco Mundial) y a las instituciones europeas. La historia económica demuestra sin embargo que se trata de un mito sin fundamento puesto que los países libre­cambistas, en primer lugar Estados Unidos y el Reino Unido, han edificado su potencia sobre un proteccionismo que ellos demonizan después.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 xml:space="preserve">Los partidarios del libre­cambio obtuvieron significativas victorias en las dos últimas décadas. Desde que comenzó la crisis de la deuda, en 1982, y a partir de la imposición de programas de ajuste estructural por parte del Fondo Monetario Internacional (FMI) y del Banco Mundial (BM), numerosos países en desarrollo liberalizaron radicalmente su comercio. El derrumbe del comunismo en 1991 abrió grandes espacios al libre­cambio. En la década de 1990 se firmaron importantes tratados regionales, entre ellos el Acuerdo de libre­cambio de América del Norte (NAFTA) que reúne a Canadá, Estados Unidos y México. Ese proceso se vio coronado cuando las negociaciones del ciclo Uruguay del Acuerdo general sobre las tasas aduaneras y el comercio (GATT), concluidas en Marrakech en 1994, desembocaron en la creación de la Organización Mundial del Comercio (OMC) en 1995. Esta no constituye aún un acuerdo de libre­cambio integral, pero ha logrado inclinar el orden </w:t>
      </w:r>
      <w:r w:rsidRPr="004201A0">
        <w:rPr>
          <w:rFonts w:ascii="Times New Roman" w:eastAsia="Times New Roman" w:hAnsi="Times New Roman" w:cs="Times New Roman"/>
          <w:color w:val="202124"/>
          <w:sz w:val="24"/>
          <w:szCs w:val="24"/>
          <w:lang w:eastAsia="es-ES"/>
        </w:rPr>
        <w:lastRenderedPageBreak/>
        <w:t>comercial mundial del lado del libre­cambio, al reducir sustancialmente las tarifas aduaneras y prohibir las subvenciones relacionadas con el comercio.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Por más importantes que sean esos éxitos, los librecambistas no se considerarán satisfechos. En el seno de la OMC, encabezados por los representantes de los países desarrollados, siguen presionando para bajar aún más y más rápido las tarifas aduaneras, y para extender la jurisdicción de la organización a ámbitos que no figuraban en su mandato inicial, como por ejemplo las inversiones en el exterior y la competencia. En materia de acuerdos regionales se perfila la perspectiva de una zona de libre­cambio que abarcaría prácticamente todo el hemisferio occidental: el Área de Libre Comercio de las Américas (ALCA).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Los partidarios del libre­cambio creen ir en el sentido de la historia. Según ellos, esa política es la que produjo la riqueza de los países desarrollados. De allí su crítica a los países en desarrollo que se niegan a adoptar esa receta ya probada. Sin embargo, nada está más lejos de la verdad. Los hechos históricos son inapelables: cuando los países actualmente desarrollados estaban aún en desarrollo, no aplicaron ninguna de las políticas que ahora aconsejan. Y quienes muestran mayor distancia entre aquel mito y la realidad, son, sin duda, Gran Bretaña y Estados Unidos.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Haz lo que yo digo…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Corresponde comenzar por Gran Bretaña, que no es para nada el ejemplo de libre­cambio que se pretende. Todo lo contrario: ese país utilizó de manera agresiva políticas dirigistas ­y en ciertos casos hasta las inventó­ para proteger y promover sus industrias estratégicas. Dichas políticas, aunque de un alcance limitado, datan ya del siglo XIV (Eduardo III) y del siglo XV (Enrique VII), en relación con la principal industria de entonces, la de la lana. El país exportaba en esa época la fibra bruta a Holanda, situación que diversos monarcas se esforzaron en modificar, fundamentalmente a través de medidas de protección de las manufacturas nacionales, por medio de tasas a la exportación de lana bruta, y provocando la “fuga” hacia Gran Bretaña de obreros cualificados holandeses (1).</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Entre 1721 ­fecha de la reforma de la política comercial por parte de Robert Walpole, el predecesor de todos los Primeros ministros británicos­ y la abrogación de la ley sobre el trigo, en 1846, el reino practicó una política comercial particularmente voluntarista. Durante ese periodo utilizó activamente las protecciones aduaneras, las reducciones de tarifas para los insumos necesarios a las exportaciones, y el control de calidad de las exportaciones por parte del Estado; medidas todas ellas que hoy en día se asocian generalmente con Japón y con los demás países de Asia Oriental. Se trata de un hecho histórico poco conocido: durante todo ese período Gran Bretaña protegió mucho más sus industrias que todos los otros países europeos, incluida Francia, la que se supone era el contra­modelo “dirigista”.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Gran Bretaña dio un paso decisivo ­aunque incompleto­ hacia el libre­cambio, con la abrogación de las leyes sobre el trigo en 1846 (2). Generalmente se considera esa medida como la victoria final de la doctrina liberal clásica sobre un mercantilismo estrecho. Pero ciertos historiadores, especialistas de ese período, ven más bien un acto de “imperialismo librecambista” destinado a “detener el avance de la industrialización del continente a través de una ampliación del mercado de productos agrícolas y de materias primas” (3). Ese fue por otra parte el argumento que desplegaron por entonces los principales voceros de la Anti­Corn Law League (Liga contra las leyes cerealeras), en particular el diputado Robert Cobden.</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lastRenderedPageBreak/>
        <w:t>En síntesis, y al revés de lo que suele pensarse, el avance tecnológico de Gran Bretaña, que le permitió convertirse al libre­cambio, había sido obtenido “gracias a barreras aduaneras elevadas, mantenidas durante largos períodos” como lo escribió el gran historiador de la economía Paul Bairoch (4). Fue por esa razón por lo que Friedrich List, el economista alemán del Siglo XIX ­considerado equivocadamente como el padre de la argumentación a favor de la protección de las “industrias en período de infancia”­ afirmó que la prédica británica a favor del libre­cambio recuerda la actitud de quien, una vez en lo alto, arroja al piso la escalera que había usado, para evitar que los otros suban (kicking away the ladder).</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Gran Bretaña fue el primer país en lanzar exitosamente una estrategia de promoción a gran escala de sus “industrias en periodo de infancia”, pero fue en Estados Unidos, “patria y bastión del proteccionismo moderno” como dijera Paul Bairoch (5), donde su justificación fue inicialmente elaborada por Alexander Hamilton, primer secretario del Tesoro de la historia del país (de 1789 a 1795), y por el economista hoy en día olvidado Daniel Raymond. Friedrich List, a quien se atribuye esa teoría moderna del proteccionismo, en realidad la conoció durante su exilio en Estados Unidos en la década de 1820. Numerosos intelectuales y responsables políticos estadounidenses del siglo XIX habían comprendido perfectamente que el libre­cambio no se adaptaba a su país, a pesar de que esa idea era contraria a la de grandes economistas de entonces, como Adam Smith y Jean­Baptiste Say. Estos consideraban que Estados Unidos no debía proteger sus industrias manufactureras, y que le convenía más especializarse en la agricultura.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Entre la década de 1830 y el fin de la Segunda Guerra Mundial, los derechos aduaneros estadounidenses sobre la importación de productos industriales figuraban entre los más altos del mundo. Si se añade que ese país ya gozaba de un alto grado de protección “natural” por el costo que tenía el transporte hasta la década de 1870, se puede afirmar que la industria estadounidense fue literalmente la</w:t>
      </w:r>
      <w:r>
        <w:rPr>
          <w:rFonts w:ascii="Times New Roman" w:eastAsia="Times New Roman" w:hAnsi="Times New Roman" w:cs="Times New Roman"/>
          <w:color w:val="202124"/>
          <w:sz w:val="24"/>
          <w:szCs w:val="24"/>
          <w:lang w:eastAsia="es-ES"/>
        </w:rPr>
        <w:t>s</w:t>
      </w:r>
      <w:r w:rsidRPr="004201A0">
        <w:rPr>
          <w:rFonts w:ascii="Times New Roman" w:eastAsia="Times New Roman" w:hAnsi="Times New Roman" w:cs="Times New Roman"/>
          <w:color w:val="202124"/>
          <w:sz w:val="24"/>
          <w:szCs w:val="24"/>
          <w:lang w:eastAsia="es-ES"/>
        </w:rPr>
        <w:t xml:space="preserve"> más protegidas del mundo hasta 1945.</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La ley Smoot­Hawley, de 1930, sobre las nuevas tarifas aduaneras, solo aumentó marginalmente el nivel del proteccionismo de la economía. La tarifa aduanera promedio sobre los productos industriales era del 48%, lo que la situaba en lo alto de la franja intermedia de tarifas desde la Guerra de Secesión. Sólo en el breve intermedio “liberal” de 1913 a 1929 la tarifa de 1930 puede ser considerada como un aumento del proteccionismo, mientras que la tarifa promedio sólo fue aumentada en un 11 %, pasando de 37 % a 48 %.</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En ese contexto hay que recordar que lo que estaba en juego en la Guerra de Secesión no era sólo la cuestión de la esclavitud, sino también ­y quizás en mayor medida­ la de las tarifas aduaneras. De ambos aspectos, este último era el que más amenazaba al Sur. Abraham Lincoln era un notorio proteccionista que había hecho sus primeras armas a la sombra de un hombre político carismático, Henry Clay, (6) del partido Whig, abogado del “Sistema americano” ­basado en el desarrollo de las infraestructuras y en el proteccionismo­ y así llamado por que el libre­cambio correspondía a los intereses “británicos”. Además, Lincoln pensaba que los negros constituía</w:t>
      </w:r>
      <w:r>
        <w:rPr>
          <w:rFonts w:ascii="Times New Roman" w:eastAsia="Times New Roman" w:hAnsi="Times New Roman" w:cs="Times New Roman"/>
          <w:color w:val="202124"/>
          <w:sz w:val="24"/>
          <w:szCs w:val="24"/>
          <w:lang w:eastAsia="es-ES"/>
        </w:rPr>
        <w:t>n</w:t>
      </w:r>
      <w:r w:rsidRPr="004201A0">
        <w:rPr>
          <w:rFonts w:ascii="Times New Roman" w:eastAsia="Times New Roman" w:hAnsi="Times New Roman" w:cs="Times New Roman"/>
          <w:color w:val="202124"/>
          <w:sz w:val="24"/>
          <w:szCs w:val="24"/>
          <w:lang w:eastAsia="es-ES"/>
        </w:rPr>
        <w:t xml:space="preserve"> una raza inferior, y que su emancipación era sólo una propuesta idealista sin perspectivas de aplicación a corto plazo. En su respuesta al editorial de un periódico que preconizaba la inmediata emancipación de los esclavos, llegó a escribir: “Si yo pudiera salvar la Unión sin liberar ni un solo esclavo, lo haría; y si pudiera salvarla liberándolos a todos, lo haría; y si pudiera hacerlo liberando algunos y dejando a otros donde están, también lo haría” (7). Su proclamación de emancipación del 1° de enero de 1863 tenía menos de convicción moral que de estrategia dirigida a ganar la guerra civil.</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lastRenderedPageBreak/>
        <w:t>Sólo después de la Segunda Guerra Mundial, cuando su supremacía industrial ya estaba sólidamente afirmada, Estados Unidos liberalizó sus intercambios comerciales (aunque francamente menos que los británicos a mediados del siglo XIX) y se erigió en gran promotor del libre­cambio, demostrando a su vez la validez de la metáfora de List. Ulysses Grant, héroe de la Guerra de Secesión y presidente de Estados Unidos de 1868 a 1876, había anticipado esa evolución: “Durante siglos Inglaterra se apoyó en la protección, la practicó hasta límites extremos, y logró resultados satisfactorios.  Luego de dos siglos, consideró mejor adoptar el libre­cambio, pues piensa que la protección ya no tiene futuro. Muy bien, señores, el conocimiento que yo tengo de nuestro país me lleva a pensar que, en menos de 200 años, cuando Estados Unidos haya sacado de la protección todo lo que ella puede darle, también adoptará el libre­cambio” (8)</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Conclusiones idénticas pueden sacarse de la historia de otros países desarrollados. En momentos en que trataban de superar el atraso que los separaba de los más desarrollados que ellos, prácticamente todos aplicaron derechos aduaneros, subvenciones y otras herramientas políticas para promover sus industrias. Resulta curioso comprobar que son las dos potencias anglosajonas ­supuestos bastiones del librecambio­ y no Francia, Alemania o Japón, países considerados los representantes del intervencionismo estatal, quienes utilizan de manera más agresiva las protecciones tarifarias.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Mito y realidad</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Durante el siglo XIX y comienzos del XX los derechos aduaneros fueron relativamente bajos en Francia y en Alemania (alrededor de 15 a 20%) mientras que los de Japón estuvieron fijados en 5% hasta 1911 según los términos de tratados leoninos. Durante el mismo período, las tarifas aduaneras promedio sobre productos industriales, en Estados Unidos y en Gran Bretaña se situaron en una franja de entre 40 % y 50 %…</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Las únicas excepciones a ese modelo histórico son Suiza y Holanda. Sin embargo se trata de países que habían alcanzado la frontera del desarrollo tecnológico ya en el siglo XVIII, y que por lo tanto ya no tenían necesidad de fuertes protecciones. Por otra parte, hasta el siglo XVII Holanda había desarrollado una impresionante batería de medidas intervencionistas con el objeto de obtener una supremacía comercial y marítima. Suiza, por su parte, no tuvo legislaciónsobre patentes hasta 1907, lo que parece una burla a la importancia que la ortodoxia actual concede a la protección de la propiedad intelectual. De manera más significativa, Holanda abrogó en 1869 su ley de 1817 sobre las patentes, considerando que constituían monopolios creados por el Estado, y por lo tanto estaban en contradicción con los principios de un mercado libre. Este razonamiento parece escapar a los economistas librecambistas que apoyan el Acuerdo sobre los aspectos de los derechos de propiedad intelectual vinculados al comercio (Adpic, o Trips en inglés) de la OMC. Holanda se dotó de una nueva legislación sobre las patentes en 1912.</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 xml:space="preserve">Si bien las protecciones tarifarias constituyeron un ingrediente crucial en las estrategias de desarrollo de numerosos países, no fueron sin embargo el único componente, ni necesariamente el más importante. Otras muchas herramientas fueron utilizadas con ese fin: subvenciones a las exportaciones, reducción de tasas aduaneras para la importación de insumos necesarios a las exportaciones, concesión de monopolios, carteles, créditos a medida, planificación de las inversiones y de las corrientes de mano de obra, apoyo a la investigación­desarrollo, promoción de instituciones para el fomento de la asociación entre el sector estatal y el privado, etc. Se suele creer que todas esas medidas fueron inventadas por </w:t>
      </w:r>
      <w:r w:rsidRPr="004201A0">
        <w:rPr>
          <w:rFonts w:ascii="Times New Roman" w:eastAsia="Times New Roman" w:hAnsi="Times New Roman" w:cs="Times New Roman"/>
          <w:color w:val="202124"/>
          <w:sz w:val="24"/>
          <w:szCs w:val="24"/>
          <w:lang w:eastAsia="es-ES"/>
        </w:rPr>
        <w:lastRenderedPageBreak/>
        <w:t>Japón y por los países de Asia oriental luego de la Segunda Guerra Mundial, cuando en realidad muchas de ellas ya tenían una larga historia. Por último, aun si comparten los mismos principios de base, los países desarrollados combinaron de forma muy diversa las herramientas de política comercial y de política industrial: contrariamente a lo que piensa la mayoría de los economistas librecambistas, no existe un modelo único para el desarrollo industrial.</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Los pocos de ellos que conocen el pasado proteccionista de los países hoy en día desarrollados, sostienen que esas políticas tuvieron posiblemente algunas consecuencias positivas (muy pocas, insisten en decir) pero que, en el actual mundo globalizado resultan perjudiciales. Afirman que la superioridad del libre­cambio fue ampliamente demostrada por el crecimiento récord de las últimas dos décadas de liberalización de los intercambios: el mismo habría sido superior al de las décadas precedentes en que reinaba el proteccionismo en los países en desarrollo. Lamentablemente para estos, los hechos reflejan una historia totalmente diferente.</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Si el libre­cambio hubiera sido tan eficaz, el crecimiento económico hubiera debido acelerarse en el curso de los últimos veinte años, en forma paralela a las medidas de liberalización del comercio. Sin embargo, los hechos muestran lo siguiente: durante los “malos días” de las décadas de 1960 y 1970, cuando existían muchas más protecciones y otras regulaciones, la economía mundial progresaba mucho más rápidamente que hoy en día. En esos “tiempos afortunadamente superados” el ingreso mundial per cápita aumentaba alrededor del 3 % anual, contra 2,3 % durante las dos últimas décadas. En los países desarrollados, el crecimiento del ingreso per cápita retrocedió de 3,2 a 2,2</w:t>
      </w:r>
      <w:r>
        <w:rPr>
          <w:rFonts w:ascii="Times New Roman" w:eastAsia="Times New Roman" w:hAnsi="Times New Roman" w:cs="Times New Roman"/>
          <w:color w:val="202124"/>
          <w:sz w:val="24"/>
          <w:szCs w:val="24"/>
          <w:lang w:eastAsia="es-ES"/>
        </w:rPr>
        <w:t xml:space="preserve"> % comparando 1960-1980 con 1980-</w:t>
      </w:r>
      <w:r w:rsidRPr="004201A0">
        <w:rPr>
          <w:rFonts w:ascii="Times New Roman" w:eastAsia="Times New Roman" w:hAnsi="Times New Roman" w:cs="Times New Roman"/>
          <w:color w:val="202124"/>
          <w:sz w:val="24"/>
          <w:szCs w:val="24"/>
          <w:lang w:eastAsia="es-ES"/>
        </w:rPr>
        <w:t>1999, mientras que caía de mitad (de 3 a 1,5 %) en los países en desarrollo. Y en este último periodo, de no ser por los buenos resultados de China y de India ­dos países que para nada siguieron las recetas liberales­ los porcentajes hubieran sido aún más bajos.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Además, esa tasa de crecimiento promedio está lejos de reflejar el alcance de la crisis que afectó numerosos países en desarrollo en las dos últimas décadas. En esos años el crecimiento del ingreso per cápita fue prácticamente inexistente en América Latina: 0,6 % contra 3,1 % entre 1960 y 1980. Igual caída en Medio Oriente y en África del Norte (­ 0,2 % anual) y en África sub­sahariana (­ 0,7 % anual, contra respectivamente 2,5 y 2 % de 1960 a 1980). Desde que comenzaron su transición hacia el capitalismo, la mayoría de los ex países comunistas registraron las más fuertes caídas de nivel de vida de la historia moderna.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En síntesis, la experiencia neoliberal de las últimas dos décadas se mostró simplemente incapaz de cumplir su principal promesa, la aceleración del crecimiento, en nombre de la cual se nos pidió sacrificar todo el resto, desde la simple equidad hasta el medio ambiente. A pesar de ese lamentable fracaso, el dogma liberal sobre las virtudes del librecambio sigue imponiéndose gracias a un aparato económico­político­ideológico que, por su tamaño y su poder mundial, sólo puede compararse al del Vaticano en la Edad Media.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 xml:space="preserve">Merced a su dominio sobre los gobiernos de los países desarrollados más influyentes ­en primer lugar Estados Unidos y el Reino Unido­ los neoliberales están en condiciones de influir en la agenda política de las instituciones multilaterales, particularmente sobre la “Santa Trinidad” formada por el FMI, el BM y la OMC. Gracias a su enorme poder sobre los medios de comunicación dominantes en todo el mundo, lograron endulzar y a veces hacer desaparecer las informaciones que les molestaban, fundamentalmente las catastróficas cifras </w:t>
      </w:r>
      <w:r w:rsidRPr="004201A0">
        <w:rPr>
          <w:rFonts w:ascii="Times New Roman" w:eastAsia="Times New Roman" w:hAnsi="Times New Roman" w:cs="Times New Roman"/>
          <w:color w:val="202124"/>
          <w:sz w:val="24"/>
          <w:szCs w:val="24"/>
          <w:lang w:eastAsia="es-ES"/>
        </w:rPr>
        <w:lastRenderedPageBreak/>
        <w:t>del crecimiento. Dado que esas personas ocupan posiciones de poder en los departamentos de economía de las universidades más prestigiosas del mundo, velan para que ningún economista disidente sea admitido en las mismas, evitando así que pueda gozar del consecuente prestigio académico.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En los países en desarrollo, el cepo neoliberal es aún más firme. Muchos gobiernos se ven obligados a seguir las políticas del FMI, del BM y de los principales Estados prestamistas, cuyo apoyo financiero les resulta indispensable, a pesar de que esas políticas solo sirven para perpetuar la crisis de desarrollo, que es la raíz de su dependencia. Hay que señalar que esas políticas cuentan también con el apoyo de poderosos intereses locales: los exportadores de productos de base y sus prestatarios de servicios profesionales. Las propuestas de políticas alternativas son cada vez menos frecuentes en esos países, pues los intelectuales no tienen suficiente confianza en sí mismos para oponerse a la ortodoxia. Algunos de ellos incluso se pasaron al otro bando, lo que no tiene nada de sorprendente cuando se piensa que una consulta para el FMI o para el BM equivale a varios años de salario en las universidades de la mayoría de los países en desarrollo.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Al controlar de esa forma la agenda política e intelectual, los neoliberales tienen todos los medios para oponerse a quienes los critican, y calificarlos de blandos, pusilánimes que se horrorizan ante la idea de generar desigualdades sociales a corto plazo, pero que generarían una mayor riqueza para todos a largo plazo. Otras veces, los tratan de analfabetos económicos, incapaces de entender la realidad… De esa manera se evita cualquier tipo de debate serio, mientras que los disidentes son sistemáticamente ignorados, lo que reconforta la dominación liberal.</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En esas condiciones, ¿cuál es el futuro del libre­cambio? Al contrario de lo que pretenden sus partidarios, hay excelentes razones teóricas para pensar que la libertad de intercambio entre países de niveles de productividad muy diferentes puede, a corto plazo, beneficiar a los más pobres de ellos al abrirles mercados para la exportación, pero que, al mismo tiempo, hipotecaría su desarrollo a largo plazo al condenarlos a actividades de baja productividad. Esto lo habían entendido perfectamente los responsables políticos de los países que en su tiempo trataban de alcanzar a las naciones más desarrolladas ­desde Robert Walpole y Alexander Hamilton en el siglo XVIII, hasta los burócratas japoneses y coreanos de las décadas de 1960 y 1970­ cuando rechazaron la vía del libre­cambio.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Los acuerdos de libre­cambio que implican a países de niveles de productividad muy diferente, tarde o temprano fracasarán, pues los países pobres tomarán conciencia de que eso no facilita el desarrollo. Los acuerdos entre países de nivel de desarrollo comparable, como el Mercosur en Sudamérica y la Asociación de Naciones de Asia del Sud­este (Anase) (9), cuyos miembros son mayoritariamente países en desarrollo, tienen más posibilidades de funcionar que el proyecto del ALCA que quiere imponer George W. Bush. Friedrich List no veía ninguna contradicción entre su apoyo al Zollverein, la unión aduanera alemana, y la protección de las “industrias en período de infancia” pues consideraba que los Estados alemanes tenían niveles de desarrollo suficientemente parecidos.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 xml:space="preserve">La única forma de que funcione correctamente una zona de libre­cambio entre países de niveles de desarrollo muy diferente, es una integración a la manera de la Unión Europea (UE), que implica mecanismos de transferencia de los más ricos a los más pobres, y corrientes de mano de obra en sentido contrario. Esto sólo es posible si los países de economías pobres son pequeños y poco numerosos respecto de los de economías ricas. Si no </w:t>
      </w:r>
      <w:r w:rsidRPr="004201A0">
        <w:rPr>
          <w:rFonts w:ascii="Times New Roman" w:eastAsia="Times New Roman" w:hAnsi="Times New Roman" w:cs="Times New Roman"/>
          <w:color w:val="202124"/>
          <w:sz w:val="24"/>
          <w:szCs w:val="24"/>
          <w:lang w:eastAsia="es-ES"/>
        </w:rPr>
        <w:lastRenderedPageBreak/>
        <w:t>fuera el caso, los ricos hallarán el acuerdo muy oneroso. Por eso, la ampliación de la Unión Europea podría detenerse frente a las fronteras de Turquía y Ucrania.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La OMC en la mira</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La OMC no es aún un acuerdo de libre­cambio integral, pues autoriza ciertas protecciones para las industrias de los países en desarrollo. Sin embargo, la presión para obtener reducciones de tarifas aduaneras es creciente, fundamentalmente a partir de la propuesta estadounidense de suprimirlas completamente en 2015. En tal hipótesis, los daños que podría causar la OMC al desarrollo de los países más pobres, serían aún mayores que los del NAFTA o los del ALCA, pues las diferencias de niveles de productividad serían aún más considerables.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Sin embargo, la OMC tiene atribuciones mucho más amplias que los acuerdos de libre­cambio: se ocupa de la propiedad intelectual, de los mercados oficiales y de las inversiones. De allí los riesgos extra que esa organización implica para el desarrollo de los países pobres. A pesar de ello, la mayoría de esas naciones desean seguir en la OMC, pues la consideran un mal menor, en la medida en que les permite hacerse oír dentro del sistema comercial internacional: teóricamente cada Estado dispone de un voto. La OMC les brinda un mínimo de protección respecto de las presiones bilaterales a favor de la liberalización de sus intercambios con países desarrollados, principalmente con Estados Unidos.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Esa situación podría no durar mucho a causa del resentimiento de los países en desarrollo respecto del real funcionamiento de la OMC: aparentemente “democrática”, esa organización está en realidad dirigida por una oligarquía de países ricos. No sólo porque estos últimos disponen del poder implícito de tratar bien o de amenazar a los más débiles, caso corriente en una democracia compuesta por actores de diferente peso: el problema es que los miembros de la citada oligarquía no se preocupan siquiera de las apariencias, como se puede ver en las reuniones llamadas del “salón verde”, donde los representantes de los países en desarrollo no son siquiera invitados, y a las cuales se les prohíbe el acceso. Esto permite la adopción de prioridades políticas abiertamente favorables a las economías más poderosas.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Si la OMC continua privando a los países pobres de las herramientas necesarias para su desarrollo, no hay que excluir la posibilidad de una retirada masiva de los mismos. A la inversa, esos países podrían tratar de utilizar plenamente los mecanismos democráticos de la organización para tratar de renegociar los parámetros fundamentales. En esa hipótesis, los países más poderosos, y muy particularmente Estados Unidos, que hizo del unilateralismo una doctrina, podrían decidir abandonar la OMC, antes que correr el riesgo de perder en una votación. En ambos casos se habrá terminado con el libre­cambio tal como lo conocemos. Y no será necesariamente algo para lamentar, si se tiene en cuenta el deplorable balance que presenta en las dos últimas décadas.</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 xml:space="preserve">(Ha­Joon Chang - Profesor de la facultad de economía y política </w:t>
      </w:r>
      <w:r>
        <w:rPr>
          <w:rFonts w:ascii="Times New Roman" w:eastAsia="Times New Roman" w:hAnsi="Times New Roman" w:cs="Times New Roman"/>
          <w:color w:val="202124"/>
          <w:sz w:val="24"/>
          <w:szCs w:val="24"/>
          <w:lang w:eastAsia="es-ES"/>
        </w:rPr>
        <w:t xml:space="preserve">de la Universidad de Cambridge - </w:t>
      </w:r>
      <w:r w:rsidRPr="004201A0">
        <w:rPr>
          <w:rFonts w:ascii="Times New Roman" w:eastAsia="Times New Roman" w:hAnsi="Times New Roman" w:cs="Times New Roman"/>
          <w:color w:val="202124"/>
          <w:sz w:val="24"/>
          <w:szCs w:val="24"/>
          <w:lang w:eastAsia="es-ES"/>
        </w:rPr>
        <w:t>Reino Unido)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(1) En un libro casi olvidado, A Plan of the English Commerce (1728), Daniel Defoe, el aut</w:t>
      </w:r>
      <w:r>
        <w:rPr>
          <w:rFonts w:ascii="Times New Roman" w:eastAsia="Times New Roman" w:hAnsi="Times New Roman" w:cs="Times New Roman"/>
          <w:color w:val="202124"/>
          <w:sz w:val="24"/>
          <w:szCs w:val="24"/>
          <w:lang w:eastAsia="es-ES"/>
        </w:rPr>
        <w:t>or de Robinson Crusoe muestra c</w:t>
      </w:r>
      <w:r w:rsidRPr="004201A0">
        <w:rPr>
          <w:rFonts w:ascii="Times New Roman" w:eastAsia="Times New Roman" w:hAnsi="Times New Roman" w:cs="Times New Roman"/>
          <w:color w:val="202124"/>
          <w:sz w:val="24"/>
          <w:szCs w:val="24"/>
          <w:lang w:eastAsia="es-ES"/>
        </w:rPr>
        <w:t>ómo los Tudor, particularmente Enr</w:t>
      </w:r>
      <w:r>
        <w:rPr>
          <w:rFonts w:ascii="Times New Roman" w:eastAsia="Times New Roman" w:hAnsi="Times New Roman" w:cs="Times New Roman"/>
          <w:color w:val="202124"/>
          <w:sz w:val="24"/>
          <w:szCs w:val="24"/>
          <w:lang w:eastAsia="es-ES"/>
        </w:rPr>
        <w:t>ique VII (1485­1509) e Isabel II</w:t>
      </w:r>
      <w:r w:rsidRPr="004201A0">
        <w:rPr>
          <w:rFonts w:ascii="Times New Roman" w:eastAsia="Times New Roman" w:hAnsi="Times New Roman" w:cs="Times New Roman"/>
          <w:color w:val="202124"/>
          <w:sz w:val="24"/>
          <w:szCs w:val="24"/>
          <w:lang w:eastAsia="es-ES"/>
        </w:rPr>
        <w:t xml:space="preserve"> (1558­1603) dotaron a Inglaterra ­durante mucho tiempo dependiente de sus exportaciones de fibra bruta a Holanda­ de la más poderosa industria de lana del mundo, gracias a la intervención deliberada del Estado.</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(2) Esas leyes ­votadas en 1815 por un Parlamento dominado por la aristocracia terrateniente, y a pesar de la oposición de los industriales y de la burguesía urbana­ imponían tasas aduaneras muy altas a las importaciones de trigo del continente.</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val="en-US" w:eastAsia="es-ES"/>
        </w:rPr>
      </w:pPr>
      <w:r w:rsidRPr="004201A0">
        <w:rPr>
          <w:rFonts w:ascii="Times New Roman" w:eastAsia="Times New Roman" w:hAnsi="Times New Roman" w:cs="Times New Roman"/>
          <w:color w:val="202124"/>
          <w:sz w:val="24"/>
          <w:szCs w:val="24"/>
          <w:lang w:val="en-US" w:eastAsia="es-ES"/>
        </w:rPr>
        <w:t>(3) Charles Kindleberger, “Germany’s Overtaking of England, 1806</w:t>
      </w:r>
      <w:r>
        <w:rPr>
          <w:rFonts w:ascii="Times New Roman" w:eastAsia="Times New Roman" w:hAnsi="Times New Roman" w:cs="Times New Roman"/>
          <w:color w:val="202124"/>
          <w:sz w:val="24"/>
          <w:szCs w:val="24"/>
          <w:lang w:val="en-US" w:eastAsia="es-ES"/>
        </w:rPr>
        <w:t xml:space="preserve"> to 1914”, in Economic Response</w:t>
      </w:r>
      <w:r w:rsidRPr="004201A0">
        <w:rPr>
          <w:rFonts w:ascii="Times New Roman" w:eastAsia="Times New Roman" w:hAnsi="Times New Roman" w:cs="Times New Roman"/>
          <w:color w:val="202124"/>
          <w:sz w:val="24"/>
          <w:szCs w:val="24"/>
          <w:lang w:val="en-US" w:eastAsia="es-ES"/>
        </w:rPr>
        <w:t>: Comparative Studies in Trade, Finance and Growth, Harvard University Press, Cambridge, Massachusetts, 1978.</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val="en-US"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(4) Paul Bairoch, Mythes et paradoxes de l’histoire économique, La Découverte, París, 1995.</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(5) Ibid</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(6) Henry Clay era también uno de los dirigentes de la American Colonization Society, fundada en 1817, y quien concibió la idea de crear un hogar nacional en África para los esclavos liberados. De allí viene el nombre de Liberia dado en 1820 a la nueva República de África del Oeste.</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val="en-US" w:eastAsia="es-ES"/>
        </w:rPr>
      </w:pPr>
      <w:r w:rsidRPr="004201A0">
        <w:rPr>
          <w:rFonts w:ascii="Times New Roman" w:eastAsia="Times New Roman" w:hAnsi="Times New Roman" w:cs="Times New Roman"/>
          <w:color w:val="202124"/>
          <w:sz w:val="24"/>
          <w:szCs w:val="24"/>
          <w:lang w:val="en-US" w:eastAsia="es-ES"/>
        </w:rPr>
        <w:t>(7) John Garraty y Mark Carnes, The American Nation. A History of the United States, décima edición, Addison Wesley Longman, Nueva York, 2000.</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val="en-US" w:eastAsia="es-ES"/>
        </w:rPr>
      </w:pP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(8) Ibid</w:t>
      </w:r>
    </w:p>
    <w:p w:rsidR="00772428" w:rsidRPr="004201A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47168C"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4201A0">
        <w:rPr>
          <w:rFonts w:ascii="Times New Roman" w:eastAsia="Times New Roman" w:hAnsi="Times New Roman" w:cs="Times New Roman"/>
          <w:color w:val="202124"/>
          <w:sz w:val="24"/>
          <w:szCs w:val="24"/>
          <w:lang w:eastAsia="es-ES"/>
        </w:rPr>
        <w:t>(9) El Mercosur incluye a Argentina, Brasil, Paraguay y Uruguay. Un acuerdo de libre­cambio (AFTA) vincula igualmente alos países de la Anase: Brunei, Camboya, Indonesia, Laos, Malasia, Myanmar (Birmania), Filipinas, Singapur, Tailandia y Vietnam. Entre estos, sólo Singapur es un país realmente desarrollado, ya que la riqueza de Brunei descansa exclusivamente en el petróleo.</w:t>
      </w:r>
    </w:p>
    <w:p w:rsidR="00772428" w:rsidRDefault="00772428" w:rsidP="00772428">
      <w:pPr>
        <w:shd w:val="clear" w:color="auto" w:fill="FFFFFF"/>
        <w:spacing w:after="0" w:line="240" w:lineRule="auto"/>
        <w:rPr>
          <w:rFonts w:ascii="Arial" w:eastAsia="Times New Roman" w:hAnsi="Arial" w:cs="Arial"/>
          <w:color w:val="202124"/>
          <w:sz w:val="21"/>
          <w:szCs w:val="21"/>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Pr>
          <w:rFonts w:ascii="Times New Roman" w:eastAsia="Times New Roman" w:hAnsi="Times New Roman" w:cs="Times New Roman"/>
          <w:color w:val="202124"/>
          <w:sz w:val="24"/>
          <w:szCs w:val="24"/>
          <w:lang w:eastAsia="es-ES"/>
        </w:rPr>
        <w:t xml:space="preserve">- </w:t>
      </w:r>
      <w:r w:rsidRPr="009F4540">
        <w:rPr>
          <w:rFonts w:ascii="Times New Roman" w:eastAsia="Times New Roman" w:hAnsi="Times New Roman" w:cs="Times New Roman"/>
          <w:color w:val="202124"/>
          <w:sz w:val="24"/>
          <w:szCs w:val="24"/>
          <w:lang w:eastAsia="es-ES"/>
        </w:rPr>
        <w:t>¿</w:t>
      </w:r>
      <w:r w:rsidRPr="009F4540">
        <w:rPr>
          <w:rFonts w:ascii="Times New Roman" w:eastAsia="Times New Roman" w:hAnsi="Times New Roman" w:cs="Times New Roman"/>
          <w:color w:val="202124"/>
          <w:sz w:val="24"/>
          <w:szCs w:val="24"/>
          <w:u w:val="single"/>
          <w:lang w:eastAsia="es-ES"/>
        </w:rPr>
        <w:t>Por qué Adam Smith dudaba con el libre comercio</w:t>
      </w:r>
      <w:r w:rsidRPr="009F4540">
        <w:rPr>
          <w:rFonts w:ascii="Times New Roman" w:eastAsia="Times New Roman" w:hAnsi="Times New Roman" w:cs="Times New Roman"/>
          <w:color w:val="202124"/>
          <w:sz w:val="24"/>
          <w:szCs w:val="24"/>
          <w:lang w:eastAsia="es-ES"/>
        </w:rPr>
        <w:t>?</w:t>
      </w:r>
      <w:r>
        <w:rPr>
          <w:rFonts w:ascii="Times New Roman" w:eastAsia="Times New Roman" w:hAnsi="Times New Roman" w:cs="Times New Roman"/>
          <w:color w:val="202124"/>
          <w:sz w:val="24"/>
          <w:szCs w:val="24"/>
          <w:lang w:eastAsia="es-ES"/>
        </w:rPr>
        <w:t xml:space="preserve"> (Expansión - </w:t>
      </w:r>
      <w:r w:rsidRPr="009F4540">
        <w:rPr>
          <w:rFonts w:ascii="Times New Roman" w:eastAsia="Times New Roman" w:hAnsi="Times New Roman" w:cs="Times New Roman"/>
          <w:b/>
          <w:color w:val="202124"/>
          <w:sz w:val="24"/>
          <w:szCs w:val="24"/>
          <w:lang w:eastAsia="es-ES"/>
        </w:rPr>
        <w:t>13/7/17</w:t>
      </w:r>
      <w:r>
        <w:rPr>
          <w:rFonts w:ascii="Times New Roman" w:eastAsia="Times New Roman" w:hAnsi="Times New Roman" w:cs="Times New Roman"/>
          <w:color w:val="202124"/>
          <w:sz w:val="24"/>
          <w:szCs w:val="24"/>
          <w:lang w:eastAsia="es-ES"/>
        </w:rPr>
        <w:t>)</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Pr>
          <w:rFonts w:ascii="Times New Roman" w:eastAsia="Times New Roman" w:hAnsi="Times New Roman" w:cs="Times New Roman"/>
          <w:color w:val="202124"/>
          <w:sz w:val="24"/>
          <w:szCs w:val="24"/>
          <w:lang w:eastAsia="es-ES"/>
        </w:rPr>
        <w:t>(</w:t>
      </w:r>
      <w:r w:rsidRPr="009F4540">
        <w:rPr>
          <w:rFonts w:ascii="Times New Roman" w:eastAsia="Times New Roman" w:hAnsi="Times New Roman" w:cs="Times New Roman"/>
          <w:color w:val="202124"/>
          <w:sz w:val="24"/>
          <w:szCs w:val="24"/>
          <w:lang w:eastAsia="es-ES"/>
        </w:rPr>
        <w:t>P</w:t>
      </w:r>
      <w:r>
        <w:rPr>
          <w:rFonts w:ascii="Times New Roman" w:eastAsia="Times New Roman" w:hAnsi="Times New Roman" w:cs="Times New Roman"/>
          <w:color w:val="202124"/>
          <w:sz w:val="24"/>
          <w:szCs w:val="24"/>
          <w:lang w:eastAsia="es-ES"/>
        </w:rPr>
        <w:t>or Francisco Cabrillo)</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9F4540">
        <w:rPr>
          <w:rFonts w:ascii="Times New Roman" w:eastAsia="Times New Roman" w:hAnsi="Times New Roman" w:cs="Times New Roman"/>
          <w:color w:val="202124"/>
          <w:sz w:val="24"/>
          <w:szCs w:val="24"/>
          <w:lang w:eastAsia="es-ES"/>
        </w:rPr>
        <w:t>La economía es, sin duda, una de las disciplinas científicas que más han influido en el desarrollo del mundo occidental de los últimos siglos. Aunque las reflexiones sobre problemas relacionados con la creación y la distribución de la riqueza son tan antiguas como la propia humanidad, se acepta, por lo general, que la ciencia económica moderna nació y se consolidó en el siglo XVIII. Y si un economista destacó en el proceso de formación de la nueva disciplina fue, ciertamente, Adam Smith.</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9F4540">
        <w:rPr>
          <w:rFonts w:ascii="Times New Roman" w:eastAsia="Times New Roman" w:hAnsi="Times New Roman" w:cs="Times New Roman"/>
          <w:color w:val="202124"/>
          <w:sz w:val="24"/>
          <w:szCs w:val="24"/>
          <w:lang w:eastAsia="es-ES"/>
        </w:rPr>
        <w:t>Nacido en Kirkcaldy el año 1723, estudió en Glasgow y en Oxford. Tras ejercer como profesor en Escocia durante algunos años, fue contratado para acompañar al joven duque de Buccleugh en su largo tour por el continente europeo. Esto le permitió, entre otras cosas, tomar contacto en Francia con algunos de los economistas más relevantes de la época. Y ya de vuelta en Gran Bretaña en 1766, se dedicó a trabajar en lo que sería su gran obra, La riqueza de las naciones, el libro de economía más importante que se haya escrito nunca.</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9F4540">
        <w:rPr>
          <w:rFonts w:ascii="Times New Roman" w:eastAsia="Times New Roman" w:hAnsi="Times New Roman" w:cs="Times New Roman"/>
          <w:color w:val="202124"/>
          <w:sz w:val="24"/>
          <w:szCs w:val="24"/>
          <w:lang w:eastAsia="es-ES"/>
        </w:rPr>
        <w:t xml:space="preserve">Muchos fueron los campos en los que la obra de Smith sentó las bases de la economía moderna. Pero si una de sus contribuciones debe ser destacada ésta es la teoría que explica cómo la búsqueda del propio interés puede llevar a un resultado óptimo desde el punto de </w:t>
      </w:r>
      <w:r w:rsidRPr="009F4540">
        <w:rPr>
          <w:rFonts w:ascii="Times New Roman" w:eastAsia="Times New Roman" w:hAnsi="Times New Roman" w:cs="Times New Roman"/>
          <w:color w:val="202124"/>
          <w:sz w:val="24"/>
          <w:szCs w:val="24"/>
          <w:lang w:eastAsia="es-ES"/>
        </w:rPr>
        <w:lastRenderedPageBreak/>
        <w:t>vista social mediante el mecanismo del mercado. Es su famosa parábola de la mano invisible. Y esta idea tan simple permite explicar de forma convincente algunos de los problemas económicos fundamentales de nuestro tiempo. Por poner sólo un ejemplo, si la teoría de la mano invisible es cierta, el papel que le corresponde desempeñar al sector público, tanto en su función de regulador como en su función de suministrador de bienes públicos, es, necesariamente, reducido.</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9F4540">
        <w:rPr>
          <w:rFonts w:ascii="Times New Roman" w:eastAsia="Times New Roman" w:hAnsi="Times New Roman" w:cs="Times New Roman"/>
          <w:color w:val="202124"/>
          <w:sz w:val="24"/>
          <w:szCs w:val="24"/>
          <w:lang w:eastAsia="es-ES"/>
        </w:rPr>
        <w:t>Y el modelo se puede aplicar también a otra de las cuestiones más discutidas en economía en los dos últimos siglos: el papel que desempeña el comercio internacional libre en el desarrollo y la prosperidad de las naciones. Frente a la tradición mercantilista que consideraba que el comercio entre países es un juego de suma cero, en el que lo que uno gana supone necesariamente una pérdida para el otro, Smith demostró que las restricciones al comercio suponen costes relevantes al mismo país que las establece y frenan su crecimiento económico.</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9F4540">
        <w:rPr>
          <w:rFonts w:ascii="Times New Roman" w:eastAsia="Times New Roman" w:hAnsi="Times New Roman" w:cs="Times New Roman"/>
          <w:color w:val="202124"/>
          <w:sz w:val="24"/>
          <w:szCs w:val="24"/>
          <w:lang w:eastAsia="es-ES"/>
        </w:rPr>
        <w:t>Pese a la gran importancia de esta idea, nuestro economista tenía tan poca fe en el triunfo del libre comercio internacional en su propio país, que llegó a afirmar que lo consideraba tan alejado de la realidad británica como el establecimiento de una Océana o de una Utopía, en referencia a las conocidas obras de Harrington y Moro. Pero no hubo que esperar tanto tiempo para que sus ideas alcanzaran un éxito mucho mayor que el que él mismo había imaginado. Setenta años después de la publicación de La riqueza de las naciones, Gran Bretaña daba el gran paso hacia el librecambio, que constituiría una de las bases de su prosperidad en la segunda mitad del siglo XIX.</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9F4540">
        <w:rPr>
          <w:rFonts w:ascii="Times New Roman" w:eastAsia="Times New Roman" w:hAnsi="Times New Roman" w:cs="Times New Roman"/>
          <w:color w:val="202124"/>
          <w:sz w:val="24"/>
          <w:szCs w:val="24"/>
          <w:lang w:eastAsia="es-ES"/>
        </w:rPr>
        <w:t>En momentos como los actuales, en los que nos enfrentamos a un renacimiento del nacionalismo y a un nuevo auge de las críticas al comercio internacional libre, tanto en la izquierda como en la derecha política, este ejemplo histórico resulta estimulante. Los pueblos -y, desde luego, los políticos- hacen, a menudo, cosas absurdas. Pero las buenas ideas no mueren y, con el tiempo, se volverá a aceptar que era Adam Smith quien tenía razón.</w:t>
      </w:r>
    </w:p>
    <w:p w:rsidR="00772428" w:rsidRPr="009F4540"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Pr>
          <w:rFonts w:ascii="Times New Roman" w:eastAsia="Times New Roman" w:hAnsi="Times New Roman" w:cs="Times New Roman"/>
          <w:color w:val="202124"/>
          <w:sz w:val="24"/>
          <w:szCs w:val="24"/>
          <w:lang w:eastAsia="es-ES"/>
        </w:rPr>
        <w:t>(</w:t>
      </w:r>
      <w:r w:rsidRPr="009F4540">
        <w:rPr>
          <w:rFonts w:ascii="Times New Roman" w:eastAsia="Times New Roman" w:hAnsi="Times New Roman" w:cs="Times New Roman"/>
          <w:color w:val="202124"/>
          <w:sz w:val="24"/>
          <w:szCs w:val="24"/>
          <w:lang w:eastAsia="es-ES"/>
        </w:rPr>
        <w:t>Francisco Cabrillo es catedrático de Economía de la Universidad Complutense</w:t>
      </w:r>
      <w:r>
        <w:rPr>
          <w:rFonts w:ascii="Times New Roman" w:eastAsia="Times New Roman" w:hAnsi="Times New Roman" w:cs="Times New Roman"/>
          <w:color w:val="202124"/>
          <w:sz w:val="24"/>
          <w:szCs w:val="24"/>
          <w:lang w:eastAsia="es-ES"/>
        </w:rPr>
        <w:t>)</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EF5998">
        <w:rPr>
          <w:rFonts w:ascii="Times New Roman" w:eastAsia="Times New Roman" w:hAnsi="Times New Roman" w:cs="Times New Roman"/>
          <w:b/>
          <w:color w:val="202124"/>
          <w:sz w:val="24"/>
          <w:szCs w:val="24"/>
          <w:lang w:eastAsia="es-ES"/>
        </w:rPr>
        <w:t>Nota</w:t>
      </w:r>
      <w:r>
        <w:rPr>
          <w:rFonts w:ascii="Times New Roman" w:eastAsia="Times New Roman" w:hAnsi="Times New Roman" w:cs="Times New Roman"/>
          <w:color w:val="202124"/>
          <w:sz w:val="24"/>
          <w:szCs w:val="24"/>
          <w:lang w:eastAsia="es-ES"/>
        </w:rPr>
        <w:t xml:space="preserve">: En un Paper anterior: </w:t>
      </w:r>
      <w:r w:rsidRPr="00CB6CC5">
        <w:rPr>
          <w:rFonts w:ascii="Times New Roman" w:eastAsia="Times New Roman" w:hAnsi="Times New Roman" w:cs="Times New Roman"/>
          <w:b/>
          <w:color w:val="202124"/>
          <w:sz w:val="24"/>
          <w:szCs w:val="24"/>
          <w:lang w:eastAsia="es-ES"/>
        </w:rPr>
        <w:t>“El día que Smith lloró”</w:t>
      </w:r>
      <w:r>
        <w:rPr>
          <w:rFonts w:ascii="Times New Roman" w:eastAsia="Times New Roman" w:hAnsi="Times New Roman" w:cs="Times New Roman"/>
          <w:color w:val="202124"/>
          <w:sz w:val="24"/>
          <w:szCs w:val="24"/>
          <w:lang w:eastAsia="es-ES"/>
        </w:rPr>
        <w:t xml:space="preserve">, publicado el </w:t>
      </w:r>
      <w:r w:rsidRPr="00CB6CC5">
        <w:rPr>
          <w:rFonts w:ascii="Times New Roman" w:eastAsia="Times New Roman" w:hAnsi="Times New Roman" w:cs="Times New Roman"/>
          <w:b/>
          <w:color w:val="202124"/>
          <w:sz w:val="24"/>
          <w:szCs w:val="24"/>
          <w:lang w:eastAsia="es-ES"/>
        </w:rPr>
        <w:t>24/5/2004</w:t>
      </w:r>
      <w:r>
        <w:rPr>
          <w:rFonts w:ascii="Times New Roman" w:eastAsia="Times New Roman" w:hAnsi="Times New Roman" w:cs="Times New Roman"/>
          <w:color w:val="202124"/>
          <w:sz w:val="24"/>
          <w:szCs w:val="24"/>
          <w:lang w:eastAsia="es-ES"/>
        </w:rPr>
        <w:t xml:space="preserve">, decía: </w:t>
      </w:r>
      <w:r w:rsidRPr="00D56B5F">
        <w:rPr>
          <w:rFonts w:ascii="Times New Roman" w:eastAsia="Times New Roman" w:hAnsi="Times New Roman" w:cs="Times New Roman"/>
          <w:color w:val="202124"/>
          <w:sz w:val="24"/>
          <w:szCs w:val="24"/>
          <w:lang w:eastAsia="es-ES"/>
        </w:rPr>
        <w:t>Un enemigo del liberalismo, por lo común, oye el nombre de Smith y ya no escucha. Supone que Smith fue un promotor de la injusticia social. No quiere, por lo tanto, perder tiempo en conocer sus opiniones.</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Un liberal, de esos que nunca han leído a Smith, lo invoca a menudo. Supone que Smith era un defensor incondicional del mercado. No lo lee porque cree conocer (y compartir) todo cuanto escribió.</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Uno y otro, el enemigo del liberalismo y el liberal- se sorprenderán al saber que, a juicio de Smith, hay que limitar las grandes ganancias, atacar al latifundio, alejar a los empresarios del gobierno, proteger a las industrias estratégicas y condicionar la liberación del comercio exterior.</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Esos son, por cierto, aspectos parciales del pensamiento de Smith. No hay duda que “La riqueza de las naciones” es un libro consagrado a predicar la libertad económica y recomendar la mínima interferencia del Estado. Sin embargo, Smith no fue un dogmático. Ni un burdo materialista. Tampoco un simplificador.</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lastRenderedPageBreak/>
        <w:t>Cualquiera que haya leído aquel libro (y su otra obra maestra, “Teoría de los sentimientos morales”) sabe que Smith nada tiene que ver con la caricatura que, hoy, unos atacan y otros veneran</w:t>
      </w:r>
      <w:r>
        <w:rPr>
          <w:rFonts w:ascii="Times New Roman" w:eastAsia="Times New Roman" w:hAnsi="Times New Roman" w:cs="Times New Roman"/>
          <w:color w:val="202124"/>
          <w:sz w:val="24"/>
          <w:szCs w:val="24"/>
          <w:lang w:eastAsia="es-ES"/>
        </w:rPr>
        <w:t>…</w:t>
      </w: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Grupos económicos muy reducidos (</w:t>
      </w:r>
      <w:r>
        <w:rPr>
          <w:rFonts w:ascii="Times New Roman" w:eastAsia="Times New Roman" w:hAnsi="Times New Roman" w:cs="Times New Roman"/>
          <w:color w:val="202124"/>
          <w:sz w:val="24"/>
          <w:szCs w:val="24"/>
          <w:lang w:eastAsia="es-ES"/>
        </w:rPr>
        <w:t>¿</w:t>
      </w:r>
      <w:r w:rsidRPr="00D56B5F">
        <w:rPr>
          <w:rFonts w:ascii="Times New Roman" w:eastAsia="Times New Roman" w:hAnsi="Times New Roman" w:cs="Times New Roman"/>
          <w:color w:val="202124"/>
          <w:sz w:val="24"/>
          <w:szCs w:val="24"/>
          <w:lang w:eastAsia="es-ES"/>
        </w:rPr>
        <w:t>meno</w:t>
      </w:r>
      <w:r>
        <w:rPr>
          <w:rFonts w:ascii="Times New Roman" w:eastAsia="Times New Roman" w:hAnsi="Times New Roman" w:cs="Times New Roman"/>
          <w:color w:val="202124"/>
          <w:sz w:val="24"/>
          <w:szCs w:val="24"/>
          <w:lang w:eastAsia="es-ES"/>
        </w:rPr>
        <w:t>s de 500 familias en el mundo? ¿</w:t>
      </w:r>
      <w:r w:rsidRPr="00D56B5F">
        <w:rPr>
          <w:rFonts w:ascii="Times New Roman" w:eastAsia="Times New Roman" w:hAnsi="Times New Roman" w:cs="Times New Roman"/>
          <w:color w:val="202124"/>
          <w:sz w:val="24"/>
          <w:szCs w:val="24"/>
          <w:lang w:eastAsia="es-ES"/>
        </w:rPr>
        <w:t>menos de 500 empresas en el mundo?) tienen el mayor poder jamás alcanzado. Y no asumen ningún tipo de responsabilidad económica, social y ecológica, que vaya más allá de la optimización de sus propios intereses.</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 xml:space="preserve">Dice Paul Krugman (De vuelta a la </w:t>
      </w:r>
      <w:r>
        <w:rPr>
          <w:rFonts w:ascii="Times New Roman" w:eastAsia="Times New Roman" w:hAnsi="Times New Roman" w:cs="Times New Roman"/>
          <w:color w:val="202124"/>
          <w:sz w:val="24"/>
          <w:szCs w:val="24"/>
          <w:lang w:eastAsia="es-ES"/>
        </w:rPr>
        <w:t>economía de la Gran Depresión -</w:t>
      </w:r>
      <w:r w:rsidRPr="00D56B5F">
        <w:rPr>
          <w:rFonts w:ascii="Times New Roman" w:eastAsia="Times New Roman" w:hAnsi="Times New Roman" w:cs="Times New Roman"/>
          <w:color w:val="202124"/>
          <w:sz w:val="24"/>
          <w:szCs w:val="24"/>
          <w:lang w:eastAsia="es-ES"/>
        </w:rPr>
        <w:t xml:space="preserve"> 1999): “Por primera vez desde 1917, vivimos en un mundo en que los derechos de propiedad y los mercados libres se ven como principios fundamentales, no como expedientes mezquinos, donde los aspectos desagradables del sistema de mercado, la desigualdad, el desempleo, la injusticia, se aceptan como parte de la vida. Como en la era victoriana el capitalismo está seguro, no sólo debido a sus éxitos que han sido muy reales, sino porque nadie tiene una alternativa verosímil”…</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 xml:space="preserve">La otra cara de la moneda son las </w:t>
      </w:r>
      <w:r>
        <w:rPr>
          <w:rFonts w:ascii="Times New Roman" w:eastAsia="Times New Roman" w:hAnsi="Times New Roman" w:cs="Times New Roman"/>
          <w:color w:val="202124"/>
          <w:sz w:val="24"/>
          <w:szCs w:val="24"/>
          <w:lang w:eastAsia="es-ES"/>
        </w:rPr>
        <w:t>enormes masas de población -</w:t>
      </w:r>
      <w:r w:rsidRPr="00D56B5F">
        <w:rPr>
          <w:rFonts w:ascii="Times New Roman" w:eastAsia="Times New Roman" w:hAnsi="Times New Roman" w:cs="Times New Roman"/>
          <w:color w:val="202124"/>
          <w:sz w:val="24"/>
          <w:szCs w:val="24"/>
          <w:lang w:eastAsia="es-ES"/>
        </w:rPr>
        <w:t>incluso en los llamados “países ricos”- alienadas, desasistidas, desesperanzadas, desidealizadas, despolitizadas, sumergidas (o en vías de serlo), analfabetizadas, ilotizadas, para llegar en las naciones pobres del mundo al hambre, la miseria, las plagas, éxodos y luchas tribales.</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Se ha roto la esperanza de progreso económico. El proceso de globalización,</w:t>
      </w:r>
      <w:r>
        <w:rPr>
          <w:rFonts w:ascii="Times New Roman" w:eastAsia="Times New Roman" w:hAnsi="Times New Roman" w:cs="Times New Roman"/>
          <w:color w:val="202124"/>
          <w:sz w:val="24"/>
          <w:szCs w:val="24"/>
          <w:lang w:eastAsia="es-ES"/>
        </w:rPr>
        <w:t xml:space="preserve"> competitividad y rentabilidad -</w:t>
      </w:r>
      <w:r w:rsidRPr="00D56B5F">
        <w:rPr>
          <w:rFonts w:ascii="Times New Roman" w:eastAsia="Times New Roman" w:hAnsi="Times New Roman" w:cs="Times New Roman"/>
          <w:color w:val="202124"/>
          <w:sz w:val="24"/>
          <w:szCs w:val="24"/>
          <w:lang w:eastAsia="es-ES"/>
        </w:rPr>
        <w:t>especulativa- de corto plazo ha quebrado la secuencia lógica de la evolución capitalista. Hoy crecen los beneficios empresariales pero no se transfieren a los trabajadores. Las mejoras de productividad han concluido en menores remuneraciones y empleo, aunque en mayores dividendos y honorarios de directores.</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El dinero se mueve, pero sólo para producir más dinero y no bienes.</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La economía de especulación ha reemplazado a la de producción. El juego se ha reducido a unos pocos, ya no se necesita el mercado masivo, y tampoco demasiadas manufacturas. Estamos viviendo una economía “virtual”, sin fábricas, sin bienes, y sin trabajadores.</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La economía fi</w:t>
      </w:r>
      <w:r>
        <w:rPr>
          <w:rFonts w:ascii="Times New Roman" w:eastAsia="Times New Roman" w:hAnsi="Times New Roman" w:cs="Times New Roman"/>
          <w:color w:val="202124"/>
          <w:sz w:val="24"/>
          <w:szCs w:val="24"/>
          <w:lang w:eastAsia="es-ES"/>
        </w:rPr>
        <w:t>nanciera global deja al margen -</w:t>
      </w:r>
      <w:r w:rsidRPr="00D56B5F">
        <w:rPr>
          <w:rFonts w:ascii="Times New Roman" w:eastAsia="Times New Roman" w:hAnsi="Times New Roman" w:cs="Times New Roman"/>
          <w:color w:val="202124"/>
          <w:sz w:val="24"/>
          <w:szCs w:val="24"/>
          <w:lang w:eastAsia="es-ES"/>
        </w:rPr>
        <w:t>excluye, ignora, anula, o se libera de toda responsabilidad- al hombre, al medioambiente, a la democracia, a la cultura, y a la verdad.</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Por todo eso “lloró” Adam Smith…</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 xml:space="preserve">Pero de todos los “excluidos”, los “olvidados” y los “ignorados” por la globalización, de todo lo dejado “al margen” de la globalización, lo que más repugnó sus “sentimientos morales”, fue la negación de la “verdad”. </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Término magno, inabarcable, inalcanzable. No obstante ello, los fundamentalistas del mercado la tienen, la proclaman, nos la imponen. Los “bastardos de Voltaire” (como los llama Ralston Saul) han dispuesto “el fin de la historia”, han “establecido” el pensamiento único, o en el límite, han “negado” el intelecto, al llevar todo análisis, todo debate, toda duda, al pensamiento “cero” (digno de Bu$h, por otra parte).</w:t>
      </w:r>
    </w:p>
    <w:p w:rsidR="00772428" w:rsidRPr="00D56B5F"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p>
    <w:p w:rsidR="00772428" w:rsidRDefault="00772428" w:rsidP="00772428">
      <w:pPr>
        <w:shd w:val="clear" w:color="auto" w:fill="FFFFFF"/>
        <w:spacing w:after="0" w:line="240" w:lineRule="auto"/>
        <w:jc w:val="both"/>
        <w:rPr>
          <w:rFonts w:ascii="Times New Roman" w:eastAsia="Times New Roman" w:hAnsi="Times New Roman" w:cs="Times New Roman"/>
          <w:color w:val="202124"/>
          <w:sz w:val="24"/>
          <w:szCs w:val="24"/>
          <w:lang w:eastAsia="es-ES"/>
        </w:rPr>
      </w:pPr>
      <w:r w:rsidRPr="00D56B5F">
        <w:rPr>
          <w:rFonts w:ascii="Times New Roman" w:eastAsia="Times New Roman" w:hAnsi="Times New Roman" w:cs="Times New Roman"/>
          <w:color w:val="202124"/>
          <w:sz w:val="24"/>
          <w:szCs w:val="24"/>
          <w:lang w:eastAsia="es-ES"/>
        </w:rPr>
        <w:t>De eso se trata, de no pensar, de asumir la “verdad” neoliberal como un hecho natural, absoluto, incontrastable, definitivo, e irreversible</w:t>
      </w:r>
      <w:r>
        <w:rPr>
          <w:rFonts w:ascii="Times New Roman" w:eastAsia="Times New Roman" w:hAnsi="Times New Roman" w:cs="Times New Roman"/>
          <w:color w:val="202124"/>
          <w:sz w:val="24"/>
          <w:szCs w:val="24"/>
          <w:lang w:eastAsia="es-ES"/>
        </w:rPr>
        <w:t>…</w:t>
      </w:r>
    </w:p>
    <w:p w:rsidR="00772428" w:rsidRPr="00EF5998" w:rsidRDefault="00772428" w:rsidP="00772428">
      <w:pPr>
        <w:spacing w:line="240" w:lineRule="auto"/>
        <w:jc w:val="both"/>
        <w:rPr>
          <w:rFonts w:ascii="Times New Roman" w:hAnsi="Times New Roman" w:cs="Times New Roman"/>
          <w:b/>
          <w:sz w:val="24"/>
          <w:szCs w:val="24"/>
        </w:rPr>
      </w:pPr>
      <w:r w:rsidRPr="00EF5998">
        <w:rPr>
          <w:rFonts w:ascii="Times New Roman" w:hAnsi="Times New Roman" w:cs="Times New Roman"/>
          <w:b/>
          <w:sz w:val="24"/>
          <w:szCs w:val="24"/>
        </w:rPr>
        <w:lastRenderedPageBreak/>
        <w:t>- El libro de los records (señales de alarma)</w:t>
      </w:r>
    </w:p>
    <w:p w:rsidR="00772428" w:rsidRDefault="00772428" w:rsidP="0077242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772428">
        <w:rPr>
          <w:rFonts w:ascii="Times New Roman" w:eastAsia="Times New Roman" w:hAnsi="Times New Roman" w:cs="Times New Roman"/>
          <w:noProof/>
          <w:sz w:val="24"/>
          <w:szCs w:val="24"/>
          <w:lang w:val="en-GB" w:eastAsia="zh-CN"/>
        </w:rPr>
        <w:drawing>
          <wp:inline distT="0" distB="0" distL="0" distR="0">
            <wp:extent cx="5729751" cy="29210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921897"/>
                    </a:xfrm>
                    <a:prstGeom prst="rect">
                      <a:avLst/>
                    </a:prstGeom>
                  </pic:spPr>
                </pic:pic>
              </a:graphicData>
            </a:graphic>
          </wp:inline>
        </w:drawing>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A mi edad (78 años), y como un economista “millonario en derrotas”, sigo creyendo en la definición clásica: “</w:t>
      </w:r>
      <w:r w:rsidRPr="001A1B6C">
        <w:rPr>
          <w:rFonts w:ascii="Times New Roman" w:hAnsi="Times New Roman" w:cs="Times New Roman"/>
          <w:sz w:val="24"/>
          <w:szCs w:val="24"/>
        </w:rPr>
        <w:t>La economía es la ciencia que se encarga del estudio de la satisfacción de las necesidades humanas mediante bienes que, siendo escasos, tienen usos alternativos</w:t>
      </w:r>
      <w:r>
        <w:rPr>
          <w:rFonts w:ascii="Times New Roman" w:hAnsi="Times New Roman" w:cs="Times New Roman"/>
          <w:sz w:val="24"/>
          <w:szCs w:val="24"/>
        </w:rPr>
        <w:t xml:space="preserve"> entre los cuales hay que optar” (Lionel Robbins), por lo que puedo quedar fuera de cualquier concepción alquimista, disruptiva, virtual, no productiva, o de casino, de la ciencia lúgubre.</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ello, me permito hacer un repaso crítico de los principales fracasos de la economía financiera, especulativa, desregulada, privatizada, librecambista, multilateral, globalizada… desde el año 1980 (Donald Reagan - Margaret </w:t>
      </w:r>
      <w:r w:rsidRPr="00185907">
        <w:rPr>
          <w:rFonts w:ascii="Times New Roman" w:hAnsi="Times New Roman" w:cs="Times New Roman"/>
          <w:sz w:val="24"/>
          <w:szCs w:val="24"/>
        </w:rPr>
        <w:t>Thatcher</w:t>
      </w:r>
      <w:r>
        <w:rPr>
          <w:rFonts w:ascii="Times New Roman" w:hAnsi="Times New Roman" w:cs="Times New Roman"/>
          <w:sz w:val="24"/>
          <w:szCs w:val="24"/>
        </w:rPr>
        <w:t>), hasta finales del año 2022 (crisis post pandemia, corte de las cadenas de suministro, invasión de Ucrania por Rusia, chantaje energético, inflación… y lo que queda por venir).</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w:t>
      </w:r>
      <w:r w:rsidRPr="00321E28">
        <w:rPr>
          <w:rFonts w:ascii="Times New Roman" w:hAnsi="Times New Roman" w:cs="Times New Roman"/>
          <w:sz w:val="24"/>
          <w:szCs w:val="24"/>
        </w:rPr>
        <w:t>sin ánimo d</w:t>
      </w:r>
      <w:r>
        <w:rPr>
          <w:rFonts w:ascii="Times New Roman" w:hAnsi="Times New Roman" w:cs="Times New Roman"/>
          <w:sz w:val="24"/>
          <w:szCs w:val="24"/>
        </w:rPr>
        <w:t>e ser exhaustivos los hechos son los siguientes”…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Crisis de las hipote</w:t>
      </w:r>
      <w:r w:rsidRPr="00321E28">
        <w:rPr>
          <w:rFonts w:ascii="Times New Roman" w:hAnsi="Times New Roman" w:cs="Times New Roman"/>
          <w:sz w:val="24"/>
          <w:szCs w:val="24"/>
        </w:rPr>
        <w:t>cas subprime</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Quiebra de Lehman Brothers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Crisis  financiera del año 2008 </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Alta expansión monetaria (I)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Incremento del déficit y la deuda pública (I)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Socialización de las pérdidas (I)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Monetización de la deuda (I)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Represión financiera (I)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China, la fábrica del mundo</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Creación de una sociedad adicta (yonki) de las redes sociales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13AD0">
        <w:rPr>
          <w:rFonts w:ascii="Times New Roman" w:hAnsi="Times New Roman" w:cs="Times New Roman"/>
          <w:sz w:val="24"/>
          <w:szCs w:val="24"/>
        </w:rPr>
        <w:t>El metaverso, las criptomonedas y demás blufs tecnológicos que vendrán</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El establishment no quiere una sociedad culta, prefiere clientes y consumidores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Las grandes empresas tecnológicas no pagan impuestos donde realizan sus operaciones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Crisis sanitaria del año 2020</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Falta de suministros sanitarios básicos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Alta expansión monetaria (II)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Incremento del déficit y la deuda pública (II)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Socialización de las pérdidas (II)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Monetización de la deuda (II)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Represión financiera (II)</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Corte de la cadena de suministros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Falta de materias primas, productos agrícolas, y recursos energéticos</w:t>
      </w:r>
    </w:p>
    <w:p w:rsidR="00E53855" w:rsidRDefault="00E53855" w:rsidP="00E53855">
      <w:pPr>
        <w:spacing w:line="240" w:lineRule="auto"/>
        <w:jc w:val="both"/>
        <w:rPr>
          <w:rFonts w:ascii="Times New Roman" w:hAnsi="Times New Roman" w:cs="Times New Roman"/>
          <w:sz w:val="24"/>
          <w:szCs w:val="24"/>
        </w:rPr>
      </w:pPr>
      <w:r>
        <w:rPr>
          <w:rFonts w:ascii="Times New Roman" w:hAnsi="Times New Roman" w:cs="Times New Roman"/>
          <w:sz w:val="24"/>
          <w:szCs w:val="24"/>
        </w:rPr>
        <w:t>- Estallido inflacionario…</w:t>
      </w:r>
    </w:p>
    <w:p w:rsidR="00E53855" w:rsidRPr="00982D9E" w:rsidRDefault="00E53855" w:rsidP="00E53855">
      <w:pPr>
        <w:spacing w:line="240" w:lineRule="auto"/>
        <w:jc w:val="both"/>
        <w:rPr>
          <w:rStyle w:val="Textoennegrita"/>
          <w:rFonts w:ascii="Times New Roman" w:hAnsi="Times New Roman" w:cs="Times New Roman"/>
          <w:sz w:val="24"/>
          <w:szCs w:val="24"/>
          <w:shd w:val="clear" w:color="auto" w:fill="FFFFFF"/>
        </w:rPr>
      </w:pPr>
      <w:r w:rsidRPr="00982D9E">
        <w:rPr>
          <w:rStyle w:val="Textoennegrita"/>
          <w:rFonts w:ascii="Times New Roman" w:hAnsi="Times New Roman" w:cs="Times New Roman"/>
          <w:sz w:val="24"/>
          <w:szCs w:val="24"/>
          <w:shd w:val="clear" w:color="auto" w:fill="FFFFFF"/>
        </w:rPr>
        <w:t>Financierizacióny algo más (el lado oculto del librecambio</w:t>
      </w:r>
      <w:r>
        <w:rPr>
          <w:rStyle w:val="Textoennegrita"/>
          <w:rFonts w:ascii="Times New Roman" w:hAnsi="Times New Roman" w:cs="Times New Roman"/>
          <w:sz w:val="24"/>
          <w:szCs w:val="24"/>
          <w:shd w:val="clear" w:color="auto" w:fill="FFFFFF"/>
        </w:rPr>
        <w:t>: la mano que mece la cuna</w:t>
      </w:r>
      <w:r w:rsidRPr="00982D9E">
        <w:rPr>
          <w:rStyle w:val="Textoennegrita"/>
          <w:rFonts w:ascii="Times New Roman" w:hAnsi="Times New Roman" w:cs="Times New Roman"/>
          <w:sz w:val="24"/>
          <w:szCs w:val="24"/>
          <w:shd w:val="clear" w:color="auto" w:fill="FFFFFF"/>
        </w:rPr>
        <w:t>)</w:t>
      </w:r>
    </w:p>
    <w:p w:rsidR="00E53855" w:rsidRPr="00C26B90" w:rsidRDefault="00E53855" w:rsidP="00E53855">
      <w:pPr>
        <w:spacing w:line="240" w:lineRule="auto"/>
        <w:jc w:val="both"/>
        <w:rPr>
          <w:rStyle w:val="Textoennegrita"/>
          <w:rFonts w:ascii="Times New Roman" w:hAnsi="Times New Roman" w:cs="Times New Roman"/>
          <w:sz w:val="24"/>
          <w:szCs w:val="24"/>
          <w:shd w:val="clear" w:color="auto" w:fill="FFFFFF"/>
        </w:rPr>
      </w:pPr>
      <w:r w:rsidRPr="00982D9E">
        <w:rPr>
          <w:rStyle w:val="Textoennegrita"/>
          <w:rFonts w:ascii="Times New Roman" w:hAnsi="Times New Roman" w:cs="Times New Roman"/>
          <w:sz w:val="24"/>
          <w:szCs w:val="24"/>
          <w:shd w:val="clear" w:color="auto" w:fill="FFFFFF"/>
        </w:rPr>
        <w:t>Los diez mayores escándalos financieros de la historia</w:t>
      </w:r>
      <w:r w:rsidRPr="00F31E49">
        <w:rPr>
          <w:rStyle w:val="Textoennegrita"/>
          <w:rFonts w:ascii="Times New Roman" w:hAnsi="Times New Roman" w:cs="Times New Roman"/>
          <w:sz w:val="24"/>
          <w:szCs w:val="24"/>
          <w:shd w:val="clear" w:color="auto" w:fill="FFFFFF"/>
        </w:rPr>
        <w:t xml:space="preserve">(Fuente: Informe de EstafaOnline - </w:t>
      </w:r>
      <w:r w:rsidRPr="000444C6">
        <w:rPr>
          <w:rStyle w:val="Textoennegrita"/>
          <w:rFonts w:ascii="Times New Roman" w:hAnsi="Times New Roman" w:cs="Times New Roman"/>
          <w:sz w:val="24"/>
          <w:szCs w:val="24"/>
          <w:shd w:val="clear" w:color="auto" w:fill="FFFFFF"/>
        </w:rPr>
        <w:t>28/3/19</w:t>
      </w:r>
      <w:r w:rsidRPr="00F31E49">
        <w:rPr>
          <w:rStyle w:val="Textoennegrita"/>
          <w:rFonts w:ascii="Times New Roman" w:hAnsi="Times New Roman" w:cs="Times New Roman"/>
          <w:sz w:val="24"/>
          <w:szCs w:val="24"/>
          <w:shd w:val="clear" w:color="auto" w:fill="FFFFFF"/>
        </w:rPr>
        <w:t>)</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Los números revelan cómo estas irregularidades, pueden afectar a miles de millones de empleados, consumidores y ciudadanos de todo el mundo</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Los casos incluidos en este estudio son tanto anteriores como posteriores a la crisis financiera de 2008, y totalizan 176.000 millones de euros</w:t>
      </w:r>
    </w:p>
    <w:p w:rsidR="00E53855"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Cuando el banco de inversión Lehman Brothers fue declarado insolvente en 2008, no solo los acreedores perdieron alrededor de 5.300 millones de euros, sino que la economía mundial y la</w:t>
      </w:r>
      <w:r>
        <w:rPr>
          <w:rStyle w:val="Textoennegrita"/>
          <w:rFonts w:ascii="Times New Roman" w:hAnsi="Times New Roman" w:cs="Times New Roman"/>
          <w:sz w:val="24"/>
          <w:szCs w:val="24"/>
          <w:shd w:val="clear" w:color="auto" w:fill="FFFFFF"/>
        </w:rPr>
        <w:t>s</w:t>
      </w:r>
      <w:r w:rsidRPr="00982D9E">
        <w:rPr>
          <w:rStyle w:val="Textoennegrita"/>
          <w:rFonts w:ascii="Times New Roman" w:hAnsi="Times New Roman" w:cs="Times New Roman"/>
          <w:sz w:val="24"/>
          <w:szCs w:val="24"/>
          <w:shd w:val="clear" w:color="auto" w:fill="FFFFFF"/>
        </w:rPr>
        <w:t xml:space="preserve"> sociedades se enfrentaron a uno de los mayores retos de las últimas décadas. </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Un estudio de Estafa Online ha clasificado los diez fraudes empresariales más impor</w:t>
      </w:r>
      <w:r>
        <w:rPr>
          <w:rStyle w:val="Textoennegrita"/>
          <w:rFonts w:ascii="Times New Roman" w:hAnsi="Times New Roman" w:cs="Times New Roman"/>
          <w:sz w:val="24"/>
          <w:szCs w:val="24"/>
          <w:shd w:val="clear" w:color="auto" w:fill="FFFFFF"/>
        </w:rPr>
        <w:t>tantes según su impacto fiscal (d</w:t>
      </w:r>
      <w:r w:rsidRPr="00982D9E">
        <w:rPr>
          <w:rStyle w:val="Textoennegrita"/>
          <w:rFonts w:ascii="Times New Roman" w:hAnsi="Times New Roman" w:cs="Times New Roman"/>
          <w:sz w:val="24"/>
          <w:szCs w:val="24"/>
          <w:shd w:val="clear" w:color="auto" w:fill="FFFFFF"/>
        </w:rPr>
        <w:t>iez años después del inicio de la crisis financiera a nivel mundial</w:t>
      </w:r>
      <w:r>
        <w:rPr>
          <w:rStyle w:val="Textoennegrita"/>
          <w:rFonts w:ascii="Times New Roman" w:hAnsi="Times New Roman" w:cs="Times New Roman"/>
          <w:sz w:val="24"/>
          <w:szCs w:val="24"/>
          <w:shd w:val="clear" w:color="auto" w:fill="FFFFFF"/>
        </w:rPr>
        <w:t>).</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Los casos incluidos en este estudio son tanto anteriores como posteriores a la crisis financiera de 2008, y totalizan 176.0</w:t>
      </w:r>
      <w:r>
        <w:rPr>
          <w:rStyle w:val="Textoennegrita"/>
          <w:rFonts w:ascii="Times New Roman" w:hAnsi="Times New Roman" w:cs="Times New Roman"/>
          <w:sz w:val="24"/>
          <w:szCs w:val="24"/>
          <w:shd w:val="clear" w:color="auto" w:fill="FFFFFF"/>
        </w:rPr>
        <w:t>00 millones de euros estafados:</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1. Enron: e</w:t>
      </w:r>
      <w:r>
        <w:rPr>
          <w:rStyle w:val="Textoennegrita"/>
          <w:rFonts w:ascii="Times New Roman" w:hAnsi="Times New Roman" w:cs="Times New Roman"/>
          <w:sz w:val="24"/>
          <w:szCs w:val="24"/>
          <w:shd w:val="clear" w:color="auto" w:fill="FFFFFF"/>
        </w:rPr>
        <w:t>l mayor fraude fiscal de EEUU</w:t>
      </w:r>
    </w:p>
    <w:p w:rsidR="00E53855"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 xml:space="preserve">Los balances falsificados de la empresa energética Enron, ascendían a casi 56.000 millones de euros. Es considerado como el mayor fraude corporativo en la </w:t>
      </w:r>
      <w:r>
        <w:rPr>
          <w:rStyle w:val="Textoennegrita"/>
          <w:rFonts w:ascii="Times New Roman" w:hAnsi="Times New Roman" w:cs="Times New Roman"/>
          <w:sz w:val="24"/>
          <w:szCs w:val="24"/>
          <w:shd w:val="clear" w:color="auto" w:fill="FFFFFF"/>
        </w:rPr>
        <w:t xml:space="preserve">historia de los Estados Unidos. </w:t>
      </w:r>
    </w:p>
    <w:p w:rsidR="00E53855"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lastRenderedPageBreak/>
        <w:t>Uno de los acreedores de Enron en 2001, fue Lehman Brothers. El banco recibió una compensación de 195 millones de euros</w:t>
      </w:r>
      <w:r>
        <w:rPr>
          <w:rStyle w:val="Textoennegrita"/>
          <w:rFonts w:ascii="Times New Roman" w:hAnsi="Times New Roman" w:cs="Times New Roman"/>
          <w:sz w:val="24"/>
          <w:szCs w:val="24"/>
          <w:shd w:val="clear" w:color="auto" w:fill="FFFFFF"/>
        </w:rPr>
        <w:t xml:space="preserve"> antes de que quebrara en 2008.</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2. La est</w:t>
      </w:r>
      <w:r>
        <w:rPr>
          <w:rStyle w:val="Textoennegrita"/>
          <w:rFonts w:ascii="Times New Roman" w:hAnsi="Times New Roman" w:cs="Times New Roman"/>
          <w:sz w:val="24"/>
          <w:szCs w:val="24"/>
          <w:shd w:val="clear" w:color="auto" w:fill="FFFFFF"/>
        </w:rPr>
        <w:t>afa piramidal de Bernard Madoff</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Como resultado de la crisis financiera, el FBI descubrió el fraude sistemático de Bernard Madoff, presidente de la bolsa de valores automatizada y electrónica NASDAQ. Durante más de 50 años administró un fondo de inversión basado en un sistema Ponzi ilegal, una forma de fraude que atrae a los inversores a pagar beneficios a los inversores anteriores con fondos de inversiones más recientes. Consiguió malversar más de 44.000 millones de euros. La corte suiza estima que en 2009 alrededor de 3 millones de personas en todo el mundo se vieron directa o indirectamente afe</w:t>
      </w:r>
      <w:r>
        <w:rPr>
          <w:rStyle w:val="Textoennegrita"/>
          <w:rFonts w:ascii="Times New Roman" w:hAnsi="Times New Roman" w:cs="Times New Roman"/>
          <w:sz w:val="24"/>
          <w:szCs w:val="24"/>
          <w:shd w:val="clear" w:color="auto" w:fill="FFFFFF"/>
        </w:rPr>
        <w:t>ctadas por el fraude de Madoff.</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4. La quiebra de MF Global</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La empresa financiera MF Global se declaró en quiebra en 2011 tras salir a la luz que habían estado mezclando fondos propios y de sus clientes para realizar transferencias y préstamos ilícitos. El importe defraudado alcanzó los 36.000 millones de euros.</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5. Cendant,</w:t>
      </w:r>
      <w:r>
        <w:rPr>
          <w:rStyle w:val="Textoennegrita"/>
          <w:rFonts w:ascii="Times New Roman" w:hAnsi="Times New Roman" w:cs="Times New Roman"/>
          <w:sz w:val="24"/>
          <w:szCs w:val="24"/>
          <w:shd w:val="clear" w:color="auto" w:fill="FFFFFF"/>
        </w:rPr>
        <w:t xml:space="preserve"> el mayor fraude de los años 90</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El vicepresidente de la corporación de negocios y servicios al consumidor utilizó una contabilidad falsa para aumentar las ganancias reportadas de la compañía. El escándalo financiero de la empresa de servicios Cendant, se convirtió en el mayor fraude de los años 90, con</w:t>
      </w:r>
      <w:r>
        <w:rPr>
          <w:rStyle w:val="Textoennegrita"/>
          <w:rFonts w:ascii="Times New Roman" w:hAnsi="Times New Roman" w:cs="Times New Roman"/>
          <w:sz w:val="24"/>
          <w:szCs w:val="24"/>
          <w:shd w:val="clear" w:color="auto" w:fill="FFFFFF"/>
        </w:rPr>
        <w:t xml:space="preserve"> casi 17.000 millones de euros.</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6. Jérome Kerviel, el emplea</w:t>
      </w:r>
      <w:r>
        <w:rPr>
          <w:rStyle w:val="Textoennegrita"/>
          <w:rFonts w:ascii="Times New Roman" w:hAnsi="Times New Roman" w:cs="Times New Roman"/>
          <w:sz w:val="24"/>
          <w:szCs w:val="24"/>
          <w:shd w:val="clear" w:color="auto" w:fill="FFFFFF"/>
        </w:rPr>
        <w:t>do estrella de Société Générale</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El empleado del banco francés Société Générale, Jérome Kerviel, causó una pérdida de 6.170 millones de euros en transacciones especulativas. Kerviel había estado negociando de forma ilícita anticipándose a la ca</w:t>
      </w:r>
      <w:r>
        <w:rPr>
          <w:rStyle w:val="Textoennegrita"/>
          <w:rFonts w:ascii="Times New Roman" w:hAnsi="Times New Roman" w:cs="Times New Roman"/>
          <w:sz w:val="24"/>
          <w:szCs w:val="24"/>
          <w:shd w:val="clear" w:color="auto" w:fill="FFFFFF"/>
        </w:rPr>
        <w:t>ída de los precios del mercado.</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Pr>
          <w:rStyle w:val="Textoennegrita"/>
          <w:rFonts w:ascii="Times New Roman" w:hAnsi="Times New Roman" w:cs="Times New Roman"/>
          <w:sz w:val="24"/>
          <w:szCs w:val="24"/>
          <w:shd w:val="clear" w:color="auto" w:fill="FFFFFF"/>
        </w:rPr>
        <w:t>7. El fraude de WorldCom</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Los cargos contra el ex director general de WorldCom, Bernard Ebbe</w:t>
      </w:r>
      <w:r>
        <w:rPr>
          <w:rStyle w:val="Textoennegrita"/>
          <w:rFonts w:ascii="Times New Roman" w:hAnsi="Times New Roman" w:cs="Times New Roman"/>
          <w:sz w:val="24"/>
          <w:szCs w:val="24"/>
          <w:shd w:val="clear" w:color="auto" w:fill="FFFFFF"/>
        </w:rPr>
        <w:t>r</w:t>
      </w:r>
      <w:r w:rsidRPr="00982D9E">
        <w:rPr>
          <w:rStyle w:val="Textoennegrita"/>
          <w:rFonts w:ascii="Times New Roman" w:hAnsi="Times New Roman" w:cs="Times New Roman"/>
          <w:sz w:val="24"/>
          <w:szCs w:val="24"/>
          <w:shd w:val="clear" w:color="auto" w:fill="FFFFFF"/>
        </w:rPr>
        <w:t xml:space="preserve">s, fueron un fraude de valores, conspiración y siete informes falsos ante los reguladores. En 2005, fue </w:t>
      </w:r>
      <w:r>
        <w:rPr>
          <w:rStyle w:val="Textoennegrita"/>
          <w:rFonts w:ascii="Times New Roman" w:hAnsi="Times New Roman" w:cs="Times New Roman"/>
          <w:sz w:val="24"/>
          <w:szCs w:val="24"/>
          <w:shd w:val="clear" w:color="auto" w:fill="FFFFFF"/>
        </w:rPr>
        <w:t>condenado a 25 años de prisión.</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8. Yasuo Hamanaka y la man</w:t>
      </w:r>
      <w:r>
        <w:rPr>
          <w:rStyle w:val="Textoennegrita"/>
          <w:rFonts w:ascii="Times New Roman" w:hAnsi="Times New Roman" w:cs="Times New Roman"/>
          <w:sz w:val="24"/>
          <w:szCs w:val="24"/>
          <w:shd w:val="clear" w:color="auto" w:fill="FFFFFF"/>
        </w:rPr>
        <w:t>ipulación del mercado del cobre</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En la década de 1990, Yasuo Hamanaka manipuló el mercado del cobre con compras ficticias para ocultar las pérdidas de su departamento en Sumitomo, una empresa de cableado eléctrico y fabricación de fibra óptica. Cuando se descubrió el caso en 1996, las pérdidas ascen</w:t>
      </w:r>
      <w:r>
        <w:rPr>
          <w:rStyle w:val="Textoennegrita"/>
          <w:rFonts w:ascii="Times New Roman" w:hAnsi="Times New Roman" w:cs="Times New Roman"/>
          <w:sz w:val="24"/>
          <w:szCs w:val="24"/>
          <w:shd w:val="clear" w:color="auto" w:fill="FFFFFF"/>
        </w:rPr>
        <w:t>dían a 2.290 millones de euros.</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Pr>
          <w:rStyle w:val="Textoennegrita"/>
          <w:rFonts w:ascii="Times New Roman" w:hAnsi="Times New Roman" w:cs="Times New Roman"/>
          <w:sz w:val="24"/>
          <w:szCs w:val="24"/>
          <w:shd w:val="clear" w:color="auto" w:fill="FFFFFF"/>
        </w:rPr>
        <w:t>9. El caso Flowtex</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 xml:space="preserve">El fundador de la empresa alemana Flowtex, Manfred Schmider, vendió unos 3.000 instrumentos de perforación especiales que solo existían sobre papel. La pérdida ascendió a 1.990 millones de euros. Fue condenado </w:t>
      </w:r>
      <w:r>
        <w:rPr>
          <w:rStyle w:val="Textoennegrita"/>
          <w:rFonts w:ascii="Times New Roman" w:hAnsi="Times New Roman" w:cs="Times New Roman"/>
          <w:sz w:val="24"/>
          <w:szCs w:val="24"/>
          <w:shd w:val="clear" w:color="auto" w:fill="FFFFFF"/>
        </w:rPr>
        <w:t>a 14 meses de prisión en Suiza.</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10. El soborno a funcionarios moz</w:t>
      </w:r>
      <w:r>
        <w:rPr>
          <w:rStyle w:val="Textoennegrita"/>
          <w:rFonts w:ascii="Times New Roman" w:hAnsi="Times New Roman" w:cs="Times New Roman"/>
          <w:sz w:val="24"/>
          <w:szCs w:val="24"/>
          <w:shd w:val="clear" w:color="auto" w:fill="FFFFFF"/>
        </w:rPr>
        <w:t>ambiqueños de Credit Suisse</w:t>
      </w:r>
    </w:p>
    <w:p w:rsidR="00E53855" w:rsidRPr="00982D9E"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lastRenderedPageBreak/>
        <w:t>Tres banqueros de Credit Suisse fueron arrestados por conspirar en un plan de préstamos, en el que se desviaron cientos de millones de dólares de la industria pesquera y de las defensas costeras de Mozambique para sobornar a fu</w:t>
      </w:r>
      <w:r>
        <w:rPr>
          <w:rStyle w:val="Textoennegrita"/>
          <w:rFonts w:ascii="Times New Roman" w:hAnsi="Times New Roman" w:cs="Times New Roman"/>
          <w:sz w:val="24"/>
          <w:szCs w:val="24"/>
          <w:shd w:val="clear" w:color="auto" w:fill="FFFFFF"/>
        </w:rPr>
        <w:t>ncionarios del gobierno.</w:t>
      </w:r>
    </w:p>
    <w:p w:rsidR="00E53855"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982D9E">
        <w:rPr>
          <w:rStyle w:val="Textoennegrita"/>
          <w:rFonts w:ascii="Times New Roman" w:hAnsi="Times New Roman" w:cs="Times New Roman"/>
          <w:sz w:val="24"/>
          <w:szCs w:val="24"/>
          <w:shd w:val="clear" w:color="auto" w:fill="FFFFFF"/>
        </w:rPr>
        <w:t>La estafa, que ascendía a 1.760 millones de euros, derivó en una demanda contra Credit Suisse ante un tribunal de Londres el 1 de marzo de 2019.</w:t>
      </w:r>
    </w:p>
    <w:p w:rsidR="00E53855" w:rsidRPr="00982D9E" w:rsidRDefault="00E53855" w:rsidP="00E53855">
      <w:pPr>
        <w:spacing w:line="240" w:lineRule="auto"/>
        <w:jc w:val="both"/>
        <w:rPr>
          <w:rStyle w:val="Textoennegrita"/>
          <w:rFonts w:ascii="Times New Roman" w:hAnsi="Times New Roman" w:cs="Times New Roman"/>
          <w:sz w:val="24"/>
          <w:szCs w:val="24"/>
          <w:shd w:val="clear" w:color="auto" w:fill="FFFFFF"/>
        </w:rPr>
      </w:pPr>
      <w:r w:rsidRPr="00982D9E">
        <w:rPr>
          <w:rStyle w:val="Textoennegrita"/>
          <w:rFonts w:ascii="Times New Roman" w:hAnsi="Times New Roman" w:cs="Times New Roman"/>
          <w:sz w:val="24"/>
          <w:szCs w:val="24"/>
          <w:shd w:val="clear" w:color="auto" w:fill="FFFFFF"/>
        </w:rPr>
        <w:t>Por si alguna “deuda” chica, sin querer, se me ha olvidado…</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982D9E">
        <w:rPr>
          <w:rFonts w:ascii="Times New Roman" w:hAnsi="Times New Roman" w:cs="Times New Roman"/>
          <w:sz w:val="24"/>
          <w:szCs w:val="24"/>
          <w:u w:val="single"/>
          <w:shd w:val="clear" w:color="auto" w:fill="FFFFFF"/>
        </w:rPr>
        <w:t>De Lehman Brothers a FTX: un repaso a los mayor</w:t>
      </w:r>
      <w:r>
        <w:rPr>
          <w:rFonts w:ascii="Times New Roman" w:hAnsi="Times New Roman" w:cs="Times New Roman"/>
          <w:sz w:val="24"/>
          <w:szCs w:val="24"/>
          <w:u w:val="single"/>
          <w:shd w:val="clear" w:color="auto" w:fill="FFFFFF"/>
        </w:rPr>
        <w:t>es escándalos financieros de EE</w:t>
      </w:r>
      <w:r w:rsidRPr="00982D9E">
        <w:rPr>
          <w:rFonts w:ascii="Times New Roman" w:hAnsi="Times New Roman" w:cs="Times New Roman"/>
          <w:sz w:val="24"/>
          <w:szCs w:val="24"/>
          <w:u w:val="single"/>
          <w:shd w:val="clear" w:color="auto" w:fill="FFFFFF"/>
        </w:rPr>
        <w:t>UU</w:t>
      </w:r>
      <w:r>
        <w:rPr>
          <w:rFonts w:ascii="Times New Roman" w:hAnsi="Times New Roman" w:cs="Times New Roman"/>
          <w:sz w:val="24"/>
          <w:szCs w:val="24"/>
          <w:shd w:val="clear" w:color="auto" w:fill="FFFFFF"/>
        </w:rPr>
        <w:t xml:space="preserve"> (El País - </w:t>
      </w:r>
      <w:r w:rsidRPr="00982D9E">
        <w:rPr>
          <w:rFonts w:ascii="Times New Roman" w:hAnsi="Times New Roman" w:cs="Times New Roman"/>
          <w:b/>
          <w:sz w:val="24"/>
          <w:szCs w:val="24"/>
          <w:shd w:val="clear" w:color="auto" w:fill="FFFFFF"/>
        </w:rPr>
        <w:t>18/12/22</w:t>
      </w:r>
      <w:r>
        <w:rPr>
          <w:rFonts w:ascii="Times New Roman" w:hAnsi="Times New Roman" w:cs="Times New Roman"/>
          <w:sz w:val="24"/>
          <w:szCs w:val="24"/>
          <w:shd w:val="clear" w:color="auto" w:fill="FFFFFF"/>
        </w:rPr>
        <w:t>)</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Batacazos contables, fraudes al por mayor y sofisticada ingeniería financiera protagonizan los casos, cuyo denominador común fue el fracaso de los mecanismos de control y regulación</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 xml:space="preserve">La quiebra de la firma de criptodivisas FTX, junto con la detención de su fundador, Sam Bankman-Fried, representa el último eslabón de una larga cadena </w:t>
      </w:r>
      <w:r>
        <w:rPr>
          <w:rFonts w:ascii="Times New Roman" w:hAnsi="Times New Roman" w:cs="Times New Roman"/>
          <w:sz w:val="24"/>
          <w:szCs w:val="24"/>
          <w:shd w:val="clear" w:color="auto" w:fill="FFFFFF"/>
        </w:rPr>
        <w:t>de escándalos financieros en EE</w:t>
      </w:r>
      <w:r w:rsidRPr="00982D9E">
        <w:rPr>
          <w:rFonts w:ascii="Times New Roman" w:hAnsi="Times New Roman" w:cs="Times New Roman"/>
          <w:sz w:val="24"/>
          <w:szCs w:val="24"/>
          <w:shd w:val="clear" w:color="auto" w:fill="FFFFFF"/>
        </w:rPr>
        <w:t>UU. De la economía analógica de los ochenta, con barra libre de intereses y lobos de Wall Street como sinónimo de bonanza, a la amenaza de implosión del universo cripto, una docena de casos de fraude, ingeniería financiera o picaresca de altos vuelos</w:t>
      </w:r>
      <w:r>
        <w:rPr>
          <w:rFonts w:ascii="Times New Roman" w:hAnsi="Times New Roman" w:cs="Times New Roman"/>
          <w:sz w:val="24"/>
          <w:szCs w:val="24"/>
          <w:shd w:val="clear" w:color="auto" w:fill="FFFFFF"/>
        </w:rPr>
        <w:t xml:space="preserve"> -</w:t>
      </w:r>
      <w:r w:rsidRPr="00982D9E">
        <w:rPr>
          <w:rFonts w:ascii="Times New Roman" w:hAnsi="Times New Roman" w:cs="Times New Roman"/>
          <w:sz w:val="24"/>
          <w:szCs w:val="24"/>
          <w:shd w:val="clear" w:color="auto" w:fill="FFFFFF"/>
        </w:rPr>
        <w:t>la trama piramidal</w:t>
      </w:r>
      <w:r>
        <w:rPr>
          <w:rFonts w:ascii="Times New Roman" w:hAnsi="Times New Roman" w:cs="Times New Roman"/>
          <w:sz w:val="24"/>
          <w:szCs w:val="24"/>
          <w:shd w:val="clear" w:color="auto" w:fill="FFFFFF"/>
        </w:rPr>
        <w:t xml:space="preserve"> de Bernard Madoff, por ejemplo-</w:t>
      </w:r>
      <w:r w:rsidRPr="00982D9E">
        <w:rPr>
          <w:rFonts w:ascii="Times New Roman" w:hAnsi="Times New Roman" w:cs="Times New Roman"/>
          <w:sz w:val="24"/>
          <w:szCs w:val="24"/>
          <w:shd w:val="clear" w:color="auto" w:fill="FFFFFF"/>
        </w:rPr>
        <w:t xml:space="preserve"> han jalonado el corazón del capitalismo en las últimas décadas. En casi todos ellos, la falta de regulación del mercado jugó un papel fundamental (enseguida se aprendió la lección, aunque los mecanismos de control no hayan llegado a los criptoactivos). En otros, los excesos tuvieron consecuencias globales en forma de ondas de choque, como las provocadas por el colapso de las hipotecas basura, que arrastró a Lehman Brothers y, detrás, a la eurozona. Fue el Titanic que provocó la Gran Recesión de 2008.</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Por orden cronológico, estos son algunos de los escándalos más graves de la economía estadounidense desde los ochenta, la época dorada de Wall Street tras la superinflación de la década anterior. Como dijo esta semana en alusión a FTX Gary Gensler, presidente de la Co</w:t>
      </w:r>
      <w:r>
        <w:rPr>
          <w:rFonts w:ascii="Times New Roman" w:hAnsi="Times New Roman" w:cs="Times New Roman"/>
          <w:sz w:val="24"/>
          <w:szCs w:val="24"/>
          <w:shd w:val="clear" w:color="auto" w:fill="FFFFFF"/>
        </w:rPr>
        <w:t>misión de Bolsa y Valores de EE</w:t>
      </w:r>
      <w:r w:rsidRPr="00982D9E">
        <w:rPr>
          <w:rFonts w:ascii="Times New Roman" w:hAnsi="Times New Roman" w:cs="Times New Roman"/>
          <w:sz w:val="24"/>
          <w:szCs w:val="24"/>
          <w:shd w:val="clear" w:color="auto" w:fill="FFFFFF"/>
        </w:rPr>
        <w:t>UU (SEC, en sus siglas inglesas, el regulador bursátil), “castillos de naipes construidos sobre la base del engaño”, una definición que podría a</w:t>
      </w:r>
      <w:r>
        <w:rPr>
          <w:rFonts w:ascii="Times New Roman" w:hAnsi="Times New Roman" w:cs="Times New Roman"/>
          <w:sz w:val="24"/>
          <w:szCs w:val="24"/>
          <w:shd w:val="clear" w:color="auto" w:fill="FFFFFF"/>
        </w:rPr>
        <w:t>plicarse a muchos de los casos.</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Enron y el e</w:t>
      </w:r>
      <w:r>
        <w:rPr>
          <w:rFonts w:ascii="Times New Roman" w:hAnsi="Times New Roman" w:cs="Times New Roman"/>
          <w:sz w:val="24"/>
          <w:szCs w:val="24"/>
          <w:shd w:val="clear" w:color="auto" w:fill="FFFFFF"/>
        </w:rPr>
        <w:t>fecto rebote de Arthur Andersen</w:t>
      </w:r>
    </w:p>
    <w:p w:rsidR="00E53855"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A la eléctrica, en su época una de las mayores del mundo, le cabe el dudoso honor de inaugurar el listado de batacazos contables. En octubre de 2001 el presidente de Enron anunció unas pérdidas trimestrales de 618 millones de dólares. Ello se debió a la creación de una serie de filiales instrumentales para sacar fuera de su balance deuda y activos. A los dos meses, Enron presentó la mayor suspensión de pagos de la historia. Las acciones pasaron de cotizarse a 90 dólares a valer sólo 42 centavos. De rebote, su auditora, Arthur Andersen, fue arrastrada a la ruina al demostrarse que había avalado cifras de facturación muy infladas (más de 100.000 millones de dólares anuales). Desde el punto de vista político suscitó muchas preguntas, al conocerse que el 75% de los senadores y la mitad de los congresistas habían recibido donaciones de la comp</w:t>
      </w:r>
      <w:r>
        <w:rPr>
          <w:rFonts w:ascii="Times New Roman" w:hAnsi="Times New Roman" w:cs="Times New Roman"/>
          <w:sz w:val="24"/>
          <w:szCs w:val="24"/>
          <w:shd w:val="clear" w:color="auto" w:fill="FFFFFF"/>
        </w:rPr>
        <w:t>añía para su campaña electoral.</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w:t>
      </w:r>
      <w:r w:rsidRPr="00982D9E">
        <w:rPr>
          <w:rFonts w:ascii="Times New Roman" w:hAnsi="Times New Roman" w:cs="Times New Roman"/>
          <w:sz w:val="24"/>
          <w:szCs w:val="24"/>
          <w:shd w:val="clear" w:color="auto" w:fill="FFFFFF"/>
        </w:rPr>
        <w:t>erro</w:t>
      </w:r>
      <w:r>
        <w:rPr>
          <w:rFonts w:ascii="Times New Roman" w:hAnsi="Times New Roman" w:cs="Times New Roman"/>
          <w:sz w:val="24"/>
          <w:szCs w:val="24"/>
          <w:shd w:val="clear" w:color="auto" w:fill="FFFFFF"/>
        </w:rPr>
        <w:t>res contables”</w:t>
      </w:r>
      <w:r w:rsidRPr="00982D9E">
        <w:rPr>
          <w:rFonts w:ascii="Times New Roman" w:hAnsi="Times New Roman" w:cs="Times New Roman"/>
          <w:sz w:val="24"/>
          <w:szCs w:val="24"/>
          <w:shd w:val="clear" w:color="auto" w:fill="FFFFFF"/>
        </w:rPr>
        <w:t xml:space="preserve"> de WorldCom</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 xml:space="preserve">La que fuera operadora líder en el mercado estadounidense reconoció en 2002 haber inflado sus resultados en 11.000 millones de dólares durante los años precedentes. Al anuncio le siguió un desplome en Bolsa que provocó pérdidas por 200.000 millones de dólares. La crisis </w:t>
      </w:r>
      <w:r w:rsidRPr="00982D9E">
        <w:rPr>
          <w:rFonts w:ascii="Times New Roman" w:hAnsi="Times New Roman" w:cs="Times New Roman"/>
          <w:sz w:val="24"/>
          <w:szCs w:val="24"/>
          <w:shd w:val="clear" w:color="auto" w:fill="FFFFFF"/>
        </w:rPr>
        <w:lastRenderedPageBreak/>
        <w:t>de confianza derivada del colapso de WorldCom y de Enron llevó a las Bolsas a su peor crisis a comienzos de este siglo. Como Enron, la operadora acordó primero la suspensión de pagos, aunque finalmente se declaró en bancarrota gracias al capítulo 11 de la Ley de Quiebras para reestructurarse, un procedimiento habitual que inunda de expedientes la corte de Wilmington (Delaware) que los tramita. Tras reconocer la firma errores contables, la SEC presentó una demanda por fraude. El proceso terminó con un acuerdo extrajudicial por el que la operadora se comprometía a</w:t>
      </w:r>
      <w:r>
        <w:rPr>
          <w:rFonts w:ascii="Times New Roman" w:hAnsi="Times New Roman" w:cs="Times New Roman"/>
          <w:sz w:val="24"/>
          <w:szCs w:val="24"/>
          <w:shd w:val="clear" w:color="auto" w:fill="FFFFFF"/>
        </w:rPr>
        <w:t xml:space="preserve"> pagar 750 millones de dólares.</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Lehman Brothers y la Gran Recesión de 2008</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El 15 de septiembre de 2008 las fotografías de ejecutivos en mangas de camisa saliendo de la sede neoyorquina de Lehman Brothers, con sus pertenencias en una caja de cartón, corrieron como la pólvora. Es la imagen de la Gran Recesión de 2008, un seísmo que costó 22 billones de dólares a la economía estadounidense y que obligó a intervenir a la Administración de Barack Obama con un rescate de 800.000 millones de dólares (unos 615.000 millones de euros, al cambio de entonces) para cubrir hipotecas y créditos al consumo, mientras la F</w:t>
      </w:r>
      <w:r>
        <w:rPr>
          <w:rFonts w:ascii="Times New Roman" w:hAnsi="Times New Roman" w:cs="Times New Roman"/>
          <w:sz w:val="24"/>
          <w:szCs w:val="24"/>
          <w:shd w:val="clear" w:color="auto" w:fill="FFFFFF"/>
        </w:rPr>
        <w:t>ed asumía la compra de activos -</w:t>
      </w:r>
      <w:r w:rsidRPr="00982D9E">
        <w:rPr>
          <w:rFonts w:ascii="Times New Roman" w:hAnsi="Times New Roman" w:cs="Times New Roman"/>
          <w:sz w:val="24"/>
          <w:szCs w:val="24"/>
          <w:shd w:val="clear" w:color="auto" w:fill="FFFFFF"/>
        </w:rPr>
        <w:t>potencialmente tóxi</w:t>
      </w:r>
      <w:r>
        <w:rPr>
          <w:rFonts w:ascii="Times New Roman" w:hAnsi="Times New Roman" w:cs="Times New Roman"/>
          <w:sz w:val="24"/>
          <w:szCs w:val="24"/>
          <w:shd w:val="clear" w:color="auto" w:fill="FFFFFF"/>
        </w:rPr>
        <w:t>cos- respaldados por hipotecas.</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Lehman, con 158 años de historia, había perdido el 95% de su valor en Bolsa desde su máximo de 2007 cuando se le dejó caer. Su apuesta por hacer negocio con las hipotecas basura, las denominadas subprime, le costó la existencia. Esa misma noche, mientras las imágenes de la desbandada de ejecu</w:t>
      </w:r>
      <w:r>
        <w:rPr>
          <w:rFonts w:ascii="Times New Roman" w:hAnsi="Times New Roman" w:cs="Times New Roman"/>
          <w:sz w:val="24"/>
          <w:szCs w:val="24"/>
          <w:shd w:val="clear" w:color="auto" w:fill="FFFFFF"/>
        </w:rPr>
        <w:t>tivos daban la vuelta al mundo -</w:t>
      </w:r>
      <w:r w:rsidRPr="00982D9E">
        <w:rPr>
          <w:rFonts w:ascii="Times New Roman" w:hAnsi="Times New Roman" w:cs="Times New Roman"/>
          <w:sz w:val="24"/>
          <w:szCs w:val="24"/>
          <w:shd w:val="clear" w:color="auto" w:fill="FFFFFF"/>
        </w:rPr>
        <w:t>tenía un</w:t>
      </w:r>
      <w:r>
        <w:rPr>
          <w:rFonts w:ascii="Times New Roman" w:hAnsi="Times New Roman" w:cs="Times New Roman"/>
          <w:sz w:val="24"/>
          <w:szCs w:val="24"/>
          <w:shd w:val="clear" w:color="auto" w:fill="FFFFFF"/>
        </w:rPr>
        <w:t>a plantilla de 25.935 empleados-</w:t>
      </w:r>
      <w:r w:rsidRPr="00982D9E">
        <w:rPr>
          <w:rFonts w:ascii="Times New Roman" w:hAnsi="Times New Roman" w:cs="Times New Roman"/>
          <w:sz w:val="24"/>
          <w:szCs w:val="24"/>
          <w:shd w:val="clear" w:color="auto" w:fill="FFFFFF"/>
        </w:rPr>
        <w:t xml:space="preserve">, los analistas advirtieron: “Tendrá importantes consecuencias para el sistema financiero del país”. Pocos imaginaron hasta qué punto. La quiebra del </w:t>
      </w:r>
      <w:r>
        <w:rPr>
          <w:rFonts w:ascii="Times New Roman" w:hAnsi="Times New Roman" w:cs="Times New Roman"/>
          <w:sz w:val="24"/>
          <w:szCs w:val="24"/>
          <w:shd w:val="clear" w:color="auto" w:fill="FFFFFF"/>
        </w:rPr>
        <w:t>cuarto banco de inversión de EE</w:t>
      </w:r>
      <w:r w:rsidRPr="00982D9E">
        <w:rPr>
          <w:rFonts w:ascii="Times New Roman" w:hAnsi="Times New Roman" w:cs="Times New Roman"/>
          <w:sz w:val="24"/>
          <w:szCs w:val="24"/>
          <w:shd w:val="clear" w:color="auto" w:fill="FFFFFF"/>
        </w:rPr>
        <w:t>UU aceleró una crisis mundial, de la que la crisis de la deuda europea es el principal capítulo; una sacudida desconocida desde el tsunami del petróleo en los setenta.</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La exposición de los bancos a las hipotecas basura y los activos tóxicos, ocultos y empaquetados en millones de productos de inver</w:t>
      </w:r>
      <w:r>
        <w:rPr>
          <w:rFonts w:ascii="Times New Roman" w:hAnsi="Times New Roman" w:cs="Times New Roman"/>
          <w:sz w:val="24"/>
          <w:szCs w:val="24"/>
          <w:shd w:val="clear" w:color="auto" w:fill="FFFFFF"/>
        </w:rPr>
        <w:t>sión y fondos de todo el mundo -</w:t>
      </w:r>
      <w:r w:rsidRPr="00982D9E">
        <w:rPr>
          <w:rFonts w:ascii="Times New Roman" w:hAnsi="Times New Roman" w:cs="Times New Roman"/>
          <w:sz w:val="24"/>
          <w:szCs w:val="24"/>
          <w:shd w:val="clear" w:color="auto" w:fill="FFFFFF"/>
        </w:rPr>
        <w:t>y respaldados por supuestos seguros q</w:t>
      </w:r>
      <w:r>
        <w:rPr>
          <w:rFonts w:ascii="Times New Roman" w:hAnsi="Times New Roman" w:cs="Times New Roman"/>
          <w:sz w:val="24"/>
          <w:szCs w:val="24"/>
          <w:shd w:val="clear" w:color="auto" w:fill="FFFFFF"/>
        </w:rPr>
        <w:t>ue demostraron ser papel mojado-</w:t>
      </w:r>
      <w:r w:rsidRPr="00982D9E">
        <w:rPr>
          <w:rFonts w:ascii="Times New Roman" w:hAnsi="Times New Roman" w:cs="Times New Roman"/>
          <w:sz w:val="24"/>
          <w:szCs w:val="24"/>
          <w:shd w:val="clear" w:color="auto" w:fill="FFFFFF"/>
        </w:rPr>
        <w:t xml:space="preserve">, había infectado todo el sistema. Las subprimes afloraron problemas también en bancos europeos como Société Générale, BNP Paribas o Deutsche Bank, especialmente expuestos a la deuda griega. Lo demás es historia: tres rescates financieros y la eurozona al borde del precipicio durante buena parte de la pasada década. Cinco años después de la quiebra de Lehman Brothers, la Fed cifró en 12,6 billones de dólares la cantidad que destinó a </w:t>
      </w:r>
      <w:r>
        <w:rPr>
          <w:rFonts w:ascii="Times New Roman" w:hAnsi="Times New Roman" w:cs="Times New Roman"/>
          <w:sz w:val="24"/>
          <w:szCs w:val="24"/>
          <w:shd w:val="clear" w:color="auto" w:fill="FFFFFF"/>
        </w:rPr>
        <w:t>apuntalar el sector financiero.</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La trama Madoff</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 xml:space="preserve">El financiero Bernard Madoff fue el gran estafador de Wall Street: defraudó más de 64.000 millones de dólares gracias a la trama piramidal que dirigió durante años. La estafa salió a la luz con el colapso de Lehman Brothers, pero operaba desde principios de los años noventa. En 2009, fue condenado a 150 años de cárcel como responsable del “mayor fraude cometido por un solo individuo”, según la sentencia. No volvió a ver la luz del sol, y murió en prisión en abril de 2021. Hombre hecho a sí mismo y con gran predicamento entre la comunidad judía, a la que pertenecía, Madoff estafó a celebridades, empresas, fundaciones como las del director Steven Spielberg o el Nobel de la Paz Elie Wiesel, e incluso a entidades financieras como el Banco Santander. Su modus operandi consistía en captar el dinero de inversores, a los que prometía una alta rentabilidad. Cuando estos reclamaban los intereses, se les daba largas o, en algunos casos, se les pagaba con el dinero de los inversores recién llegados. El que lograba retirarse a tiempo, ganaba; el nivel inferior quedaba siempre expuesto, y así hasta el infinito. Es el llamado esquema Ponzi, un clásico de la estafa al por mayor como la que, </w:t>
      </w:r>
      <w:r w:rsidRPr="00982D9E">
        <w:rPr>
          <w:rFonts w:ascii="Times New Roman" w:hAnsi="Times New Roman" w:cs="Times New Roman"/>
          <w:sz w:val="24"/>
          <w:szCs w:val="24"/>
          <w:shd w:val="clear" w:color="auto" w:fill="FFFFFF"/>
        </w:rPr>
        <w:lastRenderedPageBreak/>
        <w:t>con ligeras diferencias, llevó a la ruina a Albania a finales de los noventa y conmocio</w:t>
      </w:r>
      <w:r>
        <w:rPr>
          <w:rFonts w:ascii="Times New Roman" w:hAnsi="Times New Roman" w:cs="Times New Roman"/>
          <w:sz w:val="24"/>
          <w:szCs w:val="24"/>
          <w:shd w:val="clear" w:color="auto" w:fill="FFFFFF"/>
        </w:rPr>
        <w:t>nó a Portugal una década antes.</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En una historia con tintes de tragedia griega, los delitos de Madoff fueron revelados por sus hijos, ajenos al negocio, en 2008. El sumario dejó de manifiesto la miopía de la SEC, que por incompetencia o negligencia frustró media docena de investigaciones sobre los negocios de Madoff. “Hubo varias reu</w:t>
      </w:r>
      <w:r>
        <w:rPr>
          <w:rFonts w:ascii="Times New Roman" w:hAnsi="Times New Roman" w:cs="Times New Roman"/>
          <w:sz w:val="24"/>
          <w:szCs w:val="24"/>
          <w:shd w:val="clear" w:color="auto" w:fill="FFFFFF"/>
        </w:rPr>
        <w:t>niones con (funcionarios de)</w:t>
      </w:r>
      <w:r w:rsidRPr="00982D9E">
        <w:rPr>
          <w:rFonts w:ascii="Times New Roman" w:hAnsi="Times New Roman" w:cs="Times New Roman"/>
          <w:sz w:val="24"/>
          <w:szCs w:val="24"/>
          <w:shd w:val="clear" w:color="auto" w:fill="FFFFFF"/>
        </w:rPr>
        <w:t xml:space="preserve"> el SEC en las que pensé: me han pillado”,</w:t>
      </w:r>
      <w:r>
        <w:rPr>
          <w:rFonts w:ascii="Times New Roman" w:hAnsi="Times New Roman" w:cs="Times New Roman"/>
          <w:sz w:val="24"/>
          <w:szCs w:val="24"/>
          <w:shd w:val="clear" w:color="auto" w:fill="FFFFFF"/>
        </w:rPr>
        <w:t xml:space="preserve"> confesó Madoff ya entre rejas.</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Theranos, golpe a la reputación de Silicon Valley</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Ejemplo de fraude en el sector de las start-ups tecnológicas, el caso Theranos es el espejo hecho añicos de Silicon Valley. La empresa que prometía un sistema exprés de análisis de sangre, en un sector casi monopolístico que mueve miles de millones de dólares, fue una colosal estafa que se ha llevado por delante a su fundadora, Elizabeth Holmes. Pero hasta 2016, cuando se presentó la demanda por fraude, gozaba de la bendición mediática. No era para menos: Theranos fue de los primeros unicornios (compañías que antes de salir a Bolsa ya superan los mil millones de dólares). La start-up, que logró sentar en su consejo asesor a personalidades como el exsecretario de Estado Henry Kissinger, llegó a valorarse en 9.000 millones de dólares. Hasta que una investigación del diario The Wall Street Journal (luego adaptada en un documental y una serie de ficción) puso bajo los focos a Holmes y a su socio y pareja de entonces, Ramesh Balwani. La empresa de biotecnología había prometido revolucionar el panorama sanitario con una máquina capaz de hacer cientos de análisis clínicos con una sola gota de sangre, facilitando así el diagnóstico de 200 enfermedades. Los pocos aparatos hallados no funcionaban, confirmó el WSJ.</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En noviembre Holmes, de 38 años, fue condenada a 11 años de prisión por fraude. El juez consideró probado que defraudó a los inversores 385 millones de dólares, aunque la acusación elevaba el monto a 800 millones; entre los perjudicados figuran personalidades como Bill Clinton, Carlos Slim y Rupert Murdoch. “Desde 2015 había señales claras de que la empresa iba a fracasar. Los inversores estaban encerrados, no había forma de que se pudieran deshacer de sus acciones. Invirtieron cientos de millones de dólares y no pudieron retirar nada”, dijo la acusación durante el juicio. Su expareja recibió una c</w:t>
      </w:r>
      <w:r>
        <w:rPr>
          <w:rFonts w:ascii="Times New Roman" w:hAnsi="Times New Roman" w:cs="Times New Roman"/>
          <w:sz w:val="24"/>
          <w:szCs w:val="24"/>
          <w:shd w:val="clear" w:color="auto" w:fill="FFFFFF"/>
        </w:rPr>
        <w:t>ondena de 13 años en diciembre.</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FTX, el Monopoly de las criptodivisas</w:t>
      </w:r>
    </w:p>
    <w:p w:rsidR="00E53855" w:rsidRPr="00982D9E"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t>El gran escándalo de las criptomonedas es visto por algunos como el canario en la mina que avisa del inminente colapso de las galerías. Sam Bankman-Fried (SBF), fundador de la plataforma FTX, fue detenido esta semana en las Bahamas por presuntamente desviar 10.000 millones de dólares (9.400 millones de euros) de clientes e inversores de FTX sin su conocimiento y contra los términos del contrato. El pufo fue destapado por el cierre de la matriz Alameda Research, una firma de inversiones ligada al intercambio de criptoactivos. El fiscal del distrito sur de Nueva York calificó el hecho como “uno de los mayores fraudes f</w:t>
      </w:r>
      <w:r>
        <w:rPr>
          <w:rFonts w:ascii="Times New Roman" w:hAnsi="Times New Roman" w:cs="Times New Roman"/>
          <w:sz w:val="24"/>
          <w:szCs w:val="24"/>
          <w:shd w:val="clear" w:color="auto" w:fill="FFFFFF"/>
        </w:rPr>
        <w:t>inancieros en la historia de EE</w:t>
      </w:r>
      <w:r w:rsidRPr="00982D9E">
        <w:rPr>
          <w:rFonts w:ascii="Times New Roman" w:hAnsi="Times New Roman" w:cs="Times New Roman"/>
          <w:sz w:val="24"/>
          <w:szCs w:val="24"/>
          <w:shd w:val="clear" w:color="auto" w:fill="FFFFFF"/>
        </w:rPr>
        <w:t>UU”. Hasta su detención, SBF se codeaba con lo más granado de las finanzas. Intervino, en remoto, en un importante foro organizado por el diario The New York Times a finales de noviembre en la Gran Manzana, pese a que ya le cercaban las sospechas. El criptogurú por antonomasia se ufanaba hace sol</w:t>
      </w:r>
      <w:r>
        <w:rPr>
          <w:rFonts w:ascii="Times New Roman" w:hAnsi="Times New Roman" w:cs="Times New Roman"/>
          <w:sz w:val="24"/>
          <w:szCs w:val="24"/>
          <w:shd w:val="clear" w:color="auto" w:fill="FFFFFF"/>
        </w:rPr>
        <w:t>o un año ante el Congreso de EE</w:t>
      </w:r>
      <w:r w:rsidRPr="00982D9E">
        <w:rPr>
          <w:rFonts w:ascii="Times New Roman" w:hAnsi="Times New Roman" w:cs="Times New Roman"/>
          <w:sz w:val="24"/>
          <w:szCs w:val="24"/>
          <w:shd w:val="clear" w:color="auto" w:fill="FFFFFF"/>
        </w:rPr>
        <w:t>U</w:t>
      </w:r>
      <w:r>
        <w:rPr>
          <w:rFonts w:ascii="Times New Roman" w:hAnsi="Times New Roman" w:cs="Times New Roman"/>
          <w:sz w:val="24"/>
          <w:szCs w:val="24"/>
          <w:shd w:val="clear" w:color="auto" w:fill="FFFFFF"/>
        </w:rPr>
        <w:t>U de desplegar “una estructura (financiera)</w:t>
      </w:r>
      <w:r w:rsidRPr="00982D9E">
        <w:rPr>
          <w:rFonts w:ascii="Times New Roman" w:hAnsi="Times New Roman" w:cs="Times New Roman"/>
          <w:sz w:val="24"/>
          <w:szCs w:val="24"/>
          <w:shd w:val="clear" w:color="auto" w:fill="FFFFFF"/>
        </w:rPr>
        <w:t xml:space="preserve"> que reduce el riesgo” gracias a los estándares de una industria que permanece ajena a la regulación. Pero en realidad la gestionaba de manera grosera mediante un programa informático de contabilidad para pymes. “Dinero del Monopoly”, calificó el valor del negocio el congresista Ritchie Torres.</w:t>
      </w:r>
    </w:p>
    <w:p w:rsidR="00E53855" w:rsidRDefault="00E53855" w:rsidP="00E53855">
      <w:pPr>
        <w:spacing w:line="240" w:lineRule="auto"/>
        <w:jc w:val="both"/>
        <w:rPr>
          <w:rFonts w:ascii="Times New Roman" w:hAnsi="Times New Roman" w:cs="Times New Roman"/>
          <w:sz w:val="24"/>
          <w:szCs w:val="24"/>
          <w:shd w:val="clear" w:color="auto" w:fill="FFFFFF"/>
        </w:rPr>
      </w:pPr>
      <w:r w:rsidRPr="00982D9E">
        <w:rPr>
          <w:rFonts w:ascii="Times New Roman" w:hAnsi="Times New Roman" w:cs="Times New Roman"/>
          <w:sz w:val="24"/>
          <w:szCs w:val="24"/>
          <w:shd w:val="clear" w:color="auto" w:fill="FFFFFF"/>
        </w:rPr>
        <w:lastRenderedPageBreak/>
        <w:t>Como Holmes, SBF, de 30 años, fue engullido por los focos que había atraído hacia sí, como la luz a las polillas. Niños bonitos de las finanzas, de ascenso fulgurante y estrepitosa caída, ambos encarnan el desafío que suponen empresas que van mucho más deprisa que las leyes encargadas de regularlas, es decir, también de proteger a quienes invierten en ellas. Una lección que la SEC aprendió en 2008, pero que aún parece no haber llegado a las finanzas virtuales.</w:t>
      </w:r>
    </w:p>
    <w:p w:rsidR="00E53855" w:rsidRPr="005B0284" w:rsidRDefault="00E53855" w:rsidP="00E53855">
      <w:pPr>
        <w:spacing w:line="240" w:lineRule="auto"/>
        <w:jc w:val="both"/>
        <w:rPr>
          <w:rFonts w:ascii="Times New Roman" w:hAnsi="Times New Roman" w:cs="Times New Roman"/>
          <w:b/>
          <w:sz w:val="24"/>
          <w:szCs w:val="24"/>
          <w:shd w:val="clear" w:color="auto" w:fill="FFFFFF"/>
        </w:rPr>
      </w:pPr>
      <w:r w:rsidRPr="005B0284">
        <w:rPr>
          <w:rFonts w:ascii="Times New Roman" w:hAnsi="Times New Roman" w:cs="Times New Roman"/>
          <w:b/>
          <w:sz w:val="24"/>
          <w:szCs w:val="24"/>
          <w:shd w:val="clear" w:color="auto" w:fill="FFFFFF"/>
        </w:rPr>
        <w:t xml:space="preserve">Nota: unos “apuntes” al margen </w:t>
      </w:r>
    </w:p>
    <w:p w:rsidR="00E53855"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866C08">
        <w:rPr>
          <w:rStyle w:val="Textoennegrita"/>
          <w:rFonts w:ascii="Times New Roman" w:hAnsi="Times New Roman" w:cs="Times New Roman"/>
          <w:sz w:val="24"/>
          <w:szCs w:val="24"/>
          <w:shd w:val="clear" w:color="auto" w:fill="FFFFFF"/>
        </w:rPr>
        <w:t>Nick Leeson, el inversor que quebró</w:t>
      </w:r>
      <w:r w:rsidRPr="00FC64AF">
        <w:rPr>
          <w:rStyle w:val="Textoennegrita"/>
          <w:rFonts w:ascii="Times New Roman" w:hAnsi="Times New Roman" w:cs="Times New Roman"/>
          <w:sz w:val="24"/>
          <w:szCs w:val="24"/>
          <w:shd w:val="clear" w:color="auto" w:fill="FFFFFF"/>
        </w:rPr>
        <w:t>Barings Bank, la más antigua de Reino Unido, y entre cuyos clientes estaba la antigua</w:t>
      </w:r>
      <w:r>
        <w:rPr>
          <w:rStyle w:val="Textoennegrita"/>
          <w:rFonts w:ascii="Times New Roman" w:hAnsi="Times New Roman" w:cs="Times New Roman"/>
          <w:sz w:val="24"/>
          <w:szCs w:val="24"/>
          <w:shd w:val="clear" w:color="auto" w:fill="FFFFFF"/>
        </w:rPr>
        <w:t xml:space="preserve"> reina de Inglaterra, Isabel II (1995)</w:t>
      </w:r>
    </w:p>
    <w:p w:rsidR="00E53855" w:rsidRDefault="00E53855" w:rsidP="00E53855">
      <w:pPr>
        <w:spacing w:line="240" w:lineRule="auto"/>
        <w:jc w:val="both"/>
        <w:rPr>
          <w:rStyle w:val="Textoennegrita"/>
          <w:rFonts w:ascii="Times New Roman" w:hAnsi="Times New Roman" w:cs="Times New Roman"/>
          <w:b w:val="0"/>
          <w:sz w:val="24"/>
          <w:szCs w:val="24"/>
          <w:shd w:val="clear" w:color="auto" w:fill="FFFFFF"/>
        </w:rPr>
      </w:pPr>
      <w:r w:rsidRPr="00FC64AF">
        <w:rPr>
          <w:rStyle w:val="Textoennegrita"/>
          <w:rFonts w:ascii="Times New Roman" w:hAnsi="Times New Roman" w:cs="Times New Roman"/>
          <w:sz w:val="24"/>
          <w:szCs w:val="24"/>
          <w:shd w:val="clear" w:color="auto" w:fill="FFFFFF"/>
        </w:rPr>
        <w:t>Sus posiciones</w:t>
      </w:r>
      <w:r>
        <w:rPr>
          <w:rStyle w:val="Textoennegrita"/>
          <w:rFonts w:ascii="Times New Roman" w:hAnsi="Times New Roman" w:cs="Times New Roman"/>
          <w:sz w:val="24"/>
          <w:szCs w:val="24"/>
          <w:shd w:val="clear" w:color="auto" w:fill="FFFFFF"/>
        </w:rPr>
        <w:t xml:space="preserve"> en mercado de futuros</w:t>
      </w:r>
      <w:r w:rsidRPr="00FC64AF">
        <w:rPr>
          <w:rStyle w:val="Textoennegrita"/>
          <w:rFonts w:ascii="Times New Roman" w:hAnsi="Times New Roman" w:cs="Times New Roman"/>
          <w:sz w:val="24"/>
          <w:szCs w:val="24"/>
          <w:shd w:val="clear" w:color="auto" w:fill="FFFFFF"/>
        </w:rPr>
        <w:t xml:space="preserve"> llegaron a re</w:t>
      </w:r>
      <w:r>
        <w:rPr>
          <w:rStyle w:val="Textoennegrita"/>
          <w:rFonts w:ascii="Times New Roman" w:hAnsi="Times New Roman" w:cs="Times New Roman"/>
          <w:sz w:val="24"/>
          <w:szCs w:val="24"/>
          <w:shd w:val="clear" w:color="auto" w:fill="FFFFFF"/>
        </w:rPr>
        <w:t>presentar el 40% del Nikkei, con buenos resultados… hasta que t</w:t>
      </w:r>
      <w:r w:rsidRPr="00FC64AF">
        <w:rPr>
          <w:rStyle w:val="Textoennegrita"/>
          <w:rFonts w:ascii="Times New Roman" w:hAnsi="Times New Roman" w:cs="Times New Roman"/>
          <w:sz w:val="24"/>
          <w:szCs w:val="24"/>
          <w:shd w:val="clear" w:color="auto" w:fill="FFFFFF"/>
        </w:rPr>
        <w:t xml:space="preserve">odo colapsa en enero de 1995. </w:t>
      </w:r>
      <w:r w:rsidRPr="000444C6">
        <w:rPr>
          <w:rStyle w:val="Textoennegrita"/>
          <w:rFonts w:ascii="Times New Roman" w:hAnsi="Times New Roman" w:cs="Times New Roman"/>
          <w:sz w:val="24"/>
          <w:szCs w:val="24"/>
          <w:shd w:val="clear" w:color="auto" w:fill="FFFFFF"/>
        </w:rPr>
        <w:t>Desesperado, el 23 de febrero dejó un</w:t>
      </w:r>
      <w:r>
        <w:rPr>
          <w:rStyle w:val="Textoennegrita"/>
          <w:rFonts w:ascii="Times New Roman" w:hAnsi="Times New Roman" w:cs="Times New Roman"/>
          <w:sz w:val="24"/>
          <w:szCs w:val="24"/>
          <w:shd w:val="clear" w:color="auto" w:fill="FFFFFF"/>
        </w:rPr>
        <w:t>a nota en la oficina que decía “Lo siento”</w:t>
      </w:r>
      <w:r w:rsidRPr="000444C6">
        <w:rPr>
          <w:rStyle w:val="Textoennegrita"/>
          <w:rFonts w:ascii="Times New Roman" w:hAnsi="Times New Roman" w:cs="Times New Roman"/>
          <w:sz w:val="24"/>
          <w:szCs w:val="24"/>
          <w:shd w:val="clear" w:color="auto" w:fill="FFFFFF"/>
        </w:rPr>
        <w:t>, y huyó. Las pérdidas equivalían a 1.400 millones de dólares, dos veces el capital disponible del banco. Tras un intento de rescate, que fracasó, se declaró en quiebra, y fue adquirido por ING por 1 libra, a cambio de asumir su pasivo.</w:t>
      </w:r>
    </w:p>
    <w:p w:rsidR="00E53855" w:rsidRPr="00AB7678" w:rsidRDefault="00E53855" w:rsidP="00E53855">
      <w:pPr>
        <w:spacing w:line="240" w:lineRule="auto"/>
        <w:jc w:val="both"/>
        <w:rPr>
          <w:rFonts w:ascii="Times New Roman" w:hAnsi="Times New Roman" w:cs="Times New Roman"/>
          <w:sz w:val="24"/>
          <w:szCs w:val="24"/>
        </w:rPr>
      </w:pPr>
      <w:r>
        <w:rPr>
          <w:rStyle w:val="Textoennegrita"/>
          <w:rFonts w:ascii="Times New Roman" w:hAnsi="Times New Roman" w:cs="Times New Roman"/>
          <w:sz w:val="24"/>
          <w:szCs w:val="24"/>
          <w:shd w:val="clear" w:color="auto" w:fill="FFFFFF"/>
        </w:rPr>
        <w:t xml:space="preserve">La ballena de Londres, </w:t>
      </w:r>
      <w:r w:rsidRPr="00866C08">
        <w:rPr>
          <w:rStyle w:val="Textoennegrita"/>
          <w:rFonts w:ascii="Times New Roman" w:hAnsi="Times New Roman" w:cs="Times New Roman"/>
          <w:sz w:val="24"/>
          <w:szCs w:val="24"/>
          <w:shd w:val="clear" w:color="auto" w:fill="FFFFFF"/>
        </w:rPr>
        <w:t>Bruno Michel Iksil</w:t>
      </w:r>
      <w:r>
        <w:rPr>
          <w:rStyle w:val="Textoennegrita"/>
          <w:rFonts w:ascii="Times New Roman" w:hAnsi="Times New Roman" w:cs="Times New Roman"/>
          <w:sz w:val="24"/>
          <w:szCs w:val="24"/>
          <w:shd w:val="clear" w:color="auto" w:fill="FFFFFF"/>
        </w:rPr>
        <w:t xml:space="preserve">, </w:t>
      </w:r>
      <w:r w:rsidRPr="00AB7678">
        <w:rPr>
          <w:rFonts w:ascii="Times New Roman" w:hAnsi="Times New Roman" w:cs="Times New Roman"/>
          <w:sz w:val="24"/>
          <w:szCs w:val="24"/>
        </w:rPr>
        <w:t>el escándalo de JP Morgan</w:t>
      </w:r>
      <w:r>
        <w:rPr>
          <w:rFonts w:ascii="Times New Roman" w:hAnsi="Times New Roman" w:cs="Times New Roman"/>
          <w:sz w:val="24"/>
          <w:szCs w:val="24"/>
        </w:rPr>
        <w:t xml:space="preserve"> (2012)</w:t>
      </w:r>
    </w:p>
    <w:p w:rsidR="00E53855" w:rsidRPr="0029438F" w:rsidRDefault="00E53855" w:rsidP="00E53855">
      <w:pPr>
        <w:spacing w:line="240" w:lineRule="auto"/>
        <w:jc w:val="both"/>
        <w:rPr>
          <w:rFonts w:ascii="Times New Roman" w:hAnsi="Times New Roman" w:cs="Times New Roman"/>
          <w:sz w:val="24"/>
          <w:szCs w:val="24"/>
        </w:rPr>
      </w:pPr>
      <w:r w:rsidRPr="0029438F">
        <w:rPr>
          <w:rFonts w:ascii="Times New Roman" w:hAnsi="Times New Roman" w:cs="Times New Roman"/>
          <w:sz w:val="24"/>
          <w:szCs w:val="24"/>
        </w:rPr>
        <w:t>El corredor estrella Bruno Iksil, apodado “La Ballena Londinense” acumuló una cantidad y posición desproporcionadas de CDS en el mercado, lo que ocasionó una pérdida inicial de 2</w:t>
      </w:r>
      <w:r>
        <w:rPr>
          <w:rFonts w:ascii="Times New Roman" w:hAnsi="Times New Roman" w:cs="Times New Roman"/>
          <w:sz w:val="24"/>
          <w:szCs w:val="24"/>
        </w:rPr>
        <w:t>.000 millones de dólares</w:t>
      </w:r>
      <w:r w:rsidRPr="0029438F">
        <w:rPr>
          <w:rFonts w:ascii="Times New Roman" w:hAnsi="Times New Roman" w:cs="Times New Roman"/>
          <w:sz w:val="24"/>
          <w:szCs w:val="24"/>
        </w:rPr>
        <w:t xml:space="preserve">, que después de investigaciones por diferentes entes </w:t>
      </w:r>
      <w:r>
        <w:rPr>
          <w:rFonts w:ascii="Times New Roman" w:hAnsi="Times New Roman" w:cs="Times New Roman"/>
          <w:sz w:val="24"/>
          <w:szCs w:val="24"/>
        </w:rPr>
        <w:t>se calcula que llegó a los 9.000</w:t>
      </w:r>
      <w:r w:rsidRPr="0029438F">
        <w:rPr>
          <w:rFonts w:ascii="Times New Roman" w:hAnsi="Times New Roman" w:cs="Times New Roman"/>
          <w:sz w:val="24"/>
          <w:szCs w:val="24"/>
        </w:rPr>
        <w:t xml:space="preserve"> en junio, resaltando que el sistema de manejo de riesgos y los controles internos eran def</w:t>
      </w:r>
      <w:r>
        <w:rPr>
          <w:rFonts w:ascii="Times New Roman" w:hAnsi="Times New Roman" w:cs="Times New Roman"/>
          <w:sz w:val="24"/>
          <w:szCs w:val="24"/>
        </w:rPr>
        <w:t xml:space="preserve">icientes, dejando solo en Iksil </w:t>
      </w:r>
      <w:r w:rsidRPr="0029438F">
        <w:rPr>
          <w:rFonts w:ascii="Times New Roman" w:hAnsi="Times New Roman" w:cs="Times New Roman"/>
          <w:sz w:val="24"/>
          <w:szCs w:val="24"/>
        </w:rPr>
        <w:t>la decisión de inversión, que llevó al desastre.</w:t>
      </w:r>
    </w:p>
    <w:p w:rsidR="00E53855" w:rsidRDefault="00E53855" w:rsidP="00E53855">
      <w:pPr>
        <w:spacing w:line="240" w:lineRule="auto"/>
        <w:jc w:val="both"/>
        <w:rPr>
          <w:rFonts w:ascii="Times New Roman" w:hAnsi="Times New Roman" w:cs="Times New Roman"/>
          <w:sz w:val="24"/>
          <w:szCs w:val="24"/>
        </w:rPr>
      </w:pPr>
      <w:r w:rsidRPr="005B0284">
        <w:rPr>
          <w:rFonts w:ascii="Times New Roman" w:hAnsi="Times New Roman" w:cs="Times New Roman"/>
          <w:sz w:val="24"/>
          <w:szCs w:val="24"/>
        </w:rPr>
        <w:t>La crisis de</w:t>
      </w:r>
      <w:r>
        <w:rPr>
          <w:rFonts w:ascii="Times New Roman" w:hAnsi="Times New Roman" w:cs="Times New Roman"/>
          <w:sz w:val="24"/>
          <w:szCs w:val="24"/>
        </w:rPr>
        <w:t xml:space="preserve"> los opioides en Estados Unidos (1999…) </w:t>
      </w:r>
    </w:p>
    <w:p w:rsidR="00E53855" w:rsidRPr="005B0284" w:rsidRDefault="00E53855" w:rsidP="00E53855">
      <w:pPr>
        <w:spacing w:line="240" w:lineRule="auto"/>
        <w:jc w:val="both"/>
        <w:rPr>
          <w:rFonts w:ascii="Times New Roman" w:hAnsi="Times New Roman" w:cs="Times New Roman"/>
          <w:sz w:val="24"/>
          <w:szCs w:val="24"/>
        </w:rPr>
      </w:pPr>
      <w:r w:rsidRPr="005B0284">
        <w:rPr>
          <w:rFonts w:ascii="Times New Roman" w:hAnsi="Times New Roman" w:cs="Times New Roman"/>
          <w:sz w:val="24"/>
          <w:szCs w:val="24"/>
        </w:rPr>
        <w:t>Millones de estadounidenses se han vuelto adictos a los analgésicos a base de opioides, como el fentanilo y el OxyContin, mientras que casi medio millón de muertes se atribuyeron a sobredosis de e</w:t>
      </w:r>
      <w:r>
        <w:rPr>
          <w:rFonts w:ascii="Times New Roman" w:hAnsi="Times New Roman" w:cs="Times New Roman"/>
          <w:sz w:val="24"/>
          <w:szCs w:val="24"/>
        </w:rPr>
        <w:t xml:space="preserve">sos fármacos entre 1999 y 2019. </w:t>
      </w:r>
      <w:r w:rsidRPr="005B0284">
        <w:rPr>
          <w:rFonts w:ascii="Times New Roman" w:hAnsi="Times New Roman" w:cs="Times New Roman"/>
          <w:sz w:val="24"/>
          <w:szCs w:val="24"/>
        </w:rPr>
        <w:t xml:space="preserve">La empresa propiedad de los Sackler, Purdue Pharma, que fabrica OxyContin, llegó a un acuerdo en 2022 con varios estados de Estados Unidos por su papel en la </w:t>
      </w:r>
      <w:r>
        <w:rPr>
          <w:rFonts w:ascii="Times New Roman" w:hAnsi="Times New Roman" w:cs="Times New Roman"/>
          <w:sz w:val="24"/>
          <w:szCs w:val="24"/>
        </w:rPr>
        <w:t>crisis de opioides en ese país.</w:t>
      </w:r>
    </w:p>
    <w:p w:rsidR="00E53855" w:rsidRPr="00BE1ABA" w:rsidRDefault="00E53855" w:rsidP="00E53855">
      <w:pPr>
        <w:spacing w:line="240" w:lineRule="auto"/>
        <w:jc w:val="both"/>
        <w:rPr>
          <w:rFonts w:ascii="Times New Roman" w:hAnsi="Times New Roman" w:cs="Times New Roman"/>
          <w:b/>
          <w:sz w:val="24"/>
          <w:szCs w:val="24"/>
        </w:rPr>
      </w:pPr>
      <w:r w:rsidRPr="00BE1ABA">
        <w:rPr>
          <w:rFonts w:ascii="Times New Roman" w:hAnsi="Times New Roman" w:cs="Times New Roman"/>
          <w:b/>
          <w:sz w:val="24"/>
          <w:szCs w:val="24"/>
        </w:rPr>
        <w:t xml:space="preserve">Pero por desgracia, </w:t>
      </w:r>
      <w:r>
        <w:rPr>
          <w:rFonts w:ascii="Times New Roman" w:hAnsi="Times New Roman" w:cs="Times New Roman"/>
          <w:b/>
          <w:sz w:val="24"/>
          <w:szCs w:val="24"/>
        </w:rPr>
        <w:t>cuando los</w:t>
      </w:r>
      <w:r w:rsidRPr="00BE1ABA">
        <w:rPr>
          <w:rFonts w:ascii="Times New Roman" w:hAnsi="Times New Roman" w:cs="Times New Roman"/>
          <w:b/>
          <w:sz w:val="24"/>
          <w:szCs w:val="24"/>
        </w:rPr>
        <w:t xml:space="preserve"> caso</w:t>
      </w:r>
      <w:r>
        <w:rPr>
          <w:rFonts w:ascii="Times New Roman" w:hAnsi="Times New Roman" w:cs="Times New Roman"/>
          <w:b/>
          <w:sz w:val="24"/>
          <w:szCs w:val="24"/>
        </w:rPr>
        <w:t>s</w:t>
      </w:r>
      <w:r w:rsidRPr="00BE1ABA">
        <w:rPr>
          <w:rFonts w:ascii="Times New Roman" w:hAnsi="Times New Roman" w:cs="Times New Roman"/>
          <w:b/>
          <w:sz w:val="24"/>
          <w:szCs w:val="24"/>
        </w:rPr>
        <w:t xml:space="preserve"> se hace</w:t>
      </w:r>
      <w:r>
        <w:rPr>
          <w:rFonts w:ascii="Times New Roman" w:hAnsi="Times New Roman" w:cs="Times New Roman"/>
          <w:b/>
          <w:sz w:val="24"/>
          <w:szCs w:val="24"/>
        </w:rPr>
        <w:t>n</w:t>
      </w:r>
      <w:r w:rsidRPr="00BE1ABA">
        <w:rPr>
          <w:rFonts w:ascii="Times New Roman" w:hAnsi="Times New Roman" w:cs="Times New Roman"/>
          <w:b/>
          <w:sz w:val="24"/>
          <w:szCs w:val="24"/>
        </w:rPr>
        <w:t xml:space="preserve"> tan grande</w:t>
      </w:r>
      <w:r>
        <w:rPr>
          <w:rFonts w:ascii="Times New Roman" w:hAnsi="Times New Roman" w:cs="Times New Roman"/>
          <w:b/>
          <w:sz w:val="24"/>
          <w:szCs w:val="24"/>
        </w:rPr>
        <w:t>s, cuando se tienen</w:t>
      </w:r>
      <w:r w:rsidRPr="00BE1ABA">
        <w:rPr>
          <w:rFonts w:ascii="Times New Roman" w:hAnsi="Times New Roman" w:cs="Times New Roman"/>
          <w:b/>
          <w:sz w:val="24"/>
          <w:szCs w:val="24"/>
        </w:rPr>
        <w:t xml:space="preserve"> tanto millones en juego, nadie quiere afrontar la verdad… Ante tantas señales de alarma, muchos cómplices necesarios de la gran estafa (globalismo, financierización, librecambio), siguen insistiendo que nada en</w:t>
      </w:r>
      <w:r>
        <w:rPr>
          <w:rFonts w:ascii="Times New Roman" w:hAnsi="Times New Roman" w:cs="Times New Roman"/>
          <w:b/>
          <w:sz w:val="24"/>
          <w:szCs w:val="24"/>
        </w:rPr>
        <w:t xml:space="preserve"> estos</w:t>
      </w:r>
      <w:r w:rsidRPr="00BE1ABA">
        <w:rPr>
          <w:rFonts w:ascii="Times New Roman" w:hAnsi="Times New Roman" w:cs="Times New Roman"/>
          <w:b/>
          <w:sz w:val="24"/>
          <w:szCs w:val="24"/>
        </w:rPr>
        <w:t xml:space="preserve"> negocio</w:t>
      </w:r>
      <w:r>
        <w:rPr>
          <w:rFonts w:ascii="Times New Roman" w:hAnsi="Times New Roman" w:cs="Times New Roman"/>
          <w:b/>
          <w:sz w:val="24"/>
          <w:szCs w:val="24"/>
        </w:rPr>
        <w:t>s</w:t>
      </w:r>
      <w:r w:rsidRPr="00BE1ABA">
        <w:rPr>
          <w:rFonts w:ascii="Times New Roman" w:hAnsi="Times New Roman" w:cs="Times New Roman"/>
          <w:b/>
          <w:sz w:val="24"/>
          <w:szCs w:val="24"/>
        </w:rPr>
        <w:t xml:space="preserve"> es lo que parece…</w:t>
      </w:r>
    </w:p>
    <w:p w:rsidR="00E53855" w:rsidRPr="00A2201B" w:rsidRDefault="00E53855" w:rsidP="00E53855">
      <w:pPr>
        <w:spacing w:line="240" w:lineRule="auto"/>
        <w:jc w:val="both"/>
        <w:rPr>
          <w:rFonts w:ascii="Times New Roman" w:hAnsi="Times New Roman" w:cs="Times New Roman"/>
          <w:b/>
          <w:sz w:val="24"/>
          <w:szCs w:val="24"/>
        </w:rPr>
      </w:pPr>
      <w:r w:rsidRPr="00A2201B">
        <w:rPr>
          <w:rFonts w:ascii="Times New Roman" w:hAnsi="Times New Roman" w:cs="Times New Roman"/>
          <w:b/>
          <w:sz w:val="24"/>
          <w:szCs w:val="24"/>
        </w:rPr>
        <w:t>En resumen (y hasta donde la vista alcanza)</w:t>
      </w:r>
    </w:p>
    <w:p w:rsidR="00E53855" w:rsidRPr="00C36AE7" w:rsidRDefault="00E53855" w:rsidP="00E53855">
      <w:pPr>
        <w:spacing w:line="240" w:lineRule="auto"/>
        <w:jc w:val="both"/>
        <w:rPr>
          <w:rFonts w:ascii="Times New Roman" w:hAnsi="Times New Roman" w:cs="Times New Roman"/>
          <w:b/>
          <w:sz w:val="24"/>
          <w:szCs w:val="24"/>
          <w:shd w:val="clear" w:color="auto" w:fill="FFFFFF"/>
        </w:rPr>
      </w:pPr>
      <w:r w:rsidRPr="00C36AE7">
        <w:rPr>
          <w:rFonts w:ascii="Times New Roman" w:hAnsi="Times New Roman" w:cs="Times New Roman"/>
          <w:b/>
          <w:sz w:val="24"/>
          <w:szCs w:val="24"/>
          <w:shd w:val="clear" w:color="auto" w:fill="FFFFFF"/>
        </w:rPr>
        <w:t>(1978) Un mundo donde no se admitían más que dos jugadores. Los Estados Unidos y la Unión Soviética, los demás (países) haciendo de peones.</w:t>
      </w:r>
    </w:p>
    <w:p w:rsidR="00E53855" w:rsidRPr="00C36AE7" w:rsidRDefault="00E53855" w:rsidP="00E53855">
      <w:pPr>
        <w:spacing w:line="240" w:lineRule="auto"/>
        <w:jc w:val="both"/>
        <w:rPr>
          <w:rFonts w:ascii="Times New Roman" w:hAnsi="Times New Roman" w:cs="Times New Roman"/>
          <w:b/>
          <w:sz w:val="24"/>
          <w:szCs w:val="24"/>
          <w:shd w:val="clear" w:color="auto" w:fill="FFFFFF"/>
        </w:rPr>
      </w:pPr>
      <w:r w:rsidRPr="00C36AE7">
        <w:rPr>
          <w:rFonts w:ascii="Times New Roman" w:hAnsi="Times New Roman" w:cs="Times New Roman"/>
          <w:b/>
          <w:sz w:val="24"/>
          <w:szCs w:val="24"/>
          <w:shd w:val="clear" w:color="auto" w:fill="FFFFFF"/>
        </w:rPr>
        <w:t>(2023) Un mundo formado por los restos de todos los naufragios, donde China lleva la iniciativa (asume el liderazgo mundial), y los demás países (incluyendo a EEUU y Rusia -porque la URSS dejó de existir), mirando para otro lado.</w:t>
      </w:r>
    </w:p>
    <w:p w:rsidR="00E53855" w:rsidRPr="00C36AE7" w:rsidRDefault="00E53855" w:rsidP="00E53855">
      <w:pPr>
        <w:spacing w:line="240" w:lineRule="auto"/>
        <w:jc w:val="both"/>
        <w:rPr>
          <w:rFonts w:ascii="Times New Roman" w:hAnsi="Times New Roman" w:cs="Times New Roman"/>
          <w:b/>
          <w:sz w:val="24"/>
          <w:szCs w:val="24"/>
          <w:shd w:val="clear" w:color="auto" w:fill="FFFFFF"/>
        </w:rPr>
      </w:pPr>
      <w:r w:rsidRPr="00C36AE7">
        <w:rPr>
          <w:rFonts w:ascii="Times New Roman" w:hAnsi="Times New Roman" w:cs="Times New Roman"/>
          <w:b/>
          <w:sz w:val="24"/>
          <w:szCs w:val="24"/>
          <w:shd w:val="clear" w:color="auto" w:fill="FFFFFF"/>
        </w:rPr>
        <w:t>Entre medio, el mismo sistema corrupto (una economía de casino, o el arte del trile), pero con diferente lenguaje.</w:t>
      </w:r>
    </w:p>
    <w:p w:rsidR="00E53855" w:rsidRPr="00C36AE7" w:rsidRDefault="00E53855" w:rsidP="00E53855">
      <w:pPr>
        <w:spacing w:line="240" w:lineRule="auto"/>
        <w:jc w:val="both"/>
        <w:rPr>
          <w:rStyle w:val="Textoennegrita"/>
          <w:rFonts w:ascii="Times New Roman" w:hAnsi="Times New Roman" w:cs="Times New Roman"/>
          <w:sz w:val="24"/>
          <w:szCs w:val="24"/>
          <w:shd w:val="clear" w:color="auto" w:fill="FFFFFF"/>
        </w:rPr>
      </w:pPr>
      <w:r w:rsidRPr="00C36AE7">
        <w:rPr>
          <w:rFonts w:ascii="Times New Roman" w:hAnsi="Times New Roman" w:cs="Times New Roman"/>
          <w:b/>
          <w:sz w:val="24"/>
          <w:szCs w:val="24"/>
          <w:shd w:val="clear" w:color="auto" w:fill="FFFFFF"/>
        </w:rPr>
        <w:t xml:space="preserve">Y al final, </w:t>
      </w:r>
      <w:r w:rsidRPr="00C36AE7">
        <w:rPr>
          <w:rStyle w:val="Textoennegrita"/>
          <w:rFonts w:ascii="Times New Roman" w:hAnsi="Times New Roman" w:cs="Times New Roman"/>
          <w:sz w:val="24"/>
          <w:szCs w:val="24"/>
          <w:shd w:val="clear" w:color="auto" w:fill="FFFFFF"/>
        </w:rPr>
        <w:t>una banda de aventureros que pretendiendo cambiar la historia, la convirtieron en algo más miserable de lo que ya era.</w:t>
      </w:r>
    </w:p>
    <w:p w:rsidR="00E53855" w:rsidRPr="00C36AE7" w:rsidRDefault="00E53855" w:rsidP="00E53855">
      <w:pPr>
        <w:spacing w:line="240" w:lineRule="auto"/>
        <w:jc w:val="both"/>
        <w:rPr>
          <w:rFonts w:ascii="Times New Roman" w:hAnsi="Times New Roman" w:cs="Times New Roman"/>
          <w:b/>
          <w:sz w:val="24"/>
          <w:szCs w:val="24"/>
        </w:rPr>
      </w:pPr>
      <w:r w:rsidRPr="00C36AE7">
        <w:rPr>
          <w:rFonts w:ascii="Times New Roman" w:hAnsi="Times New Roman" w:cs="Times New Roman"/>
          <w:sz w:val="24"/>
          <w:szCs w:val="24"/>
        </w:rPr>
        <w:lastRenderedPageBreak/>
        <w:t xml:space="preserve">- </w:t>
      </w:r>
      <w:r w:rsidRPr="00C36AE7">
        <w:rPr>
          <w:rFonts w:ascii="Times New Roman" w:hAnsi="Times New Roman" w:cs="Times New Roman"/>
          <w:b/>
          <w:sz w:val="24"/>
          <w:szCs w:val="24"/>
        </w:rPr>
        <w:t>Fotos y fatos (para ciegos voluntarios, cómplices necesarios, o negadores de evidencias)</w:t>
      </w:r>
    </w:p>
    <w:p w:rsidR="00E53855" w:rsidRDefault="00E53855" w:rsidP="00E53855">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lado bueno</w:t>
      </w:r>
      <w:r w:rsidRPr="00ED7FFC">
        <w:rPr>
          <w:rFonts w:ascii="Times New Roman" w:hAnsi="Times New Roman" w:cs="Times New Roman"/>
          <w:b/>
          <w:sz w:val="24"/>
          <w:szCs w:val="24"/>
        </w:rPr>
        <w:t xml:space="preserve"> de l</w:t>
      </w:r>
      <w:r>
        <w:rPr>
          <w:rFonts w:ascii="Times New Roman" w:hAnsi="Times New Roman" w:cs="Times New Roman"/>
          <w:b/>
          <w:sz w:val="24"/>
          <w:szCs w:val="24"/>
        </w:rPr>
        <w:t>as vías del tren (los ganadores</w:t>
      </w:r>
      <w:r w:rsidRPr="00ED7FFC">
        <w:rPr>
          <w:rFonts w:ascii="Times New Roman" w:hAnsi="Times New Roman" w:cs="Times New Roman"/>
          <w:b/>
          <w:sz w:val="24"/>
          <w:szCs w:val="24"/>
        </w:rPr>
        <w:t xml:space="preserve"> de la globalización y el librecambio)</w:t>
      </w:r>
    </w:p>
    <w:p w:rsidR="00E53855" w:rsidRDefault="00E53855" w:rsidP="00E53855">
      <w:pPr>
        <w:spacing w:line="240" w:lineRule="auto"/>
        <w:jc w:val="both"/>
        <w:rPr>
          <w:rFonts w:ascii="Times New Roman" w:hAnsi="Times New Roman" w:cs="Times New Roman"/>
          <w:b/>
          <w:sz w:val="24"/>
          <w:szCs w:val="24"/>
        </w:rPr>
      </w:pPr>
      <w:r>
        <w:rPr>
          <w:rFonts w:ascii="Times New Roman" w:hAnsi="Times New Roman" w:cs="Times New Roman"/>
          <w:b/>
          <w:sz w:val="24"/>
          <w:szCs w:val="24"/>
        </w:rPr>
        <w:t>China: la fábrica del mundo</w:t>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2452425"/>
            <wp:effectExtent l="0" t="0" r="254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452425"/>
                    </a:xfrm>
                    <a:prstGeom prst="rect">
                      <a:avLst/>
                    </a:prstGeom>
                  </pic:spPr>
                </pic:pic>
              </a:graphicData>
            </a:graphic>
          </wp:inline>
        </w:drawing>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2435892"/>
            <wp:effectExtent l="0" t="0" r="254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435892"/>
                    </a:xfrm>
                    <a:prstGeom prst="rect">
                      <a:avLst/>
                    </a:prstGeom>
                  </pic:spPr>
                </pic:pic>
              </a:graphicData>
            </a:graphic>
          </wp:inline>
        </w:drawing>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2757371"/>
            <wp:effectExtent l="0" t="0" r="254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757371"/>
                    </a:xfrm>
                    <a:prstGeom prst="rect">
                      <a:avLst/>
                    </a:prstGeom>
                  </pic:spPr>
                </pic:pic>
              </a:graphicData>
            </a:graphic>
          </wp:inline>
        </w:drawing>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lastRenderedPageBreak/>
        <w:drawing>
          <wp:inline distT="0" distB="0" distL="0" distR="0">
            <wp:extent cx="5731510" cy="2884738"/>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884738"/>
                    </a:xfrm>
                    <a:prstGeom prst="rect">
                      <a:avLst/>
                    </a:prstGeom>
                  </pic:spPr>
                </pic:pic>
              </a:graphicData>
            </a:graphic>
          </wp:inline>
        </w:drawing>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2868817"/>
            <wp:effectExtent l="0" t="0" r="254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868817"/>
                    </a:xfrm>
                    <a:prstGeom prst="rect">
                      <a:avLst/>
                    </a:prstGeom>
                  </pic:spPr>
                </pic:pic>
              </a:graphicData>
            </a:graphic>
          </wp:inline>
        </w:drawing>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2782477"/>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782477"/>
                    </a:xfrm>
                    <a:prstGeom prst="rect">
                      <a:avLst/>
                    </a:prstGeom>
                  </pic:spPr>
                </pic:pic>
              </a:graphicData>
            </a:graphic>
          </wp:inline>
        </w:drawing>
      </w:r>
    </w:p>
    <w:p w:rsidR="00E53855" w:rsidRPr="00EC4D25" w:rsidRDefault="00E53855" w:rsidP="00E53855">
      <w:pPr>
        <w:spacing w:line="240" w:lineRule="auto"/>
        <w:jc w:val="both"/>
        <w:rPr>
          <w:rFonts w:ascii="Times New Roman" w:hAnsi="Times New Roman" w:cs="Times New Roman"/>
          <w:sz w:val="24"/>
          <w:szCs w:val="24"/>
        </w:rPr>
      </w:pPr>
      <w:r w:rsidRPr="00ED7FFC">
        <w:rPr>
          <w:rFonts w:ascii="Times New Roman" w:hAnsi="Times New Roman" w:cs="Times New Roman"/>
          <w:b/>
          <w:sz w:val="24"/>
          <w:szCs w:val="24"/>
        </w:rPr>
        <w:lastRenderedPageBreak/>
        <w:t>El lado malo de las vías del tren (los perdedores de la globalización y el librecambio)</w:t>
      </w:r>
    </w:p>
    <w:p w:rsidR="00E53855" w:rsidRDefault="00E53855" w:rsidP="00E5385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bancarrota de Detroit</w:t>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3227648"/>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227648"/>
                    </a:xfrm>
                    <a:prstGeom prst="rect">
                      <a:avLst/>
                    </a:prstGeom>
                  </pic:spPr>
                </pic:pic>
              </a:graphicData>
            </a:graphic>
          </wp:inline>
        </w:drawing>
      </w:r>
    </w:p>
    <w:p w:rsidR="00E53855" w:rsidRPr="001C7024" w:rsidRDefault="00E53855" w:rsidP="00E53855">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En sus buenos tiempos Detroit fue una Meca del empleo, uno de los lugares donde resultaba más fácil establecerse para los forasteros. Lucía con orgullo el sobrenombre de “Motor City”: su inmensa industria del automóvil la había convertido en una metrópolis populosa y floreciente, en la que había trabajo, dinero, negocios, ganancias. Entre 1900 y 1930 llegaron cant</w:t>
      </w:r>
      <w:r>
        <w:rPr>
          <w:rFonts w:ascii="Times New Roman" w:hAnsi="Times New Roman" w:cs="Times New Roman"/>
          <w:sz w:val="24"/>
          <w:szCs w:val="24"/>
        </w:rPr>
        <w:t>idades ingentes de inmigrantes -</w:t>
      </w:r>
      <w:r w:rsidRPr="001C7024">
        <w:rPr>
          <w:rFonts w:ascii="Times New Roman" w:hAnsi="Times New Roman" w:cs="Times New Roman"/>
          <w:sz w:val="24"/>
          <w:szCs w:val="24"/>
        </w:rPr>
        <w:t>bl</w:t>
      </w:r>
      <w:r>
        <w:rPr>
          <w:rFonts w:ascii="Times New Roman" w:hAnsi="Times New Roman" w:cs="Times New Roman"/>
          <w:sz w:val="24"/>
          <w:szCs w:val="24"/>
        </w:rPr>
        <w:t>ancos europeos y negros del sur-</w:t>
      </w:r>
      <w:r w:rsidRPr="001C7024">
        <w:rPr>
          <w:rFonts w:ascii="Times New Roman" w:hAnsi="Times New Roman" w:cs="Times New Roman"/>
          <w:sz w:val="24"/>
          <w:szCs w:val="24"/>
        </w:rPr>
        <w:t xml:space="preserve"> buscando salir adelante en la fabricación de coches, con lo que Detroit se convirtió en la ciudad de má</w:t>
      </w:r>
      <w:r>
        <w:rPr>
          <w:rFonts w:ascii="Times New Roman" w:hAnsi="Times New Roman" w:cs="Times New Roman"/>
          <w:sz w:val="24"/>
          <w:szCs w:val="24"/>
        </w:rPr>
        <w:t>s rápido crecimiento de los EE</w:t>
      </w:r>
      <w:r w:rsidRPr="001C7024">
        <w:rPr>
          <w:rFonts w:ascii="Times New Roman" w:hAnsi="Times New Roman" w:cs="Times New Roman"/>
          <w:sz w:val="24"/>
          <w:szCs w:val="24"/>
        </w:rPr>
        <w:t>UU, multiplicando su población por seis en apenas tres décadas. General Motors, Ford y Chrysler constituyeron la santísima trinidad de corporaciones que convirtieron el estado de Michigan en el máximo propulsor de la industri</w:t>
      </w:r>
      <w:r>
        <w:rPr>
          <w:rFonts w:ascii="Times New Roman" w:hAnsi="Times New Roman" w:cs="Times New Roman"/>
          <w:sz w:val="24"/>
          <w:szCs w:val="24"/>
        </w:rPr>
        <w:t>a manufacturera estadounidense.</w:t>
      </w:r>
    </w:p>
    <w:p w:rsidR="00E53855" w:rsidRDefault="00E53855" w:rsidP="00E53855">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Aquella prosperidad se transformó en lujuria arquitectónica. Se construyó. Y se siguió construyendo. La ciudad se vistió de lujo, con obras ambiciosas marcadas por un gusto adquirido hacia refinamientos culturales de los que incluso su población obrera podía sentirse orgullosa. Hacia 1950 se alcanzó el pico de población y Detroit llegó a conseguir que su nombre resonase más allá de las fronteras estadounidenses. Y no únicamente por ser la cuna y laboratorio del nativo más célebre de Michigan, Henry Ford, uno de los padres de la industria moderna, si acaso no “el” padre. La ciudad consiguió proyectar al exterior una personalidad propia, una cultura distintiva. Por ejemplo, durante los años 60 alcanzó celebridad universal gracias a la discográfica Motown, que fue para Detroit lo que los Beatles fueron para Liverpool o lo que Nirvana fue para Seattle. Hitos de la cultura popular que ponían una ciudad industrial en el mapamundi</w:t>
      </w:r>
      <w:r>
        <w:rPr>
          <w:rFonts w:ascii="Times New Roman" w:hAnsi="Times New Roman" w:cs="Times New Roman"/>
          <w:sz w:val="24"/>
          <w:szCs w:val="24"/>
        </w:rPr>
        <w:t>…</w:t>
      </w:r>
    </w:p>
    <w:p w:rsidR="00E53855" w:rsidRDefault="00E53855" w:rsidP="00E53855">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 xml:space="preserve">Durante los 70, pese a los crecientes problemas, la ciudad continuaba construyendo grandes edificios e infraestructuras. El declive social se iba agravando, pero no hay quien se fije menos en la auténtica realidad de los números que aquellos que se pasan el día especulando con esos números (y la crisis del 2008 nos ha dado buena muestra de ello). Detroit continuaba brillando de puertas afuera, así que había que seguir adelante con la función: se supone que la </w:t>
      </w:r>
      <w:r w:rsidRPr="001C7024">
        <w:rPr>
          <w:rFonts w:ascii="Times New Roman" w:hAnsi="Times New Roman" w:cs="Times New Roman"/>
          <w:sz w:val="24"/>
          <w:szCs w:val="24"/>
        </w:rPr>
        <w:lastRenderedPageBreak/>
        <w:t>ambición siempre tiene premio y se erigieron hitos arquitectónicos espectaculares como el Renaissance Center, hoy convertido en detalle característico del skyline de la ciudad. En el trasfondo, sin embargo, el desempleo, la pobreza y la violencia crecían. Las empresas seguían marchándose para obtener mayores beneficios en lugares en los que hubiese mano de obra más barata y con menos aspiraciones laborales. La concesión de licencias para nuevas factorías estaba bajo mínimos. Incluso Motown, estandarte económico de la ciudad junto a los tres grandes del automóvil, optó por mudarse a Los Ángeles, capital del negocio musical. El barco de Detroit seguía flotando, a duras penas, pero quienes habían visto agrandarse las vías de agua y tenía</w:t>
      </w:r>
      <w:r>
        <w:rPr>
          <w:rFonts w:ascii="Times New Roman" w:hAnsi="Times New Roman" w:cs="Times New Roman"/>
          <w:sz w:val="24"/>
          <w:szCs w:val="24"/>
        </w:rPr>
        <w:t>n posibilidades para marcharse -las corporaciones-</w:t>
      </w:r>
      <w:r w:rsidRPr="001C7024">
        <w:rPr>
          <w:rFonts w:ascii="Times New Roman" w:hAnsi="Times New Roman" w:cs="Times New Roman"/>
          <w:sz w:val="24"/>
          <w:szCs w:val="24"/>
        </w:rPr>
        <w:t xml:space="preserve"> no lo dudaron un instante y abandonaron la nave. Casi todos los núcleos industriales y manufactureros del nordeste estadounidense empezaron a sufrir las consecuencias de la deslocalización: hoy se lo llama el “cinturón del óxido”, la antigua constelación de centros productivos que se vieron repentinamente condenados a la inactividad cuando las grandes empresas descubrieron que podían ganar más dinero en otros lugares. Pero en ninguna otra parte tuvo este proceso consecuencias tan demoledoras como en Michigan, y de manera tan visible como en Detroit</w:t>
      </w:r>
      <w:r>
        <w:rPr>
          <w:rFonts w:ascii="Times New Roman" w:hAnsi="Times New Roman" w:cs="Times New Roman"/>
          <w:sz w:val="24"/>
          <w:szCs w:val="24"/>
        </w:rPr>
        <w:t>…</w:t>
      </w:r>
    </w:p>
    <w:p w:rsidR="00E53855" w:rsidRDefault="00E53855" w:rsidP="00E53855">
      <w:pPr>
        <w:spacing w:line="240" w:lineRule="auto"/>
        <w:jc w:val="both"/>
        <w:rPr>
          <w:rFonts w:ascii="Times New Roman" w:hAnsi="Times New Roman" w:cs="Times New Roman"/>
          <w:b/>
          <w:sz w:val="24"/>
          <w:szCs w:val="24"/>
        </w:rPr>
      </w:pPr>
      <w:r w:rsidRPr="00E53855">
        <w:rPr>
          <w:rFonts w:ascii="Times New Roman" w:hAnsi="Times New Roman" w:cs="Times New Roman"/>
          <w:b/>
          <w:noProof/>
          <w:sz w:val="24"/>
          <w:szCs w:val="24"/>
          <w:lang w:val="en-GB" w:eastAsia="zh-CN"/>
        </w:rPr>
        <w:drawing>
          <wp:inline distT="0" distB="0" distL="0" distR="0">
            <wp:extent cx="5731510" cy="3193357"/>
            <wp:effectExtent l="0" t="0" r="254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193357"/>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Durante los años 20, la industria manufacturera convirtió Detroit en la ciudad de mayor crecimien</w:t>
      </w:r>
      <w:r>
        <w:rPr>
          <w:rFonts w:ascii="Times New Roman" w:hAnsi="Times New Roman" w:cs="Times New Roman"/>
          <w:sz w:val="24"/>
          <w:szCs w:val="24"/>
        </w:rPr>
        <w:t xml:space="preserve">to en todo EEUU. </w:t>
      </w:r>
    </w:p>
    <w:p w:rsidR="00D35E8A" w:rsidRDefault="00D35E8A" w:rsidP="00D35E8A">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 xml:space="preserve">¿Qué ha sucedido? </w:t>
      </w:r>
    </w:p>
    <w:p w:rsidR="00D35E8A" w:rsidRPr="00C36AE7" w:rsidRDefault="00D35E8A" w:rsidP="00D35E8A">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t>Si damos vuelta el telescopio, y pasamos de lo “macro”, a lo “micro”… de Wall Street, a Main Street, podemos ver cómo le ha ido a la gente, desde 1980 en adelante: ¿han conseguido un mejor empleo? ¿tienen buenos salarios? ¿tienen una mejor educación pública? ¿tienen una mejor sanidad pública? ¿tienen una mayor participación en los ingresos? ¿tienen una menor presión fiscal? ¿tienen una mayor capacidad de ahorro? ¿tienen una pensión asegurada? ¿sus hijos tendrán una vida mejor que la de ellos?...</w:t>
      </w:r>
    </w:p>
    <w:p w:rsidR="00D35E8A" w:rsidRDefault="00D35E8A" w:rsidP="00D35E8A">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t xml:space="preserve">En definitiva: ¿están mejor, o peor, que en el año 1980, en empleo, ingresos, capacidad de consumo, capacidad de ahorro, educación, salud, servicios públicos, confianza, estabilidad, proyección personal, proyección familiar, perspectivas de futuro… </w:t>
      </w: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lastRenderedPageBreak/>
        <w:drawing>
          <wp:inline distT="0" distB="0" distL="0" distR="0">
            <wp:extent cx="5731510" cy="3334196"/>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3334196"/>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Una de las causas de la crisis es la drástica disminución en el número de habitantes: la ciudad perdió más de la mitad de la población que tenía en la década del '50. Según el gobernador de Michigan,</w:t>
      </w:r>
      <w:r>
        <w:rPr>
          <w:rFonts w:ascii="Times New Roman" w:hAnsi="Times New Roman" w:cs="Times New Roman"/>
          <w:sz w:val="24"/>
          <w:szCs w:val="24"/>
        </w:rPr>
        <w:t xml:space="preserve"> Rick Snyder, la crisis actual “</w:t>
      </w:r>
      <w:r w:rsidRPr="00673FF5">
        <w:rPr>
          <w:rFonts w:ascii="Times New Roman" w:hAnsi="Times New Roman" w:cs="Times New Roman"/>
          <w:sz w:val="24"/>
          <w:szCs w:val="24"/>
        </w:rPr>
        <w:t xml:space="preserve">se </w:t>
      </w:r>
      <w:r>
        <w:rPr>
          <w:rFonts w:ascii="Times New Roman" w:hAnsi="Times New Roman" w:cs="Times New Roman"/>
          <w:sz w:val="24"/>
          <w:szCs w:val="24"/>
        </w:rPr>
        <w:t>ha gestado durante seis décadas”</w:t>
      </w:r>
      <w:r w:rsidRPr="00673FF5">
        <w:rPr>
          <w:rFonts w:ascii="Times New Roman" w:hAnsi="Times New Roman" w:cs="Times New Roman"/>
          <w:sz w:val="24"/>
          <w:szCs w:val="24"/>
        </w:rPr>
        <w:t>.</w:t>
      </w: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drawing>
          <wp:inline distT="0" distB="0" distL="0" distR="0">
            <wp:extent cx="5731510" cy="3770182"/>
            <wp:effectExtent l="0" t="0" r="2540" b="190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770182"/>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La fábrica Packard, hoy una de las más tremebundas ruinas industriales del planeta</w:t>
      </w:r>
      <w:r>
        <w:rPr>
          <w:rFonts w:ascii="Times New Roman" w:hAnsi="Times New Roman" w:cs="Times New Roman"/>
          <w:sz w:val="24"/>
          <w:szCs w:val="24"/>
        </w:rPr>
        <w:t>.</w:t>
      </w: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lastRenderedPageBreak/>
        <w:drawing>
          <wp:inline distT="0" distB="0" distL="0" distR="0">
            <wp:extent cx="5731510" cy="3200705"/>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200705"/>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Las finanzas de la ciudad se han deteriorado durante la recesión que golpeó a Estados Unidos desde 2007. Las automotrices han tenido dificultades financieras y han requerido de ayuda financiera del gobierno.</w:t>
      </w: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drawing>
          <wp:inline distT="0" distB="0" distL="0" distR="0">
            <wp:extent cx="5731510" cy="3127837"/>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127837"/>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B94250">
        <w:rPr>
          <w:rFonts w:ascii="Times New Roman" w:hAnsi="Times New Roman" w:cs="Times New Roman"/>
          <w:sz w:val="24"/>
          <w:szCs w:val="24"/>
        </w:rPr>
        <w:t>El carrocero Fisher Body, perteneciente a GM, abrió su planta 21 en 1919, aunque hoy d</w:t>
      </w:r>
      <w:r>
        <w:rPr>
          <w:rFonts w:ascii="Times New Roman" w:hAnsi="Times New Roman" w:cs="Times New Roman"/>
          <w:sz w:val="24"/>
          <w:szCs w:val="24"/>
        </w:rPr>
        <w:t>ía está completamente abandonado</w:t>
      </w:r>
      <w:r w:rsidRPr="00B94250">
        <w:rPr>
          <w:rFonts w:ascii="Times New Roman" w:hAnsi="Times New Roman" w:cs="Times New Roman"/>
          <w:sz w:val="24"/>
          <w:szCs w:val="24"/>
        </w:rPr>
        <w:t>. Durante la década de los noventa fue comprada por una compañía textil, aunque ésta quebró y a partir del año 2000 la propiedad de las instalaciones pasó a la ciudad de Detroit, quien ahora busca un nuevo dueño para dar vida al lugar. Se rumorea que el precio ronda los 300.000 dólares.</w:t>
      </w: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drawing>
          <wp:inline distT="0" distB="0" distL="0" distR="0">
            <wp:extent cx="5731510" cy="3225199"/>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225199"/>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Detroit es la última en la lista de ciudades estadounidenses que se declaran en quiebra: en 2012 lo hicieron tres en California -Stockton, Mammoth Lakes y San Bernardino-; antes, Harrisburg, en el estado de Pensilvania, había hecho una petición preliminar pero la maniobra fue considerada ilegal. Detroit es, por lejos, la más grande.</w:t>
      </w: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drawing>
          <wp:inline distT="0" distB="0" distL="0" distR="0">
            <wp:extent cx="5731510" cy="2722467"/>
            <wp:effectExtent l="0" t="0" r="254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2722467"/>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El viejo estadio de béisbol de los Tigers de Detroit, antes y ahora.</w:t>
      </w: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lastRenderedPageBreak/>
        <w:drawing>
          <wp:inline distT="0" distB="0" distL="0" distR="0">
            <wp:extent cx="5731510" cy="3990625"/>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990625"/>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La decrepitud del Michigan Theater, una tragedia shakesperiana en sí misma.</w:t>
      </w:r>
    </w:p>
    <w:p w:rsidR="00D35E8A" w:rsidRDefault="00D35E8A" w:rsidP="00D35E8A">
      <w:pPr>
        <w:spacing w:line="240" w:lineRule="auto"/>
        <w:jc w:val="both"/>
        <w:rPr>
          <w:rFonts w:ascii="Times New Roman" w:hAnsi="Times New Roman" w:cs="Times New Roman"/>
          <w:sz w:val="24"/>
          <w:szCs w:val="24"/>
        </w:rPr>
      </w:pPr>
      <w:r w:rsidRPr="00D35E8A">
        <w:rPr>
          <w:rFonts w:ascii="Times New Roman" w:hAnsi="Times New Roman" w:cs="Times New Roman"/>
          <w:noProof/>
          <w:sz w:val="24"/>
          <w:szCs w:val="24"/>
          <w:lang w:val="en-GB" w:eastAsia="zh-CN"/>
        </w:rPr>
        <w:drawing>
          <wp:inline distT="0" distB="0" distL="0" distR="0">
            <wp:extent cx="5731510" cy="3874280"/>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874280"/>
                    </a:xfrm>
                    <a:prstGeom prst="rect">
                      <a:avLst/>
                    </a:prstGeom>
                  </pic:spPr>
                </pic:pic>
              </a:graphicData>
            </a:graphic>
          </wp:inline>
        </w:drawing>
      </w:r>
    </w:p>
    <w:p w:rsidR="00D35E8A" w:rsidRDefault="00D35E8A" w:rsidP="00D35E8A">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Los colegios abandonados son la perfecta metáfora del tenebroso futuro de Detroit.</w:t>
      </w:r>
    </w:p>
    <w:p w:rsidR="008D4630" w:rsidRDefault="008D4630" w:rsidP="00D35E8A">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lastRenderedPageBreak/>
        <w:drawing>
          <wp:inline distT="0" distB="0" distL="0" distR="0">
            <wp:extent cx="5731510" cy="3151106"/>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151106"/>
                    </a:xfrm>
                    <a:prstGeom prst="rect">
                      <a:avLst/>
                    </a:prstGeom>
                  </pic:spPr>
                </pic:pic>
              </a:graphicData>
            </a:graphic>
          </wp:inline>
        </w:drawing>
      </w:r>
    </w:p>
    <w:p w:rsidR="008D4630" w:rsidRDefault="008D4630" w:rsidP="008D4630">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La Michigan Central Station, un asombroso monumento a los daños colaterales del capitalismo.</w:t>
      </w:r>
    </w:p>
    <w:p w:rsidR="008D4630" w:rsidRDefault="008D4630" w:rsidP="008D4630">
      <w:pPr>
        <w:spacing w:line="240" w:lineRule="auto"/>
        <w:jc w:val="both"/>
        <w:rPr>
          <w:rFonts w:ascii="Times New Roman" w:hAnsi="Times New Roman" w:cs="Times New Roman"/>
          <w:sz w:val="24"/>
          <w:szCs w:val="24"/>
        </w:rPr>
      </w:pPr>
    </w:p>
    <w:p w:rsidR="008D4630" w:rsidRDefault="008D4630" w:rsidP="00D35E8A">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drawing>
          <wp:inline distT="0" distB="0" distL="0" distR="0">
            <wp:extent cx="5731510" cy="3823456"/>
            <wp:effectExtent l="0" t="0" r="254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823456"/>
                    </a:xfrm>
                    <a:prstGeom prst="rect">
                      <a:avLst/>
                    </a:prstGeom>
                  </pic:spPr>
                </pic:pic>
              </a:graphicData>
            </a:graphic>
          </wp:inline>
        </w:drawing>
      </w:r>
    </w:p>
    <w:p w:rsidR="008D4630" w:rsidRDefault="008D4630" w:rsidP="008D4630">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Impresionante espectáculo: el apocalíptico interior del otrora lujoso United Artists Theater.</w:t>
      </w:r>
    </w:p>
    <w:p w:rsidR="008D4630" w:rsidRDefault="008D4630" w:rsidP="00D35E8A">
      <w:pPr>
        <w:spacing w:line="240" w:lineRule="auto"/>
        <w:jc w:val="both"/>
        <w:rPr>
          <w:rFonts w:ascii="Times New Roman" w:hAnsi="Times New Roman" w:cs="Times New Roman"/>
          <w:sz w:val="24"/>
          <w:szCs w:val="24"/>
        </w:rPr>
      </w:pPr>
    </w:p>
    <w:p w:rsidR="00D35E8A" w:rsidRDefault="00D35E8A" w:rsidP="00E53855">
      <w:pPr>
        <w:spacing w:line="240" w:lineRule="auto"/>
        <w:jc w:val="both"/>
        <w:rPr>
          <w:rFonts w:ascii="Times New Roman" w:hAnsi="Times New Roman" w:cs="Times New Roman"/>
          <w:b/>
          <w:sz w:val="24"/>
          <w:szCs w:val="24"/>
        </w:rPr>
      </w:pPr>
    </w:p>
    <w:p w:rsidR="00E53855" w:rsidRDefault="008D4630" w:rsidP="00E53855">
      <w:pPr>
        <w:spacing w:line="240" w:lineRule="auto"/>
        <w:jc w:val="both"/>
        <w:rPr>
          <w:rFonts w:ascii="Times New Roman" w:hAnsi="Times New Roman" w:cs="Times New Roman"/>
          <w:b/>
          <w:sz w:val="24"/>
          <w:szCs w:val="24"/>
        </w:rPr>
      </w:pPr>
      <w:r w:rsidRPr="008D4630">
        <w:rPr>
          <w:rFonts w:ascii="Times New Roman" w:hAnsi="Times New Roman" w:cs="Times New Roman"/>
          <w:b/>
          <w:noProof/>
          <w:sz w:val="24"/>
          <w:szCs w:val="24"/>
          <w:lang w:val="en-GB" w:eastAsia="zh-CN"/>
        </w:rPr>
        <w:lastRenderedPageBreak/>
        <w:drawing>
          <wp:inline distT="0" distB="0" distL="0" distR="0">
            <wp:extent cx="5731510" cy="4227601"/>
            <wp:effectExtent l="0" t="0" r="254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4227601"/>
                    </a:xfrm>
                    <a:prstGeom prst="rect">
                      <a:avLst/>
                    </a:prstGeom>
                  </pic:spPr>
                </pic:pic>
              </a:graphicData>
            </a:graphic>
          </wp:inline>
        </w:drawing>
      </w:r>
    </w:p>
    <w:p w:rsidR="008D4630" w:rsidRDefault="008D4630" w:rsidP="008D4630">
      <w:pPr>
        <w:spacing w:line="240" w:lineRule="auto"/>
        <w:jc w:val="both"/>
        <w:rPr>
          <w:rFonts w:ascii="Times New Roman" w:hAnsi="Times New Roman" w:cs="Times New Roman"/>
          <w:sz w:val="24"/>
          <w:szCs w:val="24"/>
        </w:rPr>
      </w:pPr>
      <w:r w:rsidRPr="00673FF5">
        <w:rPr>
          <w:rFonts w:ascii="Times New Roman" w:hAnsi="Times New Roman" w:cs="Times New Roman"/>
          <w:sz w:val="24"/>
          <w:szCs w:val="24"/>
        </w:rPr>
        <w:t>El salón de baile del Hotel Plaza, crudo retrato de la vanidad perdida de Detroit.</w:t>
      </w:r>
    </w:p>
    <w:p w:rsidR="008D4630" w:rsidRDefault="008D4630" w:rsidP="008D4630">
      <w:pPr>
        <w:spacing w:line="240" w:lineRule="auto"/>
        <w:jc w:val="both"/>
        <w:rPr>
          <w:rFonts w:ascii="Times New Roman" w:hAnsi="Times New Roman" w:cs="Times New Roman"/>
          <w:sz w:val="24"/>
          <w:szCs w:val="24"/>
        </w:rPr>
      </w:pPr>
    </w:p>
    <w:p w:rsidR="008D4630" w:rsidRDefault="008D4630" w:rsidP="00E53855">
      <w:pPr>
        <w:spacing w:line="240" w:lineRule="auto"/>
        <w:jc w:val="both"/>
        <w:rPr>
          <w:rFonts w:ascii="Times New Roman" w:hAnsi="Times New Roman" w:cs="Times New Roman"/>
          <w:b/>
          <w:sz w:val="24"/>
          <w:szCs w:val="24"/>
        </w:rPr>
      </w:pPr>
      <w:r w:rsidRPr="008D4630">
        <w:rPr>
          <w:rFonts w:ascii="Times New Roman" w:hAnsi="Times New Roman" w:cs="Times New Roman"/>
          <w:b/>
          <w:noProof/>
          <w:sz w:val="24"/>
          <w:szCs w:val="24"/>
          <w:lang w:val="en-GB" w:eastAsia="zh-CN"/>
        </w:rPr>
        <w:drawing>
          <wp:inline distT="0" distB="0" distL="0" distR="0">
            <wp:extent cx="5731510" cy="2481817"/>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481817"/>
                    </a:xfrm>
                    <a:prstGeom prst="rect">
                      <a:avLst/>
                    </a:prstGeom>
                  </pic:spPr>
                </pic:pic>
              </a:graphicData>
            </a:graphic>
          </wp:inline>
        </w:drawing>
      </w:r>
    </w:p>
    <w:p w:rsidR="00E53855" w:rsidRDefault="008D4630" w:rsidP="00E53855">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lastRenderedPageBreak/>
        <w:drawing>
          <wp:inline distT="0" distB="0" distL="0" distR="0">
            <wp:extent cx="5731510" cy="2535091"/>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2535091"/>
                    </a:xfrm>
                    <a:prstGeom prst="rect">
                      <a:avLst/>
                    </a:prstGeom>
                  </pic:spPr>
                </pic:pic>
              </a:graphicData>
            </a:graphic>
          </wp:inline>
        </w:drawing>
      </w:r>
    </w:p>
    <w:p w:rsidR="008D4630" w:rsidRDefault="008D4630" w:rsidP="00E53855">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drawing>
          <wp:inline distT="0" distB="0" distL="0" distR="0">
            <wp:extent cx="5731510" cy="2602448"/>
            <wp:effectExtent l="0" t="0" r="254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602448"/>
                    </a:xfrm>
                    <a:prstGeom prst="rect">
                      <a:avLst/>
                    </a:prstGeom>
                  </pic:spPr>
                </pic:pic>
              </a:graphicData>
            </a:graphic>
          </wp:inline>
        </w:drawing>
      </w:r>
    </w:p>
    <w:p w:rsidR="008D4630" w:rsidRDefault="008D4630" w:rsidP="00E53855">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drawing>
          <wp:inline distT="0" distB="0" distL="0" distR="0">
            <wp:extent cx="5731510" cy="2563871"/>
            <wp:effectExtent l="0" t="0" r="2540" b="8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563871"/>
                    </a:xfrm>
                    <a:prstGeom prst="rect">
                      <a:avLst/>
                    </a:prstGeom>
                  </pic:spPr>
                </pic:pic>
              </a:graphicData>
            </a:graphic>
          </wp:inline>
        </w:drawing>
      </w:r>
    </w:p>
    <w:p w:rsidR="008D4630" w:rsidRDefault="008D4630" w:rsidP="00E53855">
      <w:pPr>
        <w:spacing w:line="240" w:lineRule="auto"/>
        <w:jc w:val="both"/>
        <w:rPr>
          <w:rFonts w:ascii="Times New Roman" w:hAnsi="Times New Roman" w:cs="Times New Roman"/>
          <w:sz w:val="24"/>
          <w:szCs w:val="24"/>
        </w:rPr>
      </w:pPr>
    </w:p>
    <w:p w:rsidR="008D4630" w:rsidRDefault="008D4630" w:rsidP="00E53855">
      <w:pPr>
        <w:spacing w:line="240" w:lineRule="auto"/>
        <w:jc w:val="both"/>
        <w:rPr>
          <w:rFonts w:ascii="Times New Roman" w:hAnsi="Times New Roman" w:cs="Times New Roman"/>
          <w:sz w:val="24"/>
          <w:szCs w:val="24"/>
        </w:rPr>
      </w:pPr>
    </w:p>
    <w:p w:rsidR="008D4630" w:rsidRDefault="008D4630" w:rsidP="00E53855">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lastRenderedPageBreak/>
        <w:drawing>
          <wp:inline distT="0" distB="0" distL="0" distR="0">
            <wp:extent cx="5731510" cy="2618982"/>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2618982"/>
                    </a:xfrm>
                    <a:prstGeom prst="rect">
                      <a:avLst/>
                    </a:prstGeom>
                  </pic:spPr>
                </pic:pic>
              </a:graphicData>
            </a:graphic>
          </wp:inline>
        </w:drawing>
      </w:r>
    </w:p>
    <w:p w:rsidR="008D4630" w:rsidRDefault="008D4630" w:rsidP="00E53855">
      <w:pPr>
        <w:spacing w:line="240" w:lineRule="auto"/>
        <w:jc w:val="both"/>
        <w:rPr>
          <w:rFonts w:ascii="Times New Roman" w:hAnsi="Times New Roman" w:cs="Times New Roman"/>
          <w:sz w:val="24"/>
          <w:szCs w:val="24"/>
        </w:rPr>
      </w:pPr>
      <w:r w:rsidRPr="008D4630">
        <w:rPr>
          <w:rFonts w:ascii="Times New Roman" w:hAnsi="Times New Roman" w:cs="Times New Roman"/>
          <w:noProof/>
          <w:sz w:val="24"/>
          <w:szCs w:val="24"/>
          <w:lang w:val="en-GB" w:eastAsia="zh-CN"/>
        </w:rPr>
        <w:drawing>
          <wp:inline distT="0" distB="0" distL="0" distR="0">
            <wp:extent cx="5731510" cy="2627554"/>
            <wp:effectExtent l="0" t="0" r="2540" b="190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627554"/>
                    </a:xfrm>
                    <a:prstGeom prst="rect">
                      <a:avLst/>
                    </a:prstGeom>
                  </pic:spPr>
                </pic:pic>
              </a:graphicData>
            </a:graphic>
          </wp:inline>
        </w:drawing>
      </w:r>
    </w:p>
    <w:p w:rsidR="008D4630" w:rsidRPr="00DA06CA" w:rsidRDefault="008D4630" w:rsidP="008D4630">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L</w:t>
      </w:r>
      <w:r>
        <w:rPr>
          <w:rFonts w:ascii="Times New Roman" w:hAnsi="Times New Roman" w:cs="Times New Roman"/>
          <w:sz w:val="24"/>
          <w:szCs w:val="24"/>
        </w:rPr>
        <w:t>a bancarrota de Detroit</w:t>
      </w:r>
      <w:r w:rsidRPr="001C7024">
        <w:rPr>
          <w:rFonts w:ascii="Times New Roman" w:hAnsi="Times New Roman" w:cs="Times New Roman"/>
          <w:sz w:val="24"/>
          <w:szCs w:val="24"/>
        </w:rPr>
        <w:t>. A través de</w:t>
      </w:r>
      <w:r>
        <w:rPr>
          <w:rFonts w:ascii="Times New Roman" w:hAnsi="Times New Roman" w:cs="Times New Roman"/>
          <w:sz w:val="24"/>
          <w:szCs w:val="24"/>
        </w:rPr>
        <w:t xml:space="preserve"> Google Street View se puede observar</w:t>
      </w:r>
      <w:r w:rsidRPr="001C7024">
        <w:rPr>
          <w:rFonts w:ascii="Times New Roman" w:hAnsi="Times New Roman" w:cs="Times New Roman"/>
          <w:sz w:val="24"/>
          <w:szCs w:val="24"/>
        </w:rPr>
        <w:t xml:space="preserve"> el antes y el después de algunas de las calles y casas que más han sufrido las consecuencias de la bancarrota.¡Impresionante!</w:t>
      </w:r>
    </w:p>
    <w:p w:rsidR="008D4630" w:rsidRPr="001C7024" w:rsidRDefault="008D4630" w:rsidP="008D4630">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Detroit es y será un paraíso fotográfico para todos los fotógrafos dedicados a la exploración urbana. Una ciudad que sirve de inspiración para cientos de artistas y ofrece una oportunidad única de crear grandes trabajos con todas las herra</w:t>
      </w:r>
      <w:r>
        <w:rPr>
          <w:rFonts w:ascii="Times New Roman" w:hAnsi="Times New Roman" w:cs="Times New Roman"/>
          <w:sz w:val="24"/>
          <w:szCs w:val="24"/>
        </w:rPr>
        <w:t>mientas disponibles hoy en día.</w:t>
      </w:r>
    </w:p>
    <w:p w:rsidR="008D4630" w:rsidRPr="001C7024" w:rsidRDefault="008D4630" w:rsidP="008D4630">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 xml:space="preserve">Mucho se ha escrito sobre Detroit. El declive de la ciudad comienza después de la Segunda Guerra Mundial, continúa con la Crisis del Petróleo en los años 70 y llega a su punto álgido en 2013, cuando la ciudad se declara oficialmente en Bancarrota.  </w:t>
      </w:r>
    </w:p>
    <w:p w:rsidR="008D4630" w:rsidRPr="001C7024" w:rsidRDefault="008D4630" w:rsidP="008D4630">
      <w:pPr>
        <w:spacing w:line="240" w:lineRule="auto"/>
        <w:jc w:val="both"/>
        <w:rPr>
          <w:rFonts w:ascii="Times New Roman" w:hAnsi="Times New Roman" w:cs="Times New Roman"/>
          <w:sz w:val="24"/>
          <w:szCs w:val="24"/>
        </w:rPr>
      </w:pPr>
      <w:r w:rsidRPr="001C7024">
        <w:rPr>
          <w:rFonts w:ascii="Times New Roman" w:hAnsi="Times New Roman" w:cs="Times New Roman"/>
          <w:sz w:val="24"/>
          <w:szCs w:val="24"/>
        </w:rPr>
        <w:t>Con el paso de los años cada vez más habitantes abandonan la ciudad en busca de oportunidades. Esto favorece al incremento de lugares, casas y barrios abandonados.</w:t>
      </w:r>
    </w:p>
    <w:p w:rsidR="008D4630" w:rsidRDefault="008D4630" w:rsidP="008D4630">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Pr="00BC740D">
        <w:rPr>
          <w:rFonts w:ascii="Times New Roman" w:hAnsi="Times New Roman" w:cs="Times New Roman"/>
          <w:b/>
          <w:sz w:val="24"/>
          <w:szCs w:val="24"/>
        </w:rPr>
        <w:t>“Hay tres clases de mentiras: las mentiras, las grande</w:t>
      </w:r>
      <w:r>
        <w:rPr>
          <w:rFonts w:ascii="Times New Roman" w:hAnsi="Times New Roman" w:cs="Times New Roman"/>
          <w:b/>
          <w:sz w:val="24"/>
          <w:szCs w:val="24"/>
        </w:rPr>
        <w:t>s mentiras y… las estadísticas”.</w:t>
      </w:r>
      <w:r w:rsidRPr="00BC740D">
        <w:rPr>
          <w:rFonts w:ascii="Times New Roman" w:hAnsi="Times New Roman" w:cs="Times New Roman"/>
          <w:sz w:val="24"/>
          <w:szCs w:val="24"/>
        </w:rPr>
        <w:t>(La frase la atribuía Mark Twain a quien fuera un par de veces Primer Ministro del Rei</w:t>
      </w:r>
      <w:r>
        <w:rPr>
          <w:rFonts w:ascii="Times New Roman" w:hAnsi="Times New Roman" w:cs="Times New Roman"/>
          <w:sz w:val="24"/>
          <w:szCs w:val="24"/>
        </w:rPr>
        <w:t>no Unido, Benjamin Disraelí). En el siguiente</w:t>
      </w:r>
      <w:r w:rsidRPr="000151C6">
        <w:rPr>
          <w:rFonts w:ascii="Times New Roman" w:hAnsi="Times New Roman" w:cs="Times New Roman"/>
          <w:b/>
          <w:sz w:val="24"/>
          <w:szCs w:val="24"/>
        </w:rPr>
        <w:t>Anexo</w:t>
      </w:r>
      <w:r>
        <w:rPr>
          <w:rFonts w:ascii="Times New Roman" w:hAnsi="Times New Roman" w:cs="Times New Roman"/>
          <w:sz w:val="24"/>
          <w:szCs w:val="24"/>
        </w:rPr>
        <w:t>, se presentan algunos datos que pueden ayudar a separar los “cuentos”, de las “cuentas”. Dar, o quitar razón, a los alquimistas del librecambio, la financierización, la deslocalizacíon, la globalización, y la desregulación.</w:t>
      </w:r>
    </w:p>
    <w:p w:rsidR="00737DC2" w:rsidRPr="000151C6" w:rsidRDefault="00737DC2" w:rsidP="00737DC2">
      <w:pPr>
        <w:spacing w:line="240" w:lineRule="auto"/>
        <w:jc w:val="both"/>
        <w:rPr>
          <w:rFonts w:ascii="Times New Roman" w:hAnsi="Times New Roman" w:cs="Times New Roman"/>
          <w:sz w:val="24"/>
          <w:szCs w:val="24"/>
        </w:rPr>
      </w:pPr>
      <w:r w:rsidRPr="00D61786">
        <w:rPr>
          <w:rFonts w:ascii="Times New Roman" w:hAnsi="Times New Roman" w:cs="Times New Roman"/>
          <w:b/>
          <w:sz w:val="24"/>
          <w:szCs w:val="24"/>
        </w:rPr>
        <w:lastRenderedPageBreak/>
        <w:t xml:space="preserve">Anexo I: </w:t>
      </w:r>
      <w:r>
        <w:rPr>
          <w:rFonts w:ascii="Times New Roman" w:hAnsi="Times New Roman" w:cs="Times New Roman"/>
          <w:b/>
          <w:sz w:val="24"/>
          <w:szCs w:val="24"/>
        </w:rPr>
        <w:t xml:space="preserve">Facta, non verba </w:t>
      </w:r>
    </w:p>
    <w:p w:rsidR="00737DC2" w:rsidRDefault="00737DC2" w:rsidP="00737DC2">
      <w:pPr>
        <w:spacing w:line="240" w:lineRule="auto"/>
        <w:jc w:val="both"/>
        <w:rPr>
          <w:rFonts w:ascii="Times New Roman" w:hAnsi="Times New Roman" w:cs="Times New Roman"/>
          <w:sz w:val="24"/>
          <w:szCs w:val="24"/>
        </w:rPr>
      </w:pPr>
      <w:r w:rsidRPr="00A24FF7">
        <w:rPr>
          <w:rFonts w:ascii="Times New Roman" w:hAnsi="Times New Roman" w:cs="Times New Roman"/>
          <w:noProof/>
          <w:sz w:val="24"/>
          <w:szCs w:val="24"/>
          <w:lang w:val="en-GB" w:eastAsia="zh-CN"/>
        </w:rPr>
        <w:drawing>
          <wp:inline distT="0" distB="0" distL="0" distR="0">
            <wp:extent cx="5734049" cy="3892550"/>
            <wp:effectExtent l="0" t="0" r="63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890826"/>
                    </a:xfrm>
                    <a:prstGeom prst="rect">
                      <a:avLst/>
                    </a:prstGeom>
                  </pic:spPr>
                </pic:pic>
              </a:graphicData>
            </a:graphic>
          </wp:inline>
        </w:drawing>
      </w:r>
    </w:p>
    <w:p w:rsidR="00737DC2" w:rsidRPr="00634126" w:rsidRDefault="00737DC2" w:rsidP="00737DC2">
      <w:pPr>
        <w:spacing w:line="240" w:lineRule="auto"/>
        <w:jc w:val="both"/>
        <w:rPr>
          <w:rFonts w:ascii="Times New Roman" w:hAnsi="Times New Roman" w:cs="Times New Roman"/>
          <w:color w:val="FF0000"/>
          <w:sz w:val="24"/>
          <w:szCs w:val="24"/>
        </w:rPr>
      </w:pPr>
      <w:r w:rsidRPr="00634126">
        <w:rPr>
          <w:rFonts w:ascii="Times New Roman" w:hAnsi="Times New Roman" w:cs="Times New Roman"/>
          <w:color w:val="FF0000"/>
          <w:sz w:val="24"/>
          <w:szCs w:val="24"/>
        </w:rPr>
        <w:t>Nota: China presenta el mayor crecimiento del PIB per cápita anual, en el periodo observado.</w:t>
      </w:r>
    </w:p>
    <w:p w:rsidR="00737DC2" w:rsidRDefault="00737DC2" w:rsidP="00737DC2">
      <w:pPr>
        <w:spacing w:line="240" w:lineRule="auto"/>
        <w:jc w:val="both"/>
        <w:rPr>
          <w:rFonts w:ascii="Times New Roman" w:hAnsi="Times New Roman" w:cs="Times New Roman"/>
          <w:sz w:val="24"/>
          <w:szCs w:val="24"/>
        </w:rPr>
      </w:pPr>
      <w:r w:rsidRPr="00A24FF7">
        <w:rPr>
          <w:rFonts w:ascii="Times New Roman" w:hAnsi="Times New Roman" w:cs="Times New Roman"/>
          <w:noProof/>
          <w:sz w:val="24"/>
          <w:szCs w:val="24"/>
          <w:lang w:val="en-GB" w:eastAsia="zh-CN"/>
        </w:rPr>
        <w:drawing>
          <wp:inline distT="0" distB="0" distL="0" distR="0">
            <wp:extent cx="5731661" cy="3790950"/>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3790850"/>
                    </a:xfrm>
                    <a:prstGeom prst="rect">
                      <a:avLst/>
                    </a:prstGeom>
                  </pic:spPr>
                </pic:pic>
              </a:graphicData>
            </a:graphic>
          </wp:inline>
        </w:drawing>
      </w:r>
    </w:p>
    <w:p w:rsidR="00737DC2" w:rsidRPr="00634126" w:rsidRDefault="00737DC2" w:rsidP="00737DC2">
      <w:pPr>
        <w:spacing w:line="240" w:lineRule="auto"/>
        <w:jc w:val="both"/>
        <w:rPr>
          <w:rFonts w:ascii="Times New Roman" w:hAnsi="Times New Roman" w:cs="Times New Roman"/>
          <w:color w:val="FF0000"/>
          <w:sz w:val="24"/>
          <w:szCs w:val="24"/>
        </w:rPr>
      </w:pPr>
      <w:r w:rsidRPr="00634126">
        <w:rPr>
          <w:rFonts w:ascii="Times New Roman" w:hAnsi="Times New Roman" w:cs="Times New Roman"/>
          <w:color w:val="FF0000"/>
          <w:sz w:val="24"/>
          <w:szCs w:val="24"/>
        </w:rPr>
        <w:t>Nota: China presenta la mejor evolución del Índice de Gini, en el periodo observado.</w:t>
      </w: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lastRenderedPageBreak/>
        <w:drawing>
          <wp:inline distT="0" distB="0" distL="0" distR="0">
            <wp:extent cx="5733293" cy="4870450"/>
            <wp:effectExtent l="0" t="0" r="127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486893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27588" cy="3511550"/>
            <wp:effectExtent l="0" t="0" r="698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51395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31544" cy="3314700"/>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31468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34050" cy="35687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567119"/>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lastRenderedPageBreak/>
        <w:drawing>
          <wp:inline distT="0" distB="0" distL="0" distR="0">
            <wp:extent cx="5730799" cy="4959350"/>
            <wp:effectExtent l="0" t="0" r="381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95996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26537" cy="3378200"/>
            <wp:effectExtent l="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381134"/>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27700" cy="32448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324700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27700" cy="3352800"/>
            <wp:effectExtent l="0" t="0" r="635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355030"/>
                    </a:xfrm>
                    <a:prstGeom prst="rect">
                      <a:avLst/>
                    </a:prstGeom>
                  </pic:spPr>
                </pic:pic>
              </a:graphicData>
            </a:graphic>
          </wp:inline>
        </w:drawing>
      </w:r>
    </w:p>
    <w:p w:rsidR="00737DC2" w:rsidRPr="00634126" w:rsidRDefault="00737DC2" w:rsidP="00737DC2">
      <w:pPr>
        <w:spacing w:line="240" w:lineRule="auto"/>
        <w:jc w:val="both"/>
        <w:rPr>
          <w:rFonts w:ascii="Times New Roman" w:hAnsi="Times New Roman" w:cs="Times New Roman"/>
          <w:color w:val="FF0000"/>
          <w:sz w:val="24"/>
          <w:szCs w:val="24"/>
        </w:rPr>
      </w:pPr>
      <w:r w:rsidRPr="00634126">
        <w:rPr>
          <w:rFonts w:ascii="Times New Roman" w:hAnsi="Times New Roman" w:cs="Times New Roman"/>
          <w:color w:val="FF0000"/>
          <w:sz w:val="24"/>
          <w:szCs w:val="24"/>
        </w:rPr>
        <w:t>Nota: cuando se presenta información de algunos países europeos, representativos, es porque el Ban</w:t>
      </w:r>
      <w:r>
        <w:rPr>
          <w:rFonts w:ascii="Times New Roman" w:hAnsi="Times New Roman" w:cs="Times New Roman"/>
          <w:color w:val="FF0000"/>
          <w:sz w:val="24"/>
          <w:szCs w:val="24"/>
        </w:rPr>
        <w:t>co Mundial no ofrece datos consolidados</w:t>
      </w:r>
      <w:r w:rsidRPr="00634126">
        <w:rPr>
          <w:rFonts w:ascii="Times New Roman" w:hAnsi="Times New Roman" w:cs="Times New Roman"/>
          <w:color w:val="FF0000"/>
          <w:sz w:val="24"/>
          <w:szCs w:val="24"/>
        </w:rPr>
        <w:t xml:space="preserve"> de la Unión Europea.</w:t>
      </w: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lastRenderedPageBreak/>
        <w:drawing>
          <wp:inline distT="0" distB="0" distL="0" distR="0">
            <wp:extent cx="5731510" cy="5050587"/>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505058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26227" cy="3295650"/>
            <wp:effectExtent l="0" t="0" r="825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29869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32469" cy="3321050"/>
            <wp:effectExtent l="0" t="0" r="190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32049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7CB">
        <w:rPr>
          <w:rFonts w:ascii="Times New Roman" w:hAnsi="Times New Roman" w:cs="Times New Roman"/>
          <w:noProof/>
          <w:sz w:val="24"/>
          <w:szCs w:val="24"/>
          <w:lang w:val="en-GB" w:eastAsia="zh-CN"/>
        </w:rPr>
        <w:drawing>
          <wp:inline distT="0" distB="0" distL="0" distR="0">
            <wp:extent cx="5732343" cy="3397250"/>
            <wp:effectExtent l="0" t="0" r="190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39675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lastRenderedPageBreak/>
        <w:drawing>
          <wp:inline distT="0" distB="0" distL="0" distR="0">
            <wp:extent cx="5734048" cy="4864100"/>
            <wp:effectExtent l="0" t="0" r="63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486194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29785" cy="3225800"/>
            <wp:effectExtent l="0" t="0" r="444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22677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29217" cy="3244850"/>
            <wp:effectExtent l="0" t="0" r="508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246149"/>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33944" cy="3498850"/>
            <wp:effectExtent l="0" t="0" r="63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497364"/>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lastRenderedPageBreak/>
        <w:drawing>
          <wp:inline distT="0" distB="0" distL="0" distR="0">
            <wp:extent cx="5731705" cy="5283200"/>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528302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34050" cy="309880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09742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27400" cy="3289300"/>
            <wp:effectExtent l="0" t="0" r="6985"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29166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32471" cy="3244850"/>
            <wp:effectExtent l="0" t="0" r="190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24430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lastRenderedPageBreak/>
        <w:drawing>
          <wp:inline distT="0" distB="0" distL="0" distR="0">
            <wp:extent cx="5733636" cy="4699000"/>
            <wp:effectExtent l="0" t="0" r="635"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469725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32123" cy="3429000"/>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42863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D2B56">
        <w:rPr>
          <w:rFonts w:ascii="Times New Roman" w:hAnsi="Times New Roman" w:cs="Times New Roman"/>
          <w:noProof/>
          <w:sz w:val="24"/>
          <w:szCs w:val="24"/>
          <w:lang w:val="en-GB" w:eastAsia="zh-CN"/>
        </w:rPr>
        <w:drawing>
          <wp:inline distT="0" distB="0" distL="0" distR="0">
            <wp:extent cx="5734050" cy="3232150"/>
            <wp:effectExtent l="0" t="0" r="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23071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575E39">
        <w:rPr>
          <w:rFonts w:ascii="Times New Roman" w:hAnsi="Times New Roman" w:cs="Times New Roman"/>
          <w:noProof/>
          <w:sz w:val="24"/>
          <w:szCs w:val="24"/>
          <w:lang w:val="en-GB" w:eastAsia="zh-CN"/>
        </w:rPr>
        <w:drawing>
          <wp:inline distT="0" distB="0" distL="0" distR="0">
            <wp:extent cx="5726307" cy="3282950"/>
            <wp:effectExtent l="0" t="0" r="825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28593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575E39">
        <w:rPr>
          <w:rFonts w:ascii="Times New Roman" w:hAnsi="Times New Roman" w:cs="Times New Roman"/>
          <w:noProof/>
          <w:sz w:val="24"/>
          <w:szCs w:val="24"/>
          <w:lang w:val="en-GB" w:eastAsia="zh-CN"/>
        </w:rPr>
        <w:lastRenderedPageBreak/>
        <w:drawing>
          <wp:inline distT="0" distB="0" distL="0" distR="0">
            <wp:extent cx="5734012" cy="4902200"/>
            <wp:effectExtent l="0" t="0" r="63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490006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575E39">
        <w:rPr>
          <w:rFonts w:ascii="Times New Roman" w:hAnsi="Times New Roman" w:cs="Times New Roman"/>
          <w:noProof/>
          <w:sz w:val="24"/>
          <w:szCs w:val="24"/>
          <w:lang w:val="en-GB" w:eastAsia="zh-CN"/>
        </w:rPr>
        <w:drawing>
          <wp:inline distT="0" distB="0" distL="0" distR="0">
            <wp:extent cx="5731510" cy="3309702"/>
            <wp:effectExtent l="0" t="0" r="2540" b="508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330970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575E39">
        <w:rPr>
          <w:rFonts w:ascii="Times New Roman" w:hAnsi="Times New Roman" w:cs="Times New Roman"/>
          <w:noProof/>
          <w:sz w:val="24"/>
          <w:szCs w:val="24"/>
          <w:lang w:val="en-GB" w:eastAsia="zh-CN"/>
        </w:rPr>
        <w:drawing>
          <wp:inline distT="0" distB="0" distL="0" distR="0">
            <wp:extent cx="5726183" cy="3219450"/>
            <wp:effectExtent l="0" t="0" r="825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22244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p>
    <w:p w:rsidR="00737DC2" w:rsidRPr="001C7024" w:rsidRDefault="00737DC2" w:rsidP="00737DC2">
      <w:pPr>
        <w:spacing w:line="240" w:lineRule="auto"/>
        <w:jc w:val="both"/>
        <w:rPr>
          <w:rFonts w:ascii="Times New Roman" w:hAnsi="Times New Roman" w:cs="Times New Roman"/>
          <w:sz w:val="24"/>
          <w:szCs w:val="24"/>
        </w:rPr>
      </w:pPr>
      <w:r w:rsidRPr="00575E39">
        <w:rPr>
          <w:rFonts w:ascii="Times New Roman" w:hAnsi="Times New Roman" w:cs="Times New Roman"/>
          <w:noProof/>
          <w:sz w:val="24"/>
          <w:szCs w:val="24"/>
          <w:lang w:val="en-GB" w:eastAsia="zh-CN"/>
        </w:rPr>
        <w:drawing>
          <wp:inline distT="0" distB="0" distL="0" distR="0">
            <wp:extent cx="5731510" cy="2903108"/>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903108"/>
                    </a:xfrm>
                    <a:prstGeom prst="rect">
                      <a:avLst/>
                    </a:prstGeom>
                  </pic:spPr>
                </pic:pic>
              </a:graphicData>
            </a:graphic>
          </wp:inline>
        </w:drawing>
      </w:r>
    </w:p>
    <w:p w:rsidR="00737DC2" w:rsidRPr="001A145E" w:rsidRDefault="00737DC2" w:rsidP="00737DC2">
      <w:pPr>
        <w:spacing w:line="240" w:lineRule="auto"/>
        <w:jc w:val="both"/>
        <w:rPr>
          <w:rFonts w:ascii="Times New Roman" w:hAnsi="Times New Roman" w:cs="Times New Roman"/>
          <w:b/>
          <w:sz w:val="24"/>
          <w:szCs w:val="24"/>
        </w:rPr>
      </w:pPr>
    </w:p>
    <w:p w:rsidR="00737DC2" w:rsidRPr="00634126" w:rsidRDefault="00737DC2" w:rsidP="00737DC2">
      <w:pPr>
        <w:spacing w:line="240" w:lineRule="auto"/>
        <w:jc w:val="both"/>
        <w:rPr>
          <w:rFonts w:ascii="Times New Roman" w:hAnsi="Times New Roman" w:cs="Times New Roman"/>
          <w:color w:val="FF0000"/>
          <w:sz w:val="24"/>
          <w:szCs w:val="24"/>
        </w:rPr>
      </w:pPr>
      <w:r w:rsidRPr="00634126">
        <w:rPr>
          <w:rFonts w:ascii="Times New Roman" w:hAnsi="Times New Roman" w:cs="Times New Roman"/>
          <w:color w:val="FF0000"/>
          <w:sz w:val="24"/>
          <w:szCs w:val="24"/>
        </w:rPr>
        <w:t>Nota: De todos los países observados</w:t>
      </w:r>
      <w:r>
        <w:rPr>
          <w:rFonts w:ascii="Times New Roman" w:hAnsi="Times New Roman" w:cs="Times New Roman"/>
          <w:color w:val="FF0000"/>
          <w:sz w:val="24"/>
          <w:szCs w:val="24"/>
        </w:rPr>
        <w:t>,</w:t>
      </w:r>
      <w:r w:rsidRPr="00634126">
        <w:rPr>
          <w:rFonts w:ascii="Times New Roman" w:hAnsi="Times New Roman" w:cs="Times New Roman"/>
          <w:color w:val="FF0000"/>
          <w:sz w:val="24"/>
          <w:szCs w:val="24"/>
        </w:rPr>
        <w:t xml:space="preserve"> China es la que presenta la mayor reducción de la pobreza</w:t>
      </w:r>
      <w:r>
        <w:rPr>
          <w:rFonts w:ascii="Times New Roman" w:hAnsi="Times New Roman" w:cs="Times New Roman"/>
          <w:color w:val="FF0000"/>
          <w:sz w:val="24"/>
          <w:szCs w:val="24"/>
        </w:rPr>
        <w:t>,</w:t>
      </w:r>
      <w:r w:rsidRPr="00634126">
        <w:rPr>
          <w:rFonts w:ascii="Times New Roman" w:hAnsi="Times New Roman" w:cs="Times New Roman"/>
          <w:color w:val="FF0000"/>
          <w:sz w:val="24"/>
          <w:szCs w:val="24"/>
        </w:rPr>
        <w:t xml:space="preserve"> en el período 1980-2019 (últ</w:t>
      </w:r>
      <w:r>
        <w:rPr>
          <w:rFonts w:ascii="Times New Roman" w:hAnsi="Times New Roman" w:cs="Times New Roman"/>
          <w:color w:val="FF0000"/>
          <w:sz w:val="24"/>
          <w:szCs w:val="24"/>
        </w:rPr>
        <w:t>i</w:t>
      </w:r>
      <w:r w:rsidRPr="00634126">
        <w:rPr>
          <w:rFonts w:ascii="Times New Roman" w:hAnsi="Times New Roman" w:cs="Times New Roman"/>
          <w:color w:val="FF0000"/>
          <w:sz w:val="24"/>
          <w:szCs w:val="24"/>
        </w:rPr>
        <w:t>mo dato disponible).</w:t>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lastRenderedPageBreak/>
        <w:drawing>
          <wp:inline distT="0" distB="0" distL="0" distR="0">
            <wp:extent cx="5731510" cy="3952660"/>
            <wp:effectExtent l="0" t="0" r="254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95266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drawing>
          <wp:inline distT="0" distB="0" distL="0" distR="0">
            <wp:extent cx="5731510" cy="3980215"/>
            <wp:effectExtent l="0" t="0" r="2540" b="127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98021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lastRenderedPageBreak/>
        <w:drawing>
          <wp:inline distT="0" distB="0" distL="0" distR="0">
            <wp:extent cx="5731510" cy="3977766"/>
            <wp:effectExtent l="0" t="0" r="2540" b="381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97776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drawing>
          <wp:inline distT="0" distB="0" distL="0" distR="0">
            <wp:extent cx="5731510" cy="3924492"/>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92449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lastRenderedPageBreak/>
        <w:drawing>
          <wp:inline distT="0" distB="0" distL="0" distR="0">
            <wp:extent cx="5731510" cy="3925105"/>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92510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drawing>
          <wp:inline distT="0" distB="0" distL="0" distR="0">
            <wp:extent cx="5731510" cy="3947761"/>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94776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44235">
        <w:rPr>
          <w:rFonts w:ascii="Times New Roman" w:hAnsi="Times New Roman" w:cs="Times New Roman"/>
          <w:noProof/>
          <w:sz w:val="24"/>
          <w:szCs w:val="24"/>
          <w:lang w:val="en-GB" w:eastAsia="zh-CN"/>
        </w:rPr>
        <w:lastRenderedPageBreak/>
        <w:drawing>
          <wp:inline distT="0" distB="0" distL="0" distR="0">
            <wp:extent cx="5731510" cy="3919594"/>
            <wp:effectExtent l="0" t="0" r="2540" b="508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919594"/>
                    </a:xfrm>
                    <a:prstGeom prst="rect">
                      <a:avLst/>
                    </a:prstGeom>
                  </pic:spPr>
                </pic:pic>
              </a:graphicData>
            </a:graphic>
          </wp:inline>
        </w:drawing>
      </w:r>
    </w:p>
    <w:p w:rsidR="00737DC2" w:rsidRPr="00FC7715" w:rsidRDefault="00737DC2" w:rsidP="00737DC2">
      <w:pPr>
        <w:spacing w:line="240" w:lineRule="auto"/>
        <w:jc w:val="both"/>
        <w:rPr>
          <w:rFonts w:ascii="Times New Roman" w:hAnsi="Times New Roman" w:cs="Times New Roman"/>
          <w:color w:val="FF0000"/>
          <w:sz w:val="24"/>
          <w:szCs w:val="24"/>
        </w:rPr>
      </w:pPr>
      <w:r w:rsidRPr="00634126">
        <w:rPr>
          <w:rFonts w:ascii="Times New Roman" w:hAnsi="Times New Roman" w:cs="Times New Roman"/>
          <w:color w:val="FF0000"/>
          <w:sz w:val="24"/>
          <w:szCs w:val="24"/>
        </w:rPr>
        <w:t>Nota: De todos los países observados China</w:t>
      </w:r>
      <w:r>
        <w:rPr>
          <w:rFonts w:ascii="Times New Roman" w:hAnsi="Times New Roman" w:cs="Times New Roman"/>
          <w:color w:val="FF0000"/>
          <w:sz w:val="24"/>
          <w:szCs w:val="24"/>
        </w:rPr>
        <w:t>,</w:t>
      </w:r>
      <w:r w:rsidRPr="00634126">
        <w:rPr>
          <w:rFonts w:ascii="Times New Roman" w:hAnsi="Times New Roman" w:cs="Times New Roman"/>
          <w:color w:val="FF0000"/>
          <w:sz w:val="24"/>
          <w:szCs w:val="24"/>
        </w:rPr>
        <w:t xml:space="preserve"> es la que presenta la mayor reducción</w:t>
      </w:r>
      <w:r>
        <w:rPr>
          <w:rFonts w:ascii="Times New Roman" w:hAnsi="Times New Roman" w:cs="Times New Roman"/>
          <w:color w:val="FF0000"/>
          <w:sz w:val="24"/>
          <w:szCs w:val="24"/>
        </w:rPr>
        <w:t xml:space="preserve"> en el Índice de P</w:t>
      </w:r>
      <w:r w:rsidRPr="00634126">
        <w:rPr>
          <w:rFonts w:ascii="Times New Roman" w:hAnsi="Times New Roman" w:cs="Times New Roman"/>
          <w:color w:val="FF0000"/>
          <w:sz w:val="24"/>
          <w:szCs w:val="24"/>
        </w:rPr>
        <w:t>obreza</w:t>
      </w:r>
      <w:r>
        <w:rPr>
          <w:rFonts w:ascii="Times New Roman" w:hAnsi="Times New Roman" w:cs="Times New Roman"/>
          <w:color w:val="FF0000"/>
          <w:sz w:val="24"/>
          <w:szCs w:val="24"/>
        </w:rPr>
        <w:t>,</w:t>
      </w:r>
      <w:r w:rsidRPr="00634126">
        <w:rPr>
          <w:rFonts w:ascii="Times New Roman" w:hAnsi="Times New Roman" w:cs="Times New Roman"/>
          <w:color w:val="FF0000"/>
          <w:sz w:val="24"/>
          <w:szCs w:val="24"/>
        </w:rPr>
        <w:t xml:space="preserve"> en el período 1980-2019 (últ</w:t>
      </w:r>
      <w:r>
        <w:rPr>
          <w:rFonts w:ascii="Times New Roman" w:hAnsi="Times New Roman" w:cs="Times New Roman"/>
          <w:color w:val="FF0000"/>
          <w:sz w:val="24"/>
          <w:szCs w:val="24"/>
        </w:rPr>
        <w:t>i</w:t>
      </w:r>
      <w:r w:rsidRPr="00634126">
        <w:rPr>
          <w:rFonts w:ascii="Times New Roman" w:hAnsi="Times New Roman" w:cs="Times New Roman"/>
          <w:color w:val="FF0000"/>
          <w:sz w:val="24"/>
          <w:szCs w:val="24"/>
        </w:rPr>
        <w:t>mo dato disponible)</w:t>
      </w:r>
      <w:r>
        <w:rPr>
          <w:rFonts w:ascii="Times New Roman" w:hAnsi="Times New Roman" w:cs="Times New Roman"/>
          <w:color w:val="FF0000"/>
          <w:sz w:val="24"/>
          <w:szCs w:val="24"/>
        </w:rPr>
        <w:t>.</w:t>
      </w:r>
    </w:p>
    <w:p w:rsidR="00737DC2" w:rsidRDefault="00737DC2" w:rsidP="00737DC2">
      <w:pPr>
        <w:spacing w:line="240" w:lineRule="auto"/>
        <w:jc w:val="both"/>
        <w:rPr>
          <w:rFonts w:ascii="Times New Roman" w:hAnsi="Times New Roman" w:cs="Times New Roman"/>
          <w:sz w:val="24"/>
          <w:szCs w:val="24"/>
        </w:rPr>
      </w:pPr>
      <w:r w:rsidRPr="009C0C99">
        <w:rPr>
          <w:rFonts w:ascii="Times New Roman" w:hAnsi="Times New Roman" w:cs="Times New Roman"/>
          <w:noProof/>
          <w:sz w:val="24"/>
          <w:szCs w:val="24"/>
          <w:lang w:val="en-GB" w:eastAsia="zh-CN"/>
        </w:rPr>
        <w:drawing>
          <wp:inline distT="0" distB="0" distL="0" distR="0">
            <wp:extent cx="5732340" cy="3848100"/>
            <wp:effectExtent l="0" t="0" r="190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3847543"/>
                    </a:xfrm>
                    <a:prstGeom prst="rect">
                      <a:avLst/>
                    </a:prstGeom>
                  </pic:spPr>
                </pic:pic>
              </a:graphicData>
            </a:graphic>
          </wp:inline>
        </w:drawing>
      </w:r>
    </w:p>
    <w:p w:rsidR="00737DC2" w:rsidRPr="00825651" w:rsidRDefault="00737DC2" w:rsidP="00737DC2">
      <w:pPr>
        <w:spacing w:line="240" w:lineRule="auto"/>
        <w:jc w:val="both"/>
        <w:rPr>
          <w:rFonts w:ascii="Times New Roman" w:hAnsi="Times New Roman" w:cs="Times New Roman"/>
          <w:color w:val="FF0000"/>
          <w:sz w:val="24"/>
          <w:szCs w:val="24"/>
        </w:rPr>
      </w:pPr>
      <w:r w:rsidRPr="00825651">
        <w:rPr>
          <w:rFonts w:ascii="Times New Roman" w:hAnsi="Times New Roman" w:cs="Times New Roman"/>
          <w:color w:val="FF0000"/>
          <w:sz w:val="24"/>
          <w:szCs w:val="24"/>
        </w:rPr>
        <w:t>Nota: en todos los países observados se reduce la participación en los ingresos del 20% más pobre de la población, en el período 1980-2019 (últi</w:t>
      </w:r>
      <w:r>
        <w:rPr>
          <w:rFonts w:ascii="Times New Roman" w:hAnsi="Times New Roman" w:cs="Times New Roman"/>
          <w:color w:val="FF0000"/>
          <w:sz w:val="24"/>
          <w:szCs w:val="24"/>
        </w:rPr>
        <w:t xml:space="preserve">mo dato </w:t>
      </w:r>
      <w:r w:rsidRPr="00825651">
        <w:rPr>
          <w:rFonts w:ascii="Times New Roman" w:hAnsi="Times New Roman" w:cs="Times New Roman"/>
          <w:color w:val="FF0000"/>
          <w:sz w:val="24"/>
          <w:szCs w:val="24"/>
        </w:rPr>
        <w:t xml:space="preserve">disponible). </w:t>
      </w:r>
    </w:p>
    <w:p w:rsidR="00737DC2" w:rsidRDefault="00737DC2" w:rsidP="00737DC2">
      <w:pPr>
        <w:spacing w:line="240" w:lineRule="auto"/>
        <w:jc w:val="both"/>
        <w:rPr>
          <w:rFonts w:ascii="Times New Roman" w:hAnsi="Times New Roman" w:cs="Times New Roman"/>
          <w:sz w:val="24"/>
          <w:szCs w:val="24"/>
        </w:rPr>
      </w:pPr>
      <w:r w:rsidRPr="009C0C99">
        <w:rPr>
          <w:rFonts w:ascii="Times New Roman" w:hAnsi="Times New Roman" w:cs="Times New Roman"/>
          <w:noProof/>
          <w:sz w:val="24"/>
          <w:szCs w:val="24"/>
          <w:lang w:val="en-GB" w:eastAsia="zh-CN"/>
        </w:rPr>
        <w:lastRenderedPageBreak/>
        <w:drawing>
          <wp:inline distT="0" distB="0" distL="0" distR="0">
            <wp:extent cx="5727700" cy="4178300"/>
            <wp:effectExtent l="0" t="0" r="635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181080"/>
                    </a:xfrm>
                    <a:prstGeom prst="rect">
                      <a:avLst/>
                    </a:prstGeom>
                  </pic:spPr>
                </pic:pic>
              </a:graphicData>
            </a:graphic>
          </wp:inline>
        </w:drawing>
      </w:r>
    </w:p>
    <w:p w:rsidR="00737DC2" w:rsidRPr="00825651" w:rsidRDefault="00737DC2" w:rsidP="00737DC2">
      <w:pPr>
        <w:spacing w:line="240" w:lineRule="auto"/>
        <w:jc w:val="both"/>
        <w:rPr>
          <w:rFonts w:ascii="Times New Roman" w:hAnsi="Times New Roman" w:cs="Times New Roman"/>
          <w:color w:val="FF0000"/>
          <w:sz w:val="24"/>
          <w:szCs w:val="24"/>
        </w:rPr>
      </w:pPr>
      <w:r w:rsidRPr="00825651">
        <w:rPr>
          <w:rFonts w:ascii="Times New Roman" w:hAnsi="Times New Roman" w:cs="Times New Roman"/>
          <w:color w:val="FF0000"/>
          <w:sz w:val="24"/>
          <w:szCs w:val="24"/>
        </w:rPr>
        <w:t>Nota: en todos los países observados</w:t>
      </w:r>
      <w:r>
        <w:rPr>
          <w:rFonts w:ascii="Times New Roman" w:hAnsi="Times New Roman" w:cs="Times New Roman"/>
          <w:color w:val="FF0000"/>
          <w:sz w:val="24"/>
          <w:szCs w:val="24"/>
        </w:rPr>
        <w:t>, con la excepción de China</w:t>
      </w:r>
      <w:proofErr w:type="gramStart"/>
      <w:r>
        <w:rPr>
          <w:rFonts w:ascii="Times New Roman" w:hAnsi="Times New Roman" w:cs="Times New Roman"/>
          <w:color w:val="FF0000"/>
          <w:sz w:val="24"/>
          <w:szCs w:val="24"/>
        </w:rPr>
        <w:t>,aumenta</w:t>
      </w:r>
      <w:proofErr w:type="gramEnd"/>
      <w:r>
        <w:rPr>
          <w:rFonts w:ascii="Times New Roman" w:hAnsi="Times New Roman" w:cs="Times New Roman"/>
          <w:color w:val="FF0000"/>
          <w:sz w:val="24"/>
          <w:szCs w:val="24"/>
        </w:rPr>
        <w:t xml:space="preserve"> </w:t>
      </w:r>
      <w:r w:rsidRPr="00825651">
        <w:rPr>
          <w:rFonts w:ascii="Times New Roman" w:hAnsi="Times New Roman" w:cs="Times New Roman"/>
          <w:color w:val="FF0000"/>
          <w:sz w:val="24"/>
          <w:szCs w:val="24"/>
        </w:rPr>
        <w:t>la participación en</w:t>
      </w:r>
      <w:r>
        <w:rPr>
          <w:rFonts w:ascii="Times New Roman" w:hAnsi="Times New Roman" w:cs="Times New Roman"/>
          <w:color w:val="FF0000"/>
          <w:sz w:val="24"/>
          <w:szCs w:val="24"/>
        </w:rPr>
        <w:t xml:space="preserve"> los ingresos del 20% más rico</w:t>
      </w:r>
      <w:r w:rsidRPr="00825651">
        <w:rPr>
          <w:rFonts w:ascii="Times New Roman" w:hAnsi="Times New Roman" w:cs="Times New Roman"/>
          <w:color w:val="FF0000"/>
          <w:sz w:val="24"/>
          <w:szCs w:val="24"/>
        </w:rPr>
        <w:t xml:space="preserve"> de la población, en el período 1980-2019 (últi</w:t>
      </w:r>
      <w:r>
        <w:rPr>
          <w:rFonts w:ascii="Times New Roman" w:hAnsi="Times New Roman" w:cs="Times New Roman"/>
          <w:color w:val="FF0000"/>
          <w:sz w:val="24"/>
          <w:szCs w:val="24"/>
        </w:rPr>
        <w:t>mo dato</w:t>
      </w:r>
      <w:r w:rsidRPr="00825651">
        <w:rPr>
          <w:rFonts w:ascii="Times New Roman" w:hAnsi="Times New Roman" w:cs="Times New Roman"/>
          <w:color w:val="FF0000"/>
          <w:sz w:val="24"/>
          <w:szCs w:val="24"/>
        </w:rPr>
        <w:t xml:space="preserve"> disponible). </w:t>
      </w:r>
    </w:p>
    <w:p w:rsidR="00737DC2" w:rsidRDefault="00737DC2" w:rsidP="00737DC2">
      <w:pPr>
        <w:spacing w:line="240" w:lineRule="auto"/>
        <w:jc w:val="both"/>
        <w:rPr>
          <w:rFonts w:ascii="Times New Roman" w:hAnsi="Times New Roman" w:cs="Times New Roman"/>
          <w:sz w:val="24"/>
          <w:szCs w:val="24"/>
        </w:rPr>
      </w:pPr>
      <w:r w:rsidRPr="009C0C99">
        <w:rPr>
          <w:rFonts w:ascii="Times New Roman" w:hAnsi="Times New Roman" w:cs="Times New Roman"/>
          <w:noProof/>
          <w:sz w:val="24"/>
          <w:szCs w:val="24"/>
          <w:lang w:val="en-GB" w:eastAsia="zh-CN"/>
        </w:rPr>
        <w:drawing>
          <wp:inline distT="0" distB="0" distL="0" distR="0">
            <wp:extent cx="5727699" cy="3314700"/>
            <wp:effectExtent l="0" t="0" r="698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316905"/>
                    </a:xfrm>
                    <a:prstGeom prst="rect">
                      <a:avLst/>
                    </a:prstGeom>
                  </pic:spPr>
                </pic:pic>
              </a:graphicData>
            </a:graphic>
          </wp:inline>
        </w:drawing>
      </w:r>
    </w:p>
    <w:p w:rsidR="00737DC2" w:rsidRPr="00825651" w:rsidRDefault="00737DC2" w:rsidP="00737DC2">
      <w:pPr>
        <w:spacing w:line="240" w:lineRule="auto"/>
        <w:jc w:val="both"/>
        <w:rPr>
          <w:rFonts w:ascii="Times New Roman" w:hAnsi="Times New Roman" w:cs="Times New Roman"/>
          <w:color w:val="FF0000"/>
          <w:sz w:val="24"/>
          <w:szCs w:val="24"/>
        </w:rPr>
      </w:pPr>
      <w:r w:rsidRPr="00825651">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en el período 1991-2021 China presenta el menor Índice de desempleo, varones. El año 1991 es el primero disponible de la serie publicada por el Banco Mundial.</w:t>
      </w:r>
    </w:p>
    <w:p w:rsidR="00737DC2" w:rsidRDefault="00737DC2" w:rsidP="00737DC2">
      <w:pPr>
        <w:spacing w:line="240" w:lineRule="auto"/>
        <w:jc w:val="both"/>
        <w:rPr>
          <w:rFonts w:ascii="Times New Roman" w:hAnsi="Times New Roman" w:cs="Times New Roman"/>
          <w:sz w:val="24"/>
          <w:szCs w:val="24"/>
        </w:rPr>
      </w:pPr>
      <w:r w:rsidRPr="00500D1B">
        <w:rPr>
          <w:rFonts w:ascii="Times New Roman" w:hAnsi="Times New Roman" w:cs="Times New Roman"/>
          <w:noProof/>
          <w:sz w:val="24"/>
          <w:szCs w:val="24"/>
          <w:lang w:val="en-GB" w:eastAsia="zh-CN"/>
        </w:rPr>
        <w:lastRenderedPageBreak/>
        <w:drawing>
          <wp:inline distT="0" distB="0" distL="0" distR="0">
            <wp:extent cx="5727700" cy="3917950"/>
            <wp:effectExtent l="0" t="0" r="635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920556"/>
                    </a:xfrm>
                    <a:prstGeom prst="rect">
                      <a:avLst/>
                    </a:prstGeom>
                  </pic:spPr>
                </pic:pic>
              </a:graphicData>
            </a:graphic>
          </wp:inline>
        </w:drawing>
      </w:r>
    </w:p>
    <w:p w:rsidR="00737DC2" w:rsidRPr="00825651" w:rsidRDefault="00737DC2" w:rsidP="00737DC2">
      <w:pPr>
        <w:spacing w:line="240" w:lineRule="auto"/>
        <w:jc w:val="both"/>
        <w:rPr>
          <w:rFonts w:ascii="Times New Roman" w:hAnsi="Times New Roman" w:cs="Times New Roman"/>
          <w:color w:val="FF0000"/>
          <w:sz w:val="24"/>
          <w:szCs w:val="24"/>
        </w:rPr>
      </w:pPr>
      <w:r w:rsidRPr="00825651">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en el período 1991-2021 China presenta el menor Índice de desempleo, mujeres.</w:t>
      </w:r>
    </w:p>
    <w:p w:rsidR="00737DC2" w:rsidRDefault="00737DC2" w:rsidP="00737DC2">
      <w:pPr>
        <w:spacing w:line="240" w:lineRule="auto"/>
        <w:jc w:val="both"/>
        <w:rPr>
          <w:rFonts w:ascii="Times New Roman" w:hAnsi="Times New Roman" w:cs="Times New Roman"/>
          <w:sz w:val="24"/>
          <w:szCs w:val="24"/>
        </w:rPr>
      </w:pPr>
      <w:r w:rsidRPr="00500D1B">
        <w:rPr>
          <w:rFonts w:ascii="Times New Roman" w:hAnsi="Times New Roman" w:cs="Times New Roman"/>
          <w:noProof/>
          <w:sz w:val="24"/>
          <w:szCs w:val="24"/>
          <w:lang w:val="en-GB" w:eastAsia="zh-CN"/>
        </w:rPr>
        <w:drawing>
          <wp:inline distT="0" distB="0" distL="0" distR="0">
            <wp:extent cx="5734050" cy="365125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649633"/>
                    </a:xfrm>
                    <a:prstGeom prst="rect">
                      <a:avLst/>
                    </a:prstGeom>
                  </pic:spPr>
                </pic:pic>
              </a:graphicData>
            </a:graphic>
          </wp:inline>
        </w:drawing>
      </w:r>
    </w:p>
    <w:p w:rsidR="00737DC2" w:rsidRPr="002C64CF" w:rsidRDefault="00737DC2" w:rsidP="00737DC2">
      <w:pPr>
        <w:spacing w:line="240" w:lineRule="auto"/>
        <w:jc w:val="both"/>
        <w:rPr>
          <w:rFonts w:ascii="Times New Roman" w:hAnsi="Times New Roman" w:cs="Times New Roman"/>
          <w:color w:val="FF0000"/>
          <w:sz w:val="24"/>
          <w:szCs w:val="24"/>
        </w:rPr>
      </w:pPr>
      <w:r w:rsidRPr="002C64CF">
        <w:rPr>
          <w:rFonts w:ascii="Times New Roman" w:hAnsi="Times New Roman" w:cs="Times New Roman"/>
          <w:color w:val="FF0000"/>
          <w:sz w:val="24"/>
          <w:szCs w:val="24"/>
        </w:rPr>
        <w:t>Nota: en el períod</w:t>
      </w:r>
      <w:r>
        <w:rPr>
          <w:rFonts w:ascii="Times New Roman" w:hAnsi="Times New Roman" w:cs="Times New Roman"/>
          <w:color w:val="FF0000"/>
          <w:sz w:val="24"/>
          <w:szCs w:val="24"/>
        </w:rPr>
        <w:t>o 1994</w:t>
      </w:r>
      <w:r w:rsidRPr="002C64CF">
        <w:rPr>
          <w:rFonts w:ascii="Times New Roman" w:hAnsi="Times New Roman" w:cs="Times New Roman"/>
          <w:color w:val="FF0000"/>
          <w:sz w:val="24"/>
          <w:szCs w:val="24"/>
        </w:rPr>
        <w:t>-2021</w:t>
      </w:r>
      <w:r>
        <w:rPr>
          <w:rFonts w:ascii="Times New Roman" w:hAnsi="Times New Roman" w:cs="Times New Roman"/>
          <w:color w:val="FF0000"/>
          <w:sz w:val="24"/>
          <w:szCs w:val="24"/>
        </w:rPr>
        <w:t>, tanto EEUU, como la</w:t>
      </w:r>
      <w:r w:rsidRPr="002C64CF">
        <w:rPr>
          <w:rFonts w:ascii="Times New Roman" w:hAnsi="Times New Roman" w:cs="Times New Roman"/>
          <w:color w:val="FF0000"/>
          <w:sz w:val="24"/>
          <w:szCs w:val="24"/>
        </w:rPr>
        <w:t xml:space="preserve"> UE no presentan una mejora significativa en</w:t>
      </w:r>
      <w:r>
        <w:rPr>
          <w:rFonts w:ascii="Times New Roman" w:hAnsi="Times New Roman" w:cs="Times New Roman"/>
          <w:color w:val="FF0000"/>
          <w:sz w:val="24"/>
          <w:szCs w:val="24"/>
        </w:rPr>
        <w:t xml:space="preserve"> el Índice de</w:t>
      </w:r>
      <w:r w:rsidRPr="002C64CF">
        <w:rPr>
          <w:rFonts w:ascii="Times New Roman" w:hAnsi="Times New Roman" w:cs="Times New Roman"/>
          <w:color w:val="FF0000"/>
          <w:sz w:val="24"/>
          <w:szCs w:val="24"/>
        </w:rPr>
        <w:t xml:space="preserve"> Personas desempleadas con educación avanzada. </w:t>
      </w:r>
      <w:r>
        <w:rPr>
          <w:rFonts w:ascii="Times New Roman" w:hAnsi="Times New Roman" w:cs="Times New Roman"/>
          <w:color w:val="FF0000"/>
          <w:sz w:val="24"/>
          <w:szCs w:val="24"/>
        </w:rPr>
        <w:t>El año 1994 es el primero disponible de la serie. El Banco Mundial no publica</w:t>
      </w:r>
      <w:r w:rsidRPr="002C64CF">
        <w:rPr>
          <w:rFonts w:ascii="Times New Roman" w:hAnsi="Times New Roman" w:cs="Times New Roman"/>
          <w:color w:val="FF0000"/>
          <w:sz w:val="24"/>
          <w:szCs w:val="24"/>
        </w:rPr>
        <w:t xml:space="preserve"> información sobre China</w:t>
      </w:r>
      <w:r>
        <w:rPr>
          <w:rFonts w:ascii="Times New Roman" w:hAnsi="Times New Roman" w:cs="Times New Roman"/>
          <w:color w:val="FF0000"/>
          <w:sz w:val="24"/>
          <w:szCs w:val="24"/>
        </w:rPr>
        <w:t>.</w:t>
      </w:r>
    </w:p>
    <w:p w:rsidR="00737DC2" w:rsidRDefault="00737DC2" w:rsidP="00737DC2">
      <w:pPr>
        <w:spacing w:line="240" w:lineRule="auto"/>
        <w:jc w:val="both"/>
        <w:rPr>
          <w:rFonts w:ascii="Times New Roman" w:hAnsi="Times New Roman" w:cs="Times New Roman"/>
          <w:sz w:val="24"/>
          <w:szCs w:val="24"/>
        </w:rPr>
      </w:pPr>
      <w:r w:rsidRPr="00500D1B">
        <w:rPr>
          <w:rFonts w:ascii="Times New Roman" w:hAnsi="Times New Roman" w:cs="Times New Roman"/>
          <w:noProof/>
          <w:sz w:val="24"/>
          <w:szCs w:val="24"/>
          <w:lang w:val="en-GB" w:eastAsia="zh-CN"/>
        </w:rPr>
        <w:lastRenderedPageBreak/>
        <w:drawing>
          <wp:inline distT="0" distB="0" distL="0" distR="0">
            <wp:extent cx="5727700" cy="3460750"/>
            <wp:effectExtent l="0" t="0" r="635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463052"/>
                    </a:xfrm>
                    <a:prstGeom prst="rect">
                      <a:avLst/>
                    </a:prstGeom>
                  </pic:spPr>
                </pic:pic>
              </a:graphicData>
            </a:graphic>
          </wp:inline>
        </w:drawing>
      </w:r>
    </w:p>
    <w:p w:rsidR="00737DC2" w:rsidRPr="00C34721" w:rsidRDefault="00737DC2" w:rsidP="00737DC2">
      <w:pPr>
        <w:spacing w:line="240" w:lineRule="auto"/>
        <w:jc w:val="both"/>
        <w:rPr>
          <w:rFonts w:ascii="Times New Roman" w:hAnsi="Times New Roman" w:cs="Times New Roman"/>
          <w:color w:val="FF0000"/>
          <w:sz w:val="24"/>
          <w:szCs w:val="24"/>
        </w:rPr>
      </w:pPr>
      <w:r w:rsidRPr="002C64CF">
        <w:rPr>
          <w:rFonts w:ascii="Times New Roman" w:hAnsi="Times New Roman" w:cs="Times New Roman"/>
          <w:color w:val="FF0000"/>
          <w:sz w:val="24"/>
          <w:szCs w:val="24"/>
        </w:rPr>
        <w:t>Nota: en el períod</w:t>
      </w:r>
      <w:r>
        <w:rPr>
          <w:rFonts w:ascii="Times New Roman" w:hAnsi="Times New Roman" w:cs="Times New Roman"/>
          <w:color w:val="FF0000"/>
          <w:sz w:val="24"/>
          <w:szCs w:val="24"/>
        </w:rPr>
        <w:t>o 1994</w:t>
      </w:r>
      <w:r w:rsidRPr="002C64CF">
        <w:rPr>
          <w:rFonts w:ascii="Times New Roman" w:hAnsi="Times New Roman" w:cs="Times New Roman"/>
          <w:color w:val="FF0000"/>
          <w:sz w:val="24"/>
          <w:szCs w:val="24"/>
        </w:rPr>
        <w:t>-2021</w:t>
      </w:r>
      <w:r>
        <w:rPr>
          <w:rFonts w:ascii="Times New Roman" w:hAnsi="Times New Roman" w:cs="Times New Roman"/>
          <w:color w:val="FF0000"/>
          <w:sz w:val="24"/>
          <w:szCs w:val="24"/>
        </w:rPr>
        <w:t>, EEUU no presenta</w:t>
      </w:r>
      <w:r w:rsidRPr="002C64CF">
        <w:rPr>
          <w:rFonts w:ascii="Times New Roman" w:hAnsi="Times New Roman" w:cs="Times New Roman"/>
          <w:color w:val="FF0000"/>
          <w:sz w:val="24"/>
          <w:szCs w:val="24"/>
        </w:rPr>
        <w:t xml:space="preserve"> una mejora significativa</w:t>
      </w:r>
      <w:r>
        <w:rPr>
          <w:rFonts w:ascii="Times New Roman" w:hAnsi="Times New Roman" w:cs="Times New Roman"/>
          <w:color w:val="FF0000"/>
          <w:sz w:val="24"/>
          <w:szCs w:val="24"/>
        </w:rPr>
        <w:t>, mientras en la UE se verifica una mejora relativa, entre extremos de la serie,</w:t>
      </w:r>
      <w:r w:rsidRPr="002C64CF">
        <w:rPr>
          <w:rFonts w:ascii="Times New Roman" w:hAnsi="Times New Roman" w:cs="Times New Roman"/>
          <w:color w:val="FF0000"/>
          <w:sz w:val="24"/>
          <w:szCs w:val="24"/>
        </w:rPr>
        <w:t xml:space="preserve"> en</w:t>
      </w:r>
      <w:r>
        <w:rPr>
          <w:rFonts w:ascii="Times New Roman" w:hAnsi="Times New Roman" w:cs="Times New Roman"/>
          <w:color w:val="FF0000"/>
          <w:sz w:val="24"/>
          <w:szCs w:val="24"/>
        </w:rPr>
        <w:t xml:space="preserve"> el Índice de</w:t>
      </w:r>
      <w:r w:rsidRPr="002C64CF">
        <w:rPr>
          <w:rFonts w:ascii="Times New Roman" w:hAnsi="Times New Roman" w:cs="Times New Roman"/>
          <w:color w:val="FF0000"/>
          <w:sz w:val="24"/>
          <w:szCs w:val="24"/>
        </w:rPr>
        <w:t xml:space="preserve"> Personas des</w:t>
      </w:r>
      <w:r>
        <w:rPr>
          <w:rFonts w:ascii="Times New Roman" w:hAnsi="Times New Roman" w:cs="Times New Roman"/>
          <w:color w:val="FF0000"/>
          <w:sz w:val="24"/>
          <w:szCs w:val="24"/>
        </w:rPr>
        <w:t>empleadas con educación intermedia</w:t>
      </w:r>
      <w:r w:rsidRPr="002C64CF">
        <w:rPr>
          <w:rFonts w:ascii="Times New Roman" w:hAnsi="Times New Roman" w:cs="Times New Roman"/>
          <w:color w:val="FF0000"/>
          <w:sz w:val="24"/>
          <w:szCs w:val="24"/>
        </w:rPr>
        <w:t xml:space="preserve">. </w:t>
      </w:r>
      <w:r>
        <w:rPr>
          <w:rFonts w:ascii="Times New Roman" w:hAnsi="Times New Roman" w:cs="Times New Roman"/>
          <w:color w:val="FF0000"/>
          <w:sz w:val="24"/>
          <w:szCs w:val="24"/>
        </w:rPr>
        <w:t>El año 1994 es el primero disponible de la serie. El Banco Mundial no publica</w:t>
      </w:r>
      <w:r w:rsidRPr="002C64CF">
        <w:rPr>
          <w:rFonts w:ascii="Times New Roman" w:hAnsi="Times New Roman" w:cs="Times New Roman"/>
          <w:color w:val="FF0000"/>
          <w:sz w:val="24"/>
          <w:szCs w:val="24"/>
        </w:rPr>
        <w:t xml:space="preserve"> información sobre China</w:t>
      </w:r>
      <w:r>
        <w:rPr>
          <w:rFonts w:ascii="Times New Roman" w:hAnsi="Times New Roman" w:cs="Times New Roman"/>
          <w:color w:val="FF0000"/>
          <w:sz w:val="24"/>
          <w:szCs w:val="24"/>
        </w:rPr>
        <w:t>.</w:t>
      </w:r>
    </w:p>
    <w:p w:rsidR="00737DC2" w:rsidRDefault="00737DC2" w:rsidP="00737DC2">
      <w:pPr>
        <w:spacing w:line="240" w:lineRule="auto"/>
        <w:jc w:val="both"/>
        <w:rPr>
          <w:rFonts w:ascii="Times New Roman" w:hAnsi="Times New Roman" w:cs="Times New Roman"/>
          <w:sz w:val="24"/>
          <w:szCs w:val="24"/>
        </w:rPr>
      </w:pPr>
      <w:r w:rsidRPr="00500D1B">
        <w:rPr>
          <w:rFonts w:ascii="Times New Roman" w:hAnsi="Times New Roman" w:cs="Times New Roman"/>
          <w:noProof/>
          <w:sz w:val="24"/>
          <w:szCs w:val="24"/>
          <w:lang w:val="en-GB" w:eastAsia="zh-CN"/>
        </w:rPr>
        <w:drawing>
          <wp:inline distT="0" distB="0" distL="0" distR="0">
            <wp:extent cx="5727700" cy="3613150"/>
            <wp:effectExtent l="0" t="0" r="635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615553"/>
                    </a:xfrm>
                    <a:prstGeom prst="rect">
                      <a:avLst/>
                    </a:prstGeom>
                  </pic:spPr>
                </pic:pic>
              </a:graphicData>
            </a:graphic>
          </wp:inline>
        </w:drawing>
      </w:r>
    </w:p>
    <w:p w:rsidR="00737DC2" w:rsidRPr="00C34721" w:rsidRDefault="00737DC2" w:rsidP="00737DC2">
      <w:pPr>
        <w:spacing w:line="240" w:lineRule="auto"/>
        <w:jc w:val="both"/>
        <w:rPr>
          <w:rFonts w:ascii="Times New Roman" w:hAnsi="Times New Roman" w:cs="Times New Roman"/>
          <w:color w:val="FF0000"/>
          <w:sz w:val="24"/>
          <w:szCs w:val="24"/>
        </w:rPr>
      </w:pPr>
      <w:r w:rsidRPr="002C64CF">
        <w:rPr>
          <w:rFonts w:ascii="Times New Roman" w:hAnsi="Times New Roman" w:cs="Times New Roman"/>
          <w:color w:val="FF0000"/>
          <w:sz w:val="24"/>
          <w:szCs w:val="24"/>
        </w:rPr>
        <w:t>Nota: en el períod</w:t>
      </w:r>
      <w:r>
        <w:rPr>
          <w:rFonts w:ascii="Times New Roman" w:hAnsi="Times New Roman" w:cs="Times New Roman"/>
          <w:color w:val="FF0000"/>
          <w:sz w:val="24"/>
          <w:szCs w:val="24"/>
        </w:rPr>
        <w:t>o 1994</w:t>
      </w:r>
      <w:r w:rsidRPr="002C64CF">
        <w:rPr>
          <w:rFonts w:ascii="Times New Roman" w:hAnsi="Times New Roman" w:cs="Times New Roman"/>
          <w:color w:val="FF0000"/>
          <w:sz w:val="24"/>
          <w:szCs w:val="24"/>
        </w:rPr>
        <w:t>-2021</w:t>
      </w:r>
      <w:r>
        <w:rPr>
          <w:rFonts w:ascii="Times New Roman" w:hAnsi="Times New Roman" w:cs="Times New Roman"/>
          <w:color w:val="FF0000"/>
          <w:sz w:val="24"/>
          <w:szCs w:val="24"/>
        </w:rPr>
        <w:t>, tanto EEUU, como la</w:t>
      </w:r>
      <w:r w:rsidRPr="002C64CF">
        <w:rPr>
          <w:rFonts w:ascii="Times New Roman" w:hAnsi="Times New Roman" w:cs="Times New Roman"/>
          <w:color w:val="FF0000"/>
          <w:sz w:val="24"/>
          <w:szCs w:val="24"/>
        </w:rPr>
        <w:t xml:space="preserve"> UE no presentan una mejora significativa en</w:t>
      </w:r>
      <w:r>
        <w:rPr>
          <w:rFonts w:ascii="Times New Roman" w:hAnsi="Times New Roman" w:cs="Times New Roman"/>
          <w:color w:val="FF0000"/>
          <w:sz w:val="24"/>
          <w:szCs w:val="24"/>
        </w:rPr>
        <w:t xml:space="preserve"> la Proporción de jóvenes sin educación, empleo ni capacitación, varones</w:t>
      </w:r>
      <w:r w:rsidRPr="002C64CF">
        <w:rPr>
          <w:rFonts w:ascii="Times New Roman" w:hAnsi="Times New Roman" w:cs="Times New Roman"/>
          <w:color w:val="FF0000"/>
          <w:sz w:val="24"/>
          <w:szCs w:val="24"/>
        </w:rPr>
        <w:t xml:space="preserve">. </w:t>
      </w:r>
      <w:r>
        <w:rPr>
          <w:rFonts w:ascii="Times New Roman" w:hAnsi="Times New Roman" w:cs="Times New Roman"/>
          <w:color w:val="FF0000"/>
          <w:sz w:val="24"/>
          <w:szCs w:val="24"/>
        </w:rPr>
        <w:t>El año 1994 es el primero disponible de la serie. El BM no publica</w:t>
      </w:r>
      <w:r w:rsidRPr="002C64CF">
        <w:rPr>
          <w:rFonts w:ascii="Times New Roman" w:hAnsi="Times New Roman" w:cs="Times New Roman"/>
          <w:color w:val="FF0000"/>
          <w:sz w:val="24"/>
          <w:szCs w:val="24"/>
        </w:rPr>
        <w:t xml:space="preserve"> información sobre China</w:t>
      </w:r>
      <w:r>
        <w:rPr>
          <w:rFonts w:ascii="Times New Roman" w:hAnsi="Times New Roman" w:cs="Times New Roman"/>
          <w:color w:val="FF0000"/>
          <w:sz w:val="24"/>
          <w:szCs w:val="24"/>
        </w:rPr>
        <w:t>.</w:t>
      </w:r>
    </w:p>
    <w:p w:rsidR="00737DC2" w:rsidRDefault="00737DC2" w:rsidP="00737DC2">
      <w:pPr>
        <w:spacing w:line="240" w:lineRule="auto"/>
        <w:jc w:val="both"/>
        <w:rPr>
          <w:rFonts w:ascii="Times New Roman" w:hAnsi="Times New Roman" w:cs="Times New Roman"/>
          <w:sz w:val="24"/>
          <w:szCs w:val="24"/>
        </w:rPr>
      </w:pPr>
      <w:r w:rsidRPr="00500D1B">
        <w:rPr>
          <w:rFonts w:ascii="Times New Roman" w:hAnsi="Times New Roman" w:cs="Times New Roman"/>
          <w:noProof/>
          <w:sz w:val="24"/>
          <w:szCs w:val="24"/>
          <w:lang w:val="en-GB" w:eastAsia="zh-CN"/>
        </w:rPr>
        <w:lastRenderedPageBreak/>
        <w:drawing>
          <wp:inline distT="0" distB="0" distL="0" distR="0">
            <wp:extent cx="5732028" cy="4400550"/>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400152"/>
                    </a:xfrm>
                    <a:prstGeom prst="rect">
                      <a:avLst/>
                    </a:prstGeom>
                  </pic:spPr>
                </pic:pic>
              </a:graphicData>
            </a:graphic>
          </wp:inline>
        </w:drawing>
      </w:r>
    </w:p>
    <w:p w:rsidR="00737DC2" w:rsidRPr="00C34721" w:rsidRDefault="00737DC2" w:rsidP="00737DC2">
      <w:pPr>
        <w:spacing w:line="240" w:lineRule="auto"/>
        <w:jc w:val="both"/>
        <w:rPr>
          <w:rFonts w:ascii="Times New Roman" w:hAnsi="Times New Roman" w:cs="Times New Roman"/>
          <w:color w:val="FF0000"/>
          <w:sz w:val="24"/>
          <w:szCs w:val="24"/>
        </w:rPr>
      </w:pPr>
      <w:r w:rsidRPr="002C64CF">
        <w:rPr>
          <w:rFonts w:ascii="Times New Roman" w:hAnsi="Times New Roman" w:cs="Times New Roman"/>
          <w:color w:val="FF0000"/>
          <w:sz w:val="24"/>
          <w:szCs w:val="24"/>
        </w:rPr>
        <w:t>Nota: en el períod</w:t>
      </w:r>
      <w:r>
        <w:rPr>
          <w:rFonts w:ascii="Times New Roman" w:hAnsi="Times New Roman" w:cs="Times New Roman"/>
          <w:color w:val="FF0000"/>
          <w:sz w:val="24"/>
          <w:szCs w:val="24"/>
        </w:rPr>
        <w:t>o 1994</w:t>
      </w:r>
      <w:r w:rsidRPr="002C64CF">
        <w:rPr>
          <w:rFonts w:ascii="Times New Roman" w:hAnsi="Times New Roman" w:cs="Times New Roman"/>
          <w:color w:val="FF0000"/>
          <w:sz w:val="24"/>
          <w:szCs w:val="24"/>
        </w:rPr>
        <w:t>-2021</w:t>
      </w:r>
      <w:r>
        <w:rPr>
          <w:rFonts w:ascii="Times New Roman" w:hAnsi="Times New Roman" w:cs="Times New Roman"/>
          <w:color w:val="FF0000"/>
          <w:sz w:val="24"/>
          <w:szCs w:val="24"/>
        </w:rPr>
        <w:t xml:space="preserve">, tanto EEUU, como la UE </w:t>
      </w:r>
      <w:r w:rsidRPr="002C64CF">
        <w:rPr>
          <w:rFonts w:ascii="Times New Roman" w:hAnsi="Times New Roman" w:cs="Times New Roman"/>
          <w:color w:val="FF0000"/>
          <w:sz w:val="24"/>
          <w:szCs w:val="24"/>
        </w:rPr>
        <w:t>presentan una mejora significativa en</w:t>
      </w:r>
      <w:r>
        <w:rPr>
          <w:rFonts w:ascii="Times New Roman" w:hAnsi="Times New Roman" w:cs="Times New Roman"/>
          <w:color w:val="FF0000"/>
          <w:sz w:val="24"/>
          <w:szCs w:val="24"/>
        </w:rPr>
        <w:t xml:space="preserve"> la Proporción de jóvenes sin educación, empleo ni capacitación, mujeres</w:t>
      </w:r>
      <w:r w:rsidRPr="002C64CF">
        <w:rPr>
          <w:rFonts w:ascii="Times New Roman" w:hAnsi="Times New Roman" w:cs="Times New Roman"/>
          <w:color w:val="FF0000"/>
          <w:sz w:val="24"/>
          <w:szCs w:val="24"/>
        </w:rPr>
        <w:t xml:space="preserve">. </w:t>
      </w:r>
      <w:r>
        <w:rPr>
          <w:rFonts w:ascii="Times New Roman" w:hAnsi="Times New Roman" w:cs="Times New Roman"/>
          <w:color w:val="FF0000"/>
          <w:sz w:val="24"/>
          <w:szCs w:val="24"/>
        </w:rPr>
        <w:t>El año 1994 es el primero disponible de la serie. El BM no publica</w:t>
      </w:r>
      <w:r w:rsidRPr="002C64CF">
        <w:rPr>
          <w:rFonts w:ascii="Times New Roman" w:hAnsi="Times New Roman" w:cs="Times New Roman"/>
          <w:color w:val="FF0000"/>
          <w:sz w:val="24"/>
          <w:szCs w:val="24"/>
        </w:rPr>
        <w:t xml:space="preserve"> información sobre China</w:t>
      </w:r>
      <w:r>
        <w:rPr>
          <w:rFonts w:ascii="Times New Roman" w:hAnsi="Times New Roman" w:cs="Times New Roman"/>
          <w:color w:val="FF0000"/>
          <w:sz w:val="24"/>
          <w:szCs w:val="24"/>
        </w:rPr>
        <w:t>.</w:t>
      </w:r>
    </w:p>
    <w:p w:rsidR="00737DC2" w:rsidRDefault="00737DC2" w:rsidP="00737DC2">
      <w:pPr>
        <w:spacing w:line="240" w:lineRule="auto"/>
        <w:jc w:val="both"/>
        <w:rPr>
          <w:rFonts w:ascii="Times New Roman" w:hAnsi="Times New Roman" w:cs="Times New Roman"/>
          <w:sz w:val="24"/>
          <w:szCs w:val="24"/>
        </w:rPr>
      </w:pPr>
      <w:r w:rsidRPr="007D05FE">
        <w:rPr>
          <w:rFonts w:ascii="Times New Roman" w:hAnsi="Times New Roman" w:cs="Times New Roman"/>
          <w:noProof/>
          <w:sz w:val="24"/>
          <w:szCs w:val="24"/>
          <w:lang w:val="en-GB" w:eastAsia="zh-CN"/>
        </w:rPr>
        <w:drawing>
          <wp:inline distT="0" distB="0" distL="0" distR="0">
            <wp:extent cx="4292600" cy="8001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4293201" cy="80021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D05FE">
        <w:rPr>
          <w:rFonts w:ascii="Times New Roman" w:hAnsi="Times New Roman" w:cs="Times New Roman"/>
          <w:noProof/>
          <w:sz w:val="24"/>
          <w:szCs w:val="24"/>
          <w:lang w:val="en-GB" w:eastAsia="zh-CN"/>
        </w:rPr>
        <w:drawing>
          <wp:inline distT="0" distB="0" distL="0" distR="0">
            <wp:extent cx="5734050" cy="26289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262773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D05FE">
        <w:rPr>
          <w:rFonts w:ascii="Times New Roman" w:hAnsi="Times New Roman" w:cs="Times New Roman"/>
          <w:noProof/>
          <w:sz w:val="24"/>
          <w:szCs w:val="24"/>
          <w:lang w:val="en-GB" w:eastAsia="zh-CN"/>
        </w:rPr>
        <w:lastRenderedPageBreak/>
        <w:drawing>
          <wp:inline distT="0" distB="0" distL="0" distR="0">
            <wp:extent cx="5727364" cy="2311400"/>
            <wp:effectExtent l="0" t="0" r="698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231307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D05FE">
        <w:rPr>
          <w:rFonts w:ascii="Times New Roman" w:hAnsi="Times New Roman" w:cs="Times New Roman"/>
          <w:noProof/>
          <w:sz w:val="24"/>
          <w:szCs w:val="24"/>
          <w:lang w:val="en-GB" w:eastAsia="zh-CN"/>
        </w:rPr>
        <w:drawing>
          <wp:inline distT="0" distB="0" distL="0" distR="0">
            <wp:extent cx="5727700" cy="217170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217314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D05FE">
        <w:rPr>
          <w:rFonts w:ascii="Times New Roman" w:hAnsi="Times New Roman" w:cs="Times New Roman"/>
          <w:noProof/>
          <w:sz w:val="24"/>
          <w:szCs w:val="24"/>
          <w:lang w:val="en-GB" w:eastAsia="zh-CN"/>
        </w:rPr>
        <w:drawing>
          <wp:inline distT="0" distB="0" distL="0" distR="0">
            <wp:extent cx="5731510" cy="321479"/>
            <wp:effectExtent l="0" t="0" r="2540" b="254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321479"/>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D05FE">
        <w:rPr>
          <w:rFonts w:ascii="Times New Roman" w:hAnsi="Times New Roman" w:cs="Times New Roman"/>
          <w:noProof/>
          <w:sz w:val="24"/>
          <w:szCs w:val="24"/>
          <w:lang w:val="en-GB" w:eastAsia="zh-CN"/>
        </w:rPr>
        <w:drawing>
          <wp:inline distT="0" distB="0" distL="0" distR="0">
            <wp:extent cx="5721350" cy="24066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2410924"/>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0677A">
        <w:rPr>
          <w:rFonts w:ascii="Times New Roman" w:hAnsi="Times New Roman" w:cs="Times New Roman"/>
          <w:noProof/>
          <w:sz w:val="24"/>
          <w:szCs w:val="24"/>
          <w:lang w:val="en-GB" w:eastAsia="zh-CN"/>
        </w:rPr>
        <w:lastRenderedPageBreak/>
        <w:drawing>
          <wp:inline distT="0" distB="0" distL="0" distR="0">
            <wp:extent cx="5725620" cy="2127250"/>
            <wp:effectExtent l="0" t="0" r="889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212943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0677A">
        <w:rPr>
          <w:rFonts w:ascii="Times New Roman" w:hAnsi="Times New Roman" w:cs="Times New Roman"/>
          <w:noProof/>
          <w:sz w:val="24"/>
          <w:szCs w:val="24"/>
          <w:lang w:val="en-GB" w:eastAsia="zh-CN"/>
        </w:rPr>
        <w:drawing>
          <wp:inline distT="0" distB="0" distL="0" distR="0">
            <wp:extent cx="5727699" cy="2393950"/>
            <wp:effectExtent l="0" t="0" r="6985"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239554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0677A">
        <w:rPr>
          <w:rFonts w:ascii="Times New Roman" w:hAnsi="Times New Roman" w:cs="Times New Roman"/>
          <w:noProof/>
          <w:sz w:val="24"/>
          <w:szCs w:val="24"/>
          <w:lang w:val="en-GB" w:eastAsia="zh-CN"/>
        </w:rPr>
        <w:drawing>
          <wp:inline distT="0" distB="0" distL="0" distR="0">
            <wp:extent cx="5683250" cy="11430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680734" cy="1142494"/>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Pr="00C34721" w:rsidRDefault="00737DC2" w:rsidP="00737DC2">
      <w:pPr>
        <w:spacing w:line="240" w:lineRule="auto"/>
        <w:jc w:val="both"/>
        <w:rPr>
          <w:rFonts w:ascii="Times New Roman" w:hAnsi="Times New Roman" w:cs="Times New Roman"/>
          <w:color w:val="FF0000"/>
          <w:sz w:val="24"/>
          <w:szCs w:val="24"/>
        </w:rPr>
      </w:pPr>
      <w:r w:rsidRPr="00C34721">
        <w:rPr>
          <w:rFonts w:ascii="Times New Roman" w:hAnsi="Times New Roman" w:cs="Times New Roman"/>
          <w:color w:val="FF0000"/>
          <w:sz w:val="24"/>
          <w:szCs w:val="24"/>
        </w:rPr>
        <w:t>Nota I: A efectos de facilitar la presentación de las Ta</w:t>
      </w:r>
      <w:r>
        <w:rPr>
          <w:rFonts w:ascii="Times New Roman" w:hAnsi="Times New Roman" w:cs="Times New Roman"/>
          <w:color w:val="FF0000"/>
          <w:sz w:val="24"/>
          <w:szCs w:val="24"/>
        </w:rPr>
        <w:t>blas solo se presentan las décadas.</w:t>
      </w:r>
    </w:p>
    <w:p w:rsidR="00737DC2" w:rsidRDefault="00737DC2" w:rsidP="00737DC2">
      <w:pPr>
        <w:spacing w:line="240" w:lineRule="auto"/>
        <w:jc w:val="both"/>
        <w:rPr>
          <w:rFonts w:ascii="Times New Roman" w:hAnsi="Times New Roman" w:cs="Times New Roman"/>
          <w:color w:val="FF0000"/>
          <w:sz w:val="24"/>
          <w:szCs w:val="24"/>
        </w:rPr>
      </w:pPr>
      <w:r w:rsidRPr="00C34721">
        <w:rPr>
          <w:rFonts w:ascii="Times New Roman" w:hAnsi="Times New Roman" w:cs="Times New Roman"/>
          <w:color w:val="FF0000"/>
          <w:sz w:val="24"/>
          <w:szCs w:val="24"/>
        </w:rPr>
        <w:t>Nota II: El B. M. no publica los Indicadores de Desarrollo correspondientes a China.</w:t>
      </w:r>
    </w:p>
    <w:p w:rsidR="00737DC2" w:rsidRDefault="00737DC2" w:rsidP="00737DC2">
      <w:pPr>
        <w:spacing w:line="240" w:lineRule="auto"/>
        <w:jc w:val="both"/>
        <w:rPr>
          <w:rFonts w:ascii="Times New Roman" w:hAnsi="Times New Roman" w:cs="Times New Roman"/>
          <w:color w:val="FF0000"/>
          <w:sz w:val="24"/>
          <w:szCs w:val="24"/>
        </w:rPr>
      </w:pPr>
      <w:r w:rsidRPr="00C42C47">
        <w:rPr>
          <w:rFonts w:ascii="Times New Roman" w:hAnsi="Times New Roman" w:cs="Times New Roman"/>
          <w:color w:val="FF0000"/>
          <w:sz w:val="24"/>
          <w:szCs w:val="24"/>
        </w:rPr>
        <w:t>De las tablas anteriores deseo destacar que casi ninguno de los datos publicados (cuentas nacionales), presenta una mejora destacada</w:t>
      </w:r>
      <w:r>
        <w:rPr>
          <w:rFonts w:ascii="Times New Roman" w:hAnsi="Times New Roman" w:cs="Times New Roman"/>
          <w:color w:val="FF0000"/>
          <w:sz w:val="24"/>
          <w:szCs w:val="24"/>
        </w:rPr>
        <w:t>,</w:t>
      </w:r>
      <w:r w:rsidRPr="00C42C47">
        <w:rPr>
          <w:rFonts w:ascii="Times New Roman" w:hAnsi="Times New Roman" w:cs="Times New Roman"/>
          <w:color w:val="FF0000"/>
          <w:sz w:val="24"/>
          <w:szCs w:val="24"/>
        </w:rPr>
        <w:t xml:space="preserve"> que justifique el proceso de globalización, deslocalización, financierización, desregulación</w:t>
      </w:r>
      <w:r>
        <w:rPr>
          <w:rFonts w:ascii="Times New Roman" w:hAnsi="Times New Roman" w:cs="Times New Roman"/>
          <w:color w:val="FF0000"/>
          <w:sz w:val="24"/>
          <w:szCs w:val="24"/>
        </w:rPr>
        <w:t>,</w:t>
      </w:r>
      <w:r w:rsidRPr="00C42C47">
        <w:rPr>
          <w:rFonts w:ascii="Times New Roman" w:hAnsi="Times New Roman" w:cs="Times New Roman"/>
          <w:color w:val="FF0000"/>
          <w:sz w:val="24"/>
          <w:szCs w:val="24"/>
        </w:rPr>
        <w:t xml:space="preserve"> o privatización</w:t>
      </w:r>
      <w:r>
        <w:rPr>
          <w:rFonts w:ascii="Times New Roman" w:hAnsi="Times New Roman" w:cs="Times New Roman"/>
          <w:color w:val="FF0000"/>
          <w:sz w:val="24"/>
          <w:szCs w:val="24"/>
        </w:rPr>
        <w:t>,</w:t>
      </w:r>
      <w:r w:rsidRPr="00C42C47">
        <w:rPr>
          <w:rFonts w:ascii="Times New Roman" w:hAnsi="Times New Roman" w:cs="Times New Roman"/>
          <w:color w:val="FF0000"/>
          <w:sz w:val="24"/>
          <w:szCs w:val="24"/>
        </w:rPr>
        <w:t xml:space="preserve"> llevado a cabo en la Unión Europea o Estados Unidos</w:t>
      </w:r>
      <w:r>
        <w:rPr>
          <w:rFonts w:ascii="Times New Roman" w:hAnsi="Times New Roman" w:cs="Times New Roman"/>
          <w:color w:val="FF0000"/>
          <w:sz w:val="24"/>
          <w:szCs w:val="24"/>
        </w:rPr>
        <w:t>,</w:t>
      </w:r>
      <w:r w:rsidRPr="00C42C47">
        <w:rPr>
          <w:rFonts w:ascii="Times New Roman" w:hAnsi="Times New Roman" w:cs="Times New Roman"/>
          <w:color w:val="FF0000"/>
          <w:sz w:val="24"/>
          <w:szCs w:val="24"/>
        </w:rPr>
        <w:t xml:space="preserve"> desde el año 1980 en adelante</w:t>
      </w:r>
      <w:r>
        <w:rPr>
          <w:rFonts w:ascii="Times New Roman" w:hAnsi="Times New Roman" w:cs="Times New Roman"/>
          <w:color w:val="FF0000"/>
          <w:sz w:val="24"/>
          <w:szCs w:val="24"/>
        </w:rPr>
        <w:t>.</w:t>
      </w:r>
    </w:p>
    <w:p w:rsidR="00737DC2"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No se registran mejoras destacables en el gasto en educación, gasto en salud, o ahorro bruto, en la Unión Europea o Estados Unidos, que puedan atribuirse, directa, o indirectamente, al modelo de globalización económica.</w:t>
      </w:r>
    </w:p>
    <w:p w:rsidR="00737DC2"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mayor beneficiaria de la globalización  ha sido China (la fábrica del mundo), que pese a la sumisión de la OMC, se burla del BM, negándose a darle sus Indicadores de Desarrollo.</w:t>
      </w:r>
    </w:p>
    <w:p w:rsidR="00737DC2" w:rsidRDefault="00737DC2" w:rsidP="00737DC2">
      <w:pPr>
        <w:spacing w:line="240" w:lineRule="auto"/>
        <w:jc w:val="both"/>
        <w:rPr>
          <w:rFonts w:ascii="Times New Roman" w:hAnsi="Times New Roman" w:cs="Times New Roman"/>
          <w:sz w:val="24"/>
          <w:szCs w:val="24"/>
        </w:rPr>
      </w:pPr>
      <w:r w:rsidRPr="008A5567">
        <w:rPr>
          <w:rFonts w:ascii="Times New Roman" w:hAnsi="Times New Roman" w:cs="Times New Roman"/>
          <w:noProof/>
          <w:sz w:val="24"/>
          <w:szCs w:val="24"/>
          <w:lang w:val="en-GB" w:eastAsia="zh-CN"/>
        </w:rPr>
        <w:lastRenderedPageBreak/>
        <w:drawing>
          <wp:inline distT="0" distB="0" distL="0" distR="0">
            <wp:extent cx="5727699" cy="3194050"/>
            <wp:effectExtent l="0" t="0" r="6985"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3196175"/>
                    </a:xfrm>
                    <a:prstGeom prst="rect">
                      <a:avLst/>
                    </a:prstGeom>
                  </pic:spPr>
                </pic:pic>
              </a:graphicData>
            </a:graphic>
          </wp:inline>
        </w:drawing>
      </w:r>
    </w:p>
    <w:p w:rsidR="00737DC2" w:rsidRPr="009F6AD5" w:rsidRDefault="00737DC2" w:rsidP="00737DC2">
      <w:pPr>
        <w:spacing w:line="240" w:lineRule="auto"/>
        <w:jc w:val="both"/>
        <w:rPr>
          <w:rFonts w:ascii="Times New Roman" w:hAnsi="Times New Roman" w:cs="Times New Roman"/>
          <w:color w:val="FF0000"/>
          <w:sz w:val="24"/>
          <w:szCs w:val="24"/>
        </w:rPr>
      </w:pPr>
      <w:r w:rsidRPr="009F6AD5">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la UE presenta en mayor crecimiento de las Exportaciones de bienes y servicios (% del PIB) en el período 1980-2021. Es importante tener en cuenta que el comercio entre países de la UE alcanza el 70% de las operaciones. EEUU no presenta un cambio significativo, y China recupera el ritmo de crecimiento, después de la caída por la crisis del año 2008,</w:t>
      </w:r>
    </w:p>
    <w:p w:rsidR="00737DC2" w:rsidRDefault="00737DC2" w:rsidP="00737DC2">
      <w:pPr>
        <w:spacing w:line="240" w:lineRule="auto"/>
        <w:jc w:val="both"/>
        <w:rPr>
          <w:rFonts w:ascii="Times New Roman" w:hAnsi="Times New Roman" w:cs="Times New Roman"/>
          <w:sz w:val="24"/>
          <w:szCs w:val="24"/>
        </w:rPr>
      </w:pPr>
      <w:r w:rsidRPr="008A5567">
        <w:rPr>
          <w:rFonts w:ascii="Times New Roman" w:hAnsi="Times New Roman" w:cs="Times New Roman"/>
          <w:noProof/>
          <w:sz w:val="24"/>
          <w:szCs w:val="24"/>
          <w:lang w:val="en-GB" w:eastAsia="zh-CN"/>
        </w:rPr>
        <w:drawing>
          <wp:inline distT="0" distB="0" distL="0" distR="0">
            <wp:extent cx="5727700" cy="3638550"/>
            <wp:effectExtent l="0" t="0" r="635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3640970"/>
                    </a:xfrm>
                    <a:prstGeom prst="rect">
                      <a:avLst/>
                    </a:prstGeom>
                  </pic:spPr>
                </pic:pic>
              </a:graphicData>
            </a:graphic>
          </wp:inline>
        </w:drawing>
      </w:r>
    </w:p>
    <w:p w:rsidR="00737DC2" w:rsidRPr="008B594D" w:rsidRDefault="00737DC2" w:rsidP="00737DC2">
      <w:pPr>
        <w:spacing w:line="240" w:lineRule="auto"/>
        <w:jc w:val="both"/>
        <w:rPr>
          <w:rFonts w:ascii="Times New Roman" w:hAnsi="Times New Roman" w:cs="Times New Roman"/>
          <w:color w:val="FF0000"/>
          <w:sz w:val="24"/>
          <w:szCs w:val="24"/>
        </w:rPr>
      </w:pPr>
      <w:r w:rsidRPr="009F6AD5">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la UE presenta en mayor crecimiento de las Importaciones de bienes y servicios (% del PIB) en el período 1980-2021. Es importante tener en cuenta que el comercio entre países de la UE alcanza el 70% de las operaciones. EEUU incrementa progresivamente las importaciones, y China recupera crecimiento, después de la caída por la crisis del año 2008.</w:t>
      </w:r>
    </w:p>
    <w:p w:rsidR="00737DC2" w:rsidRDefault="00737DC2" w:rsidP="00737DC2">
      <w:pPr>
        <w:spacing w:line="240" w:lineRule="auto"/>
        <w:jc w:val="both"/>
        <w:rPr>
          <w:rFonts w:ascii="Times New Roman" w:hAnsi="Times New Roman" w:cs="Times New Roman"/>
          <w:sz w:val="24"/>
          <w:szCs w:val="24"/>
        </w:rPr>
      </w:pPr>
      <w:r w:rsidRPr="00B5761C">
        <w:rPr>
          <w:rFonts w:ascii="Times New Roman" w:hAnsi="Times New Roman" w:cs="Times New Roman"/>
          <w:noProof/>
          <w:sz w:val="24"/>
          <w:szCs w:val="24"/>
          <w:lang w:val="en-GB" w:eastAsia="zh-CN"/>
        </w:rPr>
        <w:lastRenderedPageBreak/>
        <w:drawing>
          <wp:inline distT="0" distB="0" distL="0" distR="0">
            <wp:extent cx="5733026" cy="3727450"/>
            <wp:effectExtent l="0" t="0" r="127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3726465"/>
                    </a:xfrm>
                    <a:prstGeom prst="rect">
                      <a:avLst/>
                    </a:prstGeom>
                  </pic:spPr>
                </pic:pic>
              </a:graphicData>
            </a:graphic>
          </wp:inline>
        </w:drawing>
      </w:r>
    </w:p>
    <w:p w:rsidR="00737DC2" w:rsidRPr="008B594D" w:rsidRDefault="00737DC2" w:rsidP="00737DC2">
      <w:pPr>
        <w:spacing w:line="240" w:lineRule="auto"/>
        <w:jc w:val="both"/>
        <w:rPr>
          <w:rFonts w:ascii="Times New Roman" w:hAnsi="Times New Roman" w:cs="Times New Roman"/>
          <w:color w:val="FF0000"/>
          <w:sz w:val="24"/>
          <w:szCs w:val="24"/>
        </w:rPr>
      </w:pPr>
      <w:r w:rsidRPr="008B594D">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Reino Unido, EEUU, Francia, y España, incrementan sustancialmente la Deuda del gobierno central, total (% del PIB), en el período 1980-2020. Sobre Italia, Alemania y China no hay datos disponibles (en la serie presentada por el BM).</w:t>
      </w:r>
    </w:p>
    <w:p w:rsidR="00737DC2" w:rsidRDefault="00737DC2" w:rsidP="00737DC2">
      <w:pPr>
        <w:spacing w:line="240" w:lineRule="auto"/>
        <w:jc w:val="both"/>
        <w:rPr>
          <w:rFonts w:ascii="Times New Roman" w:hAnsi="Times New Roman" w:cs="Times New Roman"/>
          <w:sz w:val="24"/>
          <w:szCs w:val="24"/>
        </w:rPr>
      </w:pPr>
      <w:r w:rsidRPr="002002F5">
        <w:rPr>
          <w:rFonts w:ascii="Times New Roman" w:hAnsi="Times New Roman" w:cs="Times New Roman"/>
          <w:noProof/>
          <w:sz w:val="24"/>
          <w:szCs w:val="24"/>
          <w:lang w:val="en-GB" w:eastAsia="zh-CN"/>
        </w:rPr>
        <w:drawing>
          <wp:inline distT="0" distB="0" distL="0" distR="0">
            <wp:extent cx="5727700" cy="3816350"/>
            <wp:effectExtent l="0" t="0" r="635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3818889"/>
                    </a:xfrm>
                    <a:prstGeom prst="rect">
                      <a:avLst/>
                    </a:prstGeom>
                  </pic:spPr>
                </pic:pic>
              </a:graphicData>
            </a:graphic>
          </wp:inline>
        </w:drawing>
      </w:r>
    </w:p>
    <w:p w:rsidR="00737DC2" w:rsidRPr="00E62427" w:rsidRDefault="00737DC2" w:rsidP="00737DC2">
      <w:pPr>
        <w:spacing w:line="240" w:lineRule="auto"/>
        <w:jc w:val="both"/>
        <w:rPr>
          <w:rFonts w:ascii="Times New Roman" w:hAnsi="Times New Roman" w:cs="Times New Roman"/>
          <w:color w:val="FF0000"/>
          <w:sz w:val="24"/>
          <w:szCs w:val="24"/>
        </w:rPr>
      </w:pPr>
      <w:r w:rsidRPr="00E62427">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en el período observado (1980-2020) se registra un importante incremento del Gasto (% del PIB), tanto en EEUU, como en la UE. Pero, la UE llega a duplicar el % de EEUU.</w:t>
      </w:r>
    </w:p>
    <w:p w:rsidR="00737DC2" w:rsidRDefault="00737DC2" w:rsidP="00737DC2">
      <w:pPr>
        <w:spacing w:line="240" w:lineRule="auto"/>
        <w:jc w:val="both"/>
        <w:rPr>
          <w:rFonts w:ascii="Times New Roman" w:hAnsi="Times New Roman" w:cs="Times New Roman"/>
          <w:sz w:val="24"/>
          <w:szCs w:val="24"/>
        </w:rPr>
      </w:pPr>
      <w:r w:rsidRPr="002002F5">
        <w:rPr>
          <w:rFonts w:ascii="Times New Roman" w:hAnsi="Times New Roman" w:cs="Times New Roman"/>
          <w:noProof/>
          <w:sz w:val="24"/>
          <w:szCs w:val="24"/>
          <w:lang w:val="en-GB" w:eastAsia="zh-CN"/>
        </w:rPr>
        <w:lastRenderedPageBreak/>
        <w:drawing>
          <wp:inline distT="0" distB="0" distL="0" distR="0">
            <wp:extent cx="5727700" cy="384810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850660"/>
                    </a:xfrm>
                    <a:prstGeom prst="rect">
                      <a:avLst/>
                    </a:prstGeom>
                  </pic:spPr>
                </pic:pic>
              </a:graphicData>
            </a:graphic>
          </wp:inline>
        </w:drawing>
      </w:r>
    </w:p>
    <w:p w:rsidR="00737DC2" w:rsidRPr="00E62427" w:rsidRDefault="00737DC2" w:rsidP="00737DC2">
      <w:pPr>
        <w:spacing w:line="240" w:lineRule="auto"/>
        <w:jc w:val="both"/>
        <w:rPr>
          <w:rFonts w:ascii="Times New Roman" w:hAnsi="Times New Roman" w:cs="Times New Roman"/>
          <w:color w:val="FF0000"/>
          <w:sz w:val="24"/>
          <w:szCs w:val="24"/>
        </w:rPr>
      </w:pPr>
      <w:r w:rsidRPr="00E62427">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en el período observado (1980-2021) se destaca el alto Ahorro bruto (% del PIB) de China, que duplica (y más) al de la UE y los EEUU (que retrocede en los últimos años).</w:t>
      </w:r>
    </w:p>
    <w:p w:rsidR="00737DC2" w:rsidRDefault="00737DC2" w:rsidP="00737DC2">
      <w:pPr>
        <w:spacing w:line="240" w:lineRule="auto"/>
        <w:jc w:val="both"/>
        <w:rPr>
          <w:rFonts w:ascii="Times New Roman" w:hAnsi="Times New Roman" w:cs="Times New Roman"/>
          <w:sz w:val="24"/>
          <w:szCs w:val="24"/>
        </w:rPr>
      </w:pPr>
      <w:r w:rsidRPr="002002F5">
        <w:rPr>
          <w:rFonts w:ascii="Times New Roman" w:hAnsi="Times New Roman" w:cs="Times New Roman"/>
          <w:noProof/>
          <w:sz w:val="24"/>
          <w:szCs w:val="24"/>
          <w:lang w:val="en-GB" w:eastAsia="zh-CN"/>
        </w:rPr>
        <w:drawing>
          <wp:inline distT="0" distB="0" distL="0" distR="0">
            <wp:extent cx="5732406" cy="3835400"/>
            <wp:effectExtent l="0" t="0" r="190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3834801"/>
                    </a:xfrm>
                    <a:prstGeom prst="rect">
                      <a:avLst/>
                    </a:prstGeom>
                  </pic:spPr>
                </pic:pic>
              </a:graphicData>
            </a:graphic>
          </wp:inline>
        </w:drawing>
      </w:r>
      <w:r w:rsidRPr="005E1DBF">
        <w:rPr>
          <w:rFonts w:ascii="Times New Roman" w:hAnsi="Times New Roman" w:cs="Times New Roman"/>
          <w:color w:val="FF0000"/>
          <w:sz w:val="24"/>
          <w:szCs w:val="24"/>
        </w:rPr>
        <w:t>Nota:</w:t>
      </w:r>
      <w:r>
        <w:rPr>
          <w:rFonts w:ascii="Times New Roman" w:hAnsi="Times New Roman" w:cs="Times New Roman"/>
          <w:color w:val="FF0000"/>
          <w:sz w:val="24"/>
          <w:szCs w:val="24"/>
        </w:rPr>
        <w:t xml:space="preserve"> aunque en los últimos años (2015-2020) se registra un aumento en el Gasto público en educación, total (% del PIB) en EEUU y la UE, el dato más destacable lo representa la evolución de la serie (1980-2020) de China.</w:t>
      </w:r>
    </w:p>
    <w:p w:rsidR="00737DC2" w:rsidRDefault="00737DC2" w:rsidP="00737DC2">
      <w:pPr>
        <w:spacing w:line="240" w:lineRule="auto"/>
        <w:jc w:val="both"/>
        <w:rPr>
          <w:rFonts w:ascii="Times New Roman" w:hAnsi="Times New Roman" w:cs="Times New Roman"/>
          <w:sz w:val="24"/>
          <w:szCs w:val="24"/>
        </w:rPr>
      </w:pPr>
      <w:r w:rsidRPr="002002F5">
        <w:rPr>
          <w:rFonts w:ascii="Times New Roman" w:hAnsi="Times New Roman" w:cs="Times New Roman"/>
          <w:noProof/>
          <w:sz w:val="24"/>
          <w:szCs w:val="24"/>
          <w:lang w:val="en-GB" w:eastAsia="zh-CN"/>
        </w:rPr>
        <w:lastRenderedPageBreak/>
        <w:drawing>
          <wp:inline distT="0" distB="0" distL="0" distR="0">
            <wp:extent cx="5727700" cy="4552950"/>
            <wp:effectExtent l="0" t="0" r="635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555979"/>
                    </a:xfrm>
                    <a:prstGeom prst="rect">
                      <a:avLst/>
                    </a:prstGeom>
                  </pic:spPr>
                </pic:pic>
              </a:graphicData>
            </a:graphic>
          </wp:inline>
        </w:drawing>
      </w:r>
    </w:p>
    <w:p w:rsidR="00737DC2" w:rsidRPr="00224DD6" w:rsidRDefault="00737DC2" w:rsidP="00737DC2">
      <w:pPr>
        <w:spacing w:line="240" w:lineRule="auto"/>
        <w:jc w:val="both"/>
        <w:rPr>
          <w:rFonts w:ascii="Times New Roman" w:hAnsi="Times New Roman" w:cs="Times New Roman"/>
          <w:color w:val="FF0000"/>
          <w:sz w:val="24"/>
          <w:szCs w:val="24"/>
        </w:rPr>
      </w:pPr>
      <w:r w:rsidRPr="00224DD6">
        <w:rPr>
          <w:rFonts w:ascii="Times New Roman" w:hAnsi="Times New Roman" w:cs="Times New Roman"/>
          <w:color w:val="FF0000"/>
          <w:sz w:val="24"/>
          <w:szCs w:val="24"/>
        </w:rPr>
        <w:t>Nota: solo China presenta una mejora en el Índice de camas hospitalarias (por cada 1.000 personas) en el período observado (1980-2018); EEUU, y la UE decaen notablemente.</w:t>
      </w:r>
    </w:p>
    <w:p w:rsidR="00737DC2" w:rsidRPr="00224DD6" w:rsidRDefault="00737DC2" w:rsidP="00737DC2">
      <w:pPr>
        <w:spacing w:line="240" w:lineRule="auto"/>
        <w:jc w:val="both"/>
        <w:rPr>
          <w:rFonts w:ascii="Times New Roman" w:hAnsi="Times New Roman" w:cs="Times New Roman"/>
          <w:sz w:val="24"/>
          <w:szCs w:val="24"/>
        </w:rPr>
      </w:pPr>
      <w:r w:rsidRPr="002002F5">
        <w:rPr>
          <w:rFonts w:ascii="Times New Roman" w:hAnsi="Times New Roman" w:cs="Times New Roman"/>
          <w:noProof/>
          <w:sz w:val="24"/>
          <w:szCs w:val="24"/>
          <w:lang w:val="en-GB" w:eastAsia="zh-CN"/>
        </w:rPr>
        <w:drawing>
          <wp:inline distT="0" distB="0" distL="0" distR="0">
            <wp:extent cx="5727698" cy="3117850"/>
            <wp:effectExtent l="0" t="0" r="6985"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119925"/>
                    </a:xfrm>
                    <a:prstGeom prst="rect">
                      <a:avLst/>
                    </a:prstGeom>
                  </pic:spPr>
                </pic:pic>
              </a:graphicData>
            </a:graphic>
          </wp:inline>
        </w:drawing>
      </w:r>
      <w:r w:rsidRPr="00224DD6">
        <w:rPr>
          <w:rFonts w:ascii="Times New Roman" w:hAnsi="Times New Roman" w:cs="Times New Roman"/>
          <w:color w:val="FF0000"/>
          <w:sz w:val="24"/>
          <w:szCs w:val="24"/>
        </w:rPr>
        <w:t>Nota: de la interpretación del gráfico surge que en la UE, EEUU, y China, durante el período 1980-2018, ha aumentado la cantidad de Médicos (por cada 1.000 personas), teniendo la UE la proporción más destacada.</w:t>
      </w:r>
    </w:p>
    <w:p w:rsidR="00737DC2" w:rsidRDefault="00737DC2" w:rsidP="00737DC2">
      <w:pPr>
        <w:spacing w:line="240" w:lineRule="auto"/>
        <w:jc w:val="both"/>
        <w:rPr>
          <w:rFonts w:ascii="Times New Roman" w:hAnsi="Times New Roman" w:cs="Times New Roman"/>
          <w:sz w:val="24"/>
          <w:szCs w:val="24"/>
        </w:rPr>
      </w:pPr>
      <w:r w:rsidRPr="00651569">
        <w:rPr>
          <w:rFonts w:ascii="Times New Roman" w:hAnsi="Times New Roman" w:cs="Times New Roman"/>
          <w:noProof/>
          <w:sz w:val="24"/>
          <w:szCs w:val="24"/>
          <w:lang w:val="en-GB" w:eastAsia="zh-CN"/>
        </w:rPr>
        <w:lastRenderedPageBreak/>
        <w:drawing>
          <wp:inline distT="0" distB="0" distL="0" distR="0">
            <wp:extent cx="5727700" cy="3473450"/>
            <wp:effectExtent l="0" t="0" r="635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3475761"/>
                    </a:xfrm>
                    <a:prstGeom prst="rect">
                      <a:avLst/>
                    </a:prstGeom>
                  </pic:spPr>
                </pic:pic>
              </a:graphicData>
            </a:graphic>
          </wp:inline>
        </w:drawing>
      </w:r>
    </w:p>
    <w:p w:rsidR="00737DC2" w:rsidRPr="00224DD6" w:rsidRDefault="00737DC2" w:rsidP="00737DC2">
      <w:pPr>
        <w:spacing w:line="240" w:lineRule="auto"/>
        <w:jc w:val="both"/>
        <w:rPr>
          <w:rFonts w:ascii="Times New Roman" w:hAnsi="Times New Roman" w:cs="Times New Roman"/>
          <w:color w:val="FF0000"/>
          <w:sz w:val="24"/>
          <w:szCs w:val="24"/>
        </w:rPr>
      </w:pPr>
      <w:r w:rsidRPr="00224DD6">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la financierización de la economía en el período 1980-2020 ha permitido un fenomenal incremento en la Capitalización en el mercado de empresas, principalmente en los EEUU, seguido de lejos por China y la Unión Europea, aunque también mejoran sus registros.</w:t>
      </w:r>
    </w:p>
    <w:p w:rsidR="00737DC2" w:rsidRDefault="00737DC2" w:rsidP="00737DC2">
      <w:pPr>
        <w:spacing w:line="240" w:lineRule="auto"/>
        <w:jc w:val="both"/>
        <w:rPr>
          <w:rFonts w:ascii="Times New Roman" w:hAnsi="Times New Roman" w:cs="Times New Roman"/>
          <w:sz w:val="24"/>
          <w:szCs w:val="24"/>
        </w:rPr>
      </w:pPr>
      <w:r w:rsidRPr="00651569">
        <w:rPr>
          <w:rFonts w:ascii="Times New Roman" w:hAnsi="Times New Roman" w:cs="Times New Roman"/>
          <w:noProof/>
          <w:sz w:val="24"/>
          <w:szCs w:val="24"/>
          <w:lang w:val="en-GB" w:eastAsia="zh-CN"/>
        </w:rPr>
        <w:drawing>
          <wp:inline distT="0" distB="0" distL="0" distR="0">
            <wp:extent cx="5733071" cy="3962400"/>
            <wp:effectExtent l="0" t="0" r="127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3961321"/>
                    </a:xfrm>
                    <a:prstGeom prst="rect">
                      <a:avLst/>
                    </a:prstGeom>
                  </pic:spPr>
                </pic:pic>
              </a:graphicData>
            </a:graphic>
          </wp:inline>
        </w:drawing>
      </w:r>
    </w:p>
    <w:p w:rsidR="00737DC2" w:rsidRPr="00B23373" w:rsidRDefault="00737DC2" w:rsidP="00737DC2">
      <w:pPr>
        <w:spacing w:line="240" w:lineRule="auto"/>
        <w:jc w:val="both"/>
        <w:rPr>
          <w:rFonts w:ascii="Times New Roman" w:hAnsi="Times New Roman" w:cs="Times New Roman"/>
          <w:color w:val="FF0000"/>
          <w:sz w:val="24"/>
          <w:szCs w:val="24"/>
        </w:rPr>
      </w:pPr>
      <w:r w:rsidRPr="00224DD6">
        <w:rPr>
          <w:rFonts w:ascii="Times New Roman" w:hAnsi="Times New Roman" w:cs="Times New Roman"/>
          <w:color w:val="FF0000"/>
          <w:sz w:val="24"/>
          <w:szCs w:val="24"/>
        </w:rPr>
        <w:t xml:space="preserve">Nota: </w:t>
      </w:r>
      <w:r>
        <w:rPr>
          <w:rFonts w:ascii="Times New Roman" w:hAnsi="Times New Roman" w:cs="Times New Roman"/>
          <w:color w:val="FF0000"/>
          <w:sz w:val="24"/>
          <w:szCs w:val="24"/>
        </w:rPr>
        <w:t>la exuberancia irracional de los mercados en el período 1980-2020 (de alta financierización) se puede comprobar en alta volatilidad del Índice Global Equity de S&amp;P.</w:t>
      </w:r>
    </w:p>
    <w:p w:rsidR="00737DC2" w:rsidRDefault="00737DC2" w:rsidP="00737DC2">
      <w:pPr>
        <w:spacing w:line="240" w:lineRule="auto"/>
        <w:jc w:val="both"/>
        <w:rPr>
          <w:rFonts w:ascii="Times New Roman" w:hAnsi="Times New Roman" w:cs="Times New Roman"/>
          <w:sz w:val="24"/>
          <w:szCs w:val="24"/>
        </w:rPr>
      </w:pPr>
      <w:r w:rsidRPr="005914A7">
        <w:rPr>
          <w:rFonts w:ascii="Times New Roman" w:hAnsi="Times New Roman" w:cs="Times New Roman"/>
          <w:noProof/>
          <w:sz w:val="24"/>
          <w:szCs w:val="24"/>
          <w:lang w:val="en-GB" w:eastAsia="zh-CN"/>
        </w:rPr>
        <w:lastRenderedPageBreak/>
        <w:drawing>
          <wp:inline distT="0" distB="0" distL="0" distR="0">
            <wp:extent cx="5732332" cy="3689350"/>
            <wp:effectExtent l="0" t="0" r="1905"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688821"/>
                    </a:xfrm>
                    <a:prstGeom prst="rect">
                      <a:avLst/>
                    </a:prstGeom>
                  </pic:spPr>
                </pic:pic>
              </a:graphicData>
            </a:graphic>
          </wp:inline>
        </w:drawing>
      </w:r>
    </w:p>
    <w:p w:rsidR="00737DC2" w:rsidRPr="00B23373"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Nota: El notable crecimiento de la Masa monetaria (% del PIB) de los EEUU se puede correlacionar con las sucesivas crisis financieras, con saltos importantes en 2008 y 2020. </w:t>
      </w:r>
    </w:p>
    <w:p w:rsidR="00737DC2" w:rsidRDefault="00737DC2" w:rsidP="00737DC2">
      <w:pPr>
        <w:spacing w:line="240" w:lineRule="auto"/>
        <w:jc w:val="both"/>
        <w:rPr>
          <w:rFonts w:ascii="Times New Roman" w:hAnsi="Times New Roman" w:cs="Times New Roman"/>
          <w:sz w:val="24"/>
          <w:szCs w:val="24"/>
        </w:rPr>
      </w:pPr>
      <w:r w:rsidRPr="005914A7">
        <w:rPr>
          <w:rFonts w:ascii="Times New Roman" w:hAnsi="Times New Roman" w:cs="Times New Roman"/>
          <w:noProof/>
          <w:sz w:val="24"/>
          <w:szCs w:val="24"/>
          <w:lang w:val="en-GB" w:eastAsia="zh-CN"/>
        </w:rPr>
        <w:drawing>
          <wp:inline distT="0" distB="0" distL="0" distR="0">
            <wp:extent cx="5733808" cy="3975100"/>
            <wp:effectExtent l="0" t="0" r="635"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397350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Nota: El notable crecimiento de la Masa monetaria (% anual) de los EEUU se puede correlacionar con las sucesivas crisis financieras, con saltos importantes en 2008 y 2020. </w:t>
      </w:r>
    </w:p>
    <w:p w:rsidR="00737DC2" w:rsidRPr="00746210"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lastRenderedPageBreak/>
        <w:t>En un</w:t>
      </w:r>
      <w:r w:rsidRPr="00C70E02">
        <w:rPr>
          <w:rFonts w:ascii="Times New Roman" w:hAnsi="Times New Roman" w:cs="Times New Roman"/>
          <w:sz w:val="24"/>
          <w:szCs w:val="24"/>
        </w:rPr>
        <w:t xml:space="preserve"> Paper</w:t>
      </w:r>
      <w:r>
        <w:rPr>
          <w:rFonts w:ascii="Times New Roman" w:hAnsi="Times New Roman" w:cs="Times New Roman"/>
          <w:sz w:val="24"/>
          <w:szCs w:val="24"/>
        </w:rPr>
        <w:t xml:space="preserve"> anterior</w:t>
      </w:r>
      <w:r>
        <w:rPr>
          <w:rFonts w:ascii="Times New Roman" w:hAnsi="Times New Roman" w:cs="Times New Roman"/>
          <w:b/>
          <w:sz w:val="24"/>
          <w:szCs w:val="24"/>
        </w:rPr>
        <w:t>: “¿H</w:t>
      </w:r>
      <w:r w:rsidRPr="002E5781">
        <w:rPr>
          <w:rFonts w:ascii="Times New Roman" w:hAnsi="Times New Roman" w:cs="Times New Roman"/>
          <w:b/>
          <w:sz w:val="24"/>
          <w:szCs w:val="24"/>
        </w:rPr>
        <w:t>asta dónde es (o era) sostenible la globalización?</w:t>
      </w:r>
      <w:r>
        <w:rPr>
          <w:rFonts w:ascii="Times New Roman" w:hAnsi="Times New Roman" w:cs="Times New Roman"/>
          <w:b/>
          <w:sz w:val="24"/>
          <w:szCs w:val="24"/>
        </w:rPr>
        <w:t xml:space="preserve"> - Los dislates de un librecambio bipolar (parcial, sesgado, ficticio) - Contestando la “homilía” de WSJ” - </w:t>
      </w:r>
      <w:r>
        <w:rPr>
          <w:rFonts w:ascii="Times New Roman" w:hAnsi="Times New Roman" w:cs="Times New Roman"/>
          <w:sz w:val="24"/>
          <w:szCs w:val="24"/>
        </w:rPr>
        <w:t xml:space="preserve">publicado el </w:t>
      </w:r>
      <w:r>
        <w:rPr>
          <w:rFonts w:ascii="Times New Roman" w:hAnsi="Times New Roman" w:cs="Times New Roman"/>
          <w:b/>
          <w:sz w:val="24"/>
          <w:szCs w:val="24"/>
        </w:rPr>
        <w:t>15/6/23</w:t>
      </w:r>
      <w:r>
        <w:rPr>
          <w:rFonts w:ascii="Times New Roman" w:hAnsi="Times New Roman" w:cs="Times New Roman"/>
          <w:sz w:val="24"/>
          <w:szCs w:val="24"/>
        </w:rPr>
        <w:t>, presenté información, que puede complementar la anterior:</w:t>
      </w:r>
    </w:p>
    <w:p w:rsidR="00737DC2" w:rsidRDefault="00737DC2" w:rsidP="00737DC2">
      <w:pPr>
        <w:spacing w:line="240" w:lineRule="auto"/>
        <w:jc w:val="both"/>
        <w:rPr>
          <w:rFonts w:ascii="Times New Roman" w:hAnsi="Times New Roman" w:cs="Times New Roman"/>
          <w:color w:val="FF0000"/>
          <w:sz w:val="24"/>
          <w:szCs w:val="24"/>
        </w:rPr>
      </w:pPr>
      <w:r w:rsidRPr="006B476E">
        <w:rPr>
          <w:rFonts w:ascii="Times New Roman" w:hAnsi="Times New Roman" w:cs="Times New Roman"/>
          <w:noProof/>
          <w:color w:val="FF0000"/>
          <w:sz w:val="24"/>
          <w:szCs w:val="24"/>
          <w:lang w:val="en-GB" w:eastAsia="zh-CN"/>
        </w:rPr>
        <w:drawing>
          <wp:inline distT="0" distB="0" distL="0" distR="0">
            <wp:extent cx="5727700" cy="3822700"/>
            <wp:effectExtent l="0" t="0" r="635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382524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6B476E">
        <w:rPr>
          <w:rFonts w:ascii="Times New Roman" w:hAnsi="Times New Roman" w:cs="Times New Roman"/>
          <w:noProof/>
          <w:color w:val="FF0000"/>
          <w:sz w:val="24"/>
          <w:szCs w:val="24"/>
          <w:lang w:val="en-GB" w:eastAsia="zh-CN"/>
        </w:rPr>
        <w:drawing>
          <wp:inline distT="0" distB="0" distL="0" distR="0">
            <wp:extent cx="5727700" cy="4076700"/>
            <wp:effectExtent l="0" t="0" r="635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407941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363FC7">
        <w:rPr>
          <w:rFonts w:ascii="Times New Roman" w:hAnsi="Times New Roman" w:cs="Times New Roman"/>
          <w:noProof/>
          <w:color w:val="FF0000"/>
          <w:sz w:val="24"/>
          <w:szCs w:val="24"/>
          <w:lang w:val="en-GB" w:eastAsia="zh-CN"/>
        </w:rPr>
        <w:lastRenderedPageBreak/>
        <w:drawing>
          <wp:inline distT="0" distB="0" distL="0" distR="0">
            <wp:extent cx="5727700" cy="4127500"/>
            <wp:effectExtent l="0" t="0" r="635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413024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China presenta un mayor crecimiento del PBI (anual, y per cápita), en el período observado, respecto de EEUU y la UE. </w:t>
      </w:r>
    </w:p>
    <w:p w:rsidR="00737DC2" w:rsidRDefault="00737DC2" w:rsidP="00737DC2">
      <w:pPr>
        <w:spacing w:line="240" w:lineRule="auto"/>
        <w:jc w:val="both"/>
        <w:rPr>
          <w:rFonts w:ascii="Times New Roman" w:hAnsi="Times New Roman" w:cs="Times New Roman"/>
          <w:color w:val="FF0000"/>
          <w:sz w:val="24"/>
          <w:szCs w:val="24"/>
        </w:rPr>
      </w:pPr>
      <w:r w:rsidRPr="00363FC7">
        <w:rPr>
          <w:rFonts w:ascii="Times New Roman" w:hAnsi="Times New Roman" w:cs="Times New Roman"/>
          <w:noProof/>
          <w:color w:val="FF0000"/>
          <w:sz w:val="24"/>
          <w:szCs w:val="24"/>
          <w:lang w:val="en-GB" w:eastAsia="zh-CN"/>
        </w:rPr>
        <w:drawing>
          <wp:inline distT="0" distB="0" distL="0" distR="0">
            <wp:extent cx="5734050" cy="375285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375118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B56C52">
        <w:rPr>
          <w:rFonts w:ascii="Times New Roman" w:hAnsi="Times New Roman" w:cs="Times New Roman"/>
          <w:noProof/>
          <w:color w:val="FF0000"/>
          <w:sz w:val="24"/>
          <w:szCs w:val="24"/>
          <w:lang w:val="en-GB" w:eastAsia="zh-CN"/>
        </w:rPr>
        <w:lastRenderedPageBreak/>
        <w:drawing>
          <wp:inline distT="0" distB="0" distL="0" distR="0">
            <wp:extent cx="5728574" cy="4235450"/>
            <wp:effectExtent l="0" t="0" r="571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4237621"/>
                    </a:xfrm>
                    <a:prstGeom prst="rect">
                      <a:avLst/>
                    </a:prstGeom>
                  </pic:spPr>
                </pic:pic>
              </a:graphicData>
            </a:graphic>
          </wp:inline>
        </w:drawing>
      </w:r>
      <w:r>
        <w:rPr>
          <w:rFonts w:ascii="Times New Roman" w:hAnsi="Times New Roman" w:cs="Times New Roman"/>
          <w:color w:val="FF0000"/>
          <w:sz w:val="24"/>
          <w:szCs w:val="24"/>
        </w:rPr>
        <w:t>La UE tiene una mayor participación de las exportaciones de bienes y servicios (% del PIB), en el período observado, que China y los EEUU. Nota: UE incluye el comercio interregional (que alcanza al 70% de las operaciones).</w:t>
      </w:r>
    </w:p>
    <w:p w:rsidR="00737DC2" w:rsidRDefault="00737DC2" w:rsidP="00737DC2">
      <w:pPr>
        <w:spacing w:line="240" w:lineRule="auto"/>
        <w:jc w:val="both"/>
        <w:rPr>
          <w:rFonts w:ascii="Times New Roman" w:hAnsi="Times New Roman" w:cs="Times New Roman"/>
          <w:color w:val="FF0000"/>
          <w:sz w:val="24"/>
          <w:szCs w:val="24"/>
        </w:rPr>
      </w:pPr>
    </w:p>
    <w:p w:rsidR="00737DC2" w:rsidRDefault="00737DC2" w:rsidP="00737DC2">
      <w:pPr>
        <w:spacing w:line="240" w:lineRule="auto"/>
        <w:jc w:val="both"/>
        <w:rPr>
          <w:rFonts w:ascii="Times New Roman" w:hAnsi="Times New Roman" w:cs="Times New Roman"/>
          <w:color w:val="FF0000"/>
          <w:sz w:val="24"/>
          <w:szCs w:val="24"/>
        </w:rPr>
      </w:pPr>
      <w:r w:rsidRPr="00B56C52">
        <w:rPr>
          <w:rFonts w:ascii="Times New Roman" w:hAnsi="Times New Roman" w:cs="Times New Roman"/>
          <w:noProof/>
          <w:color w:val="FF0000"/>
          <w:sz w:val="24"/>
          <w:szCs w:val="24"/>
          <w:lang w:val="en-GB" w:eastAsia="zh-CN"/>
        </w:rPr>
        <w:drawing>
          <wp:inline distT="0" distB="0" distL="0" distR="0">
            <wp:extent cx="5727700" cy="3613150"/>
            <wp:effectExtent l="0" t="0" r="635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361555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B56C52">
        <w:rPr>
          <w:rFonts w:ascii="Times New Roman" w:hAnsi="Times New Roman" w:cs="Times New Roman"/>
          <w:noProof/>
          <w:color w:val="FF0000"/>
          <w:sz w:val="24"/>
          <w:szCs w:val="24"/>
          <w:lang w:val="en-GB" w:eastAsia="zh-CN"/>
        </w:rPr>
        <w:lastRenderedPageBreak/>
        <w:drawing>
          <wp:inline distT="0" distB="0" distL="0" distR="0">
            <wp:extent cx="5728175" cy="4229100"/>
            <wp:effectExtent l="0" t="0" r="635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423156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tiene una mayor participación de las importaciones de bienes y servicios (% del PIB), en el período observado, que China y los EEUU. Nota: UE incluye el comercio interregional.</w:t>
      </w:r>
    </w:p>
    <w:p w:rsidR="00737DC2" w:rsidRDefault="00737DC2" w:rsidP="00737DC2">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val="en-GB" w:eastAsia="zh-CN"/>
        </w:rPr>
        <w:drawing>
          <wp:inline distT="0" distB="0" distL="0" distR="0">
            <wp:extent cx="5729602" cy="3956050"/>
            <wp:effectExtent l="0" t="0" r="508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395736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val="en-GB" w:eastAsia="zh-CN"/>
        </w:rPr>
        <w:lastRenderedPageBreak/>
        <w:drawing>
          <wp:inline distT="0" distB="0" distL="0" distR="0">
            <wp:extent cx="5733902" cy="4013200"/>
            <wp:effectExtent l="0" t="0" r="635" b="635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401152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tiene una mayor participación de las exportaciones de mercancías (US$ a precios actuales), en el período observado, que China y los EEUU. Nota: UE incluye el comercio interregional.</w:t>
      </w:r>
    </w:p>
    <w:p w:rsidR="00737DC2" w:rsidRDefault="00737DC2" w:rsidP="00737DC2">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val="en-GB" w:eastAsia="zh-CN"/>
        </w:rPr>
        <w:drawing>
          <wp:inline distT="0" distB="0" distL="0" distR="0">
            <wp:extent cx="5727107" cy="3759200"/>
            <wp:effectExtent l="0" t="0" r="698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376209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val="en-GB" w:eastAsia="zh-CN"/>
        </w:rPr>
        <w:lastRenderedPageBreak/>
        <w:drawing>
          <wp:inline distT="0" distB="0" distL="0" distR="0">
            <wp:extent cx="5733402" cy="4171950"/>
            <wp:effectExtent l="0" t="0" r="127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4170573"/>
                    </a:xfrm>
                    <a:prstGeom prst="rect">
                      <a:avLst/>
                    </a:prstGeom>
                  </pic:spPr>
                </pic:pic>
              </a:graphicData>
            </a:graphic>
          </wp:inline>
        </w:drawing>
      </w:r>
    </w:p>
    <w:p w:rsidR="00737DC2" w:rsidRPr="00627F46"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tiene una mayor participación de las importaciones de mercancías (US$ a precios actuales), en el período observado, que China y los EEUU. Nota: UE incluye el comercio interregional.</w:t>
      </w:r>
    </w:p>
    <w:p w:rsidR="00737DC2" w:rsidRDefault="00737DC2" w:rsidP="00737DC2">
      <w:pPr>
        <w:pStyle w:val="NormalWeb"/>
        <w:shd w:val="clear" w:color="auto" w:fill="FFFFFF"/>
        <w:spacing w:before="0" w:beforeAutospacing="0" w:after="360" w:afterAutospacing="0"/>
        <w:jc w:val="both"/>
        <w:rPr>
          <w:rStyle w:val="Textoennegrita"/>
          <w:rFonts w:eastAsiaTheme="majorEastAsia"/>
          <w:b w:val="0"/>
          <w:color w:val="FF0000"/>
        </w:rPr>
      </w:pPr>
      <w:r w:rsidRPr="00015A14">
        <w:rPr>
          <w:rStyle w:val="Textoennegrita"/>
          <w:rFonts w:eastAsiaTheme="majorEastAsia"/>
          <w:noProof/>
          <w:color w:val="000000"/>
          <w:lang w:val="en-GB" w:eastAsia="zh-CN"/>
        </w:rPr>
        <w:drawing>
          <wp:inline distT="0" distB="0" distL="0" distR="0">
            <wp:extent cx="5731510" cy="822374"/>
            <wp:effectExtent l="0" t="0" r="254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822374"/>
                    </a:xfrm>
                    <a:prstGeom prst="rect">
                      <a:avLst/>
                    </a:prstGeom>
                  </pic:spPr>
                </pic:pic>
              </a:graphicData>
            </a:graphic>
          </wp:inline>
        </w:drawing>
      </w:r>
      <w:r w:rsidRPr="00015A14">
        <w:rPr>
          <w:rStyle w:val="Textoennegrita"/>
          <w:rFonts w:eastAsiaTheme="majorEastAsia"/>
          <w:noProof/>
          <w:color w:val="000000"/>
          <w:lang w:val="en-GB" w:eastAsia="zh-CN"/>
        </w:rPr>
        <w:drawing>
          <wp:inline distT="0" distB="0" distL="0" distR="0">
            <wp:extent cx="5731510" cy="601319"/>
            <wp:effectExtent l="0" t="0" r="2540" b="889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601319"/>
                    </a:xfrm>
                    <a:prstGeom prst="rect">
                      <a:avLst/>
                    </a:prstGeom>
                  </pic:spPr>
                </pic:pic>
              </a:graphicData>
            </a:graphic>
          </wp:inline>
        </w:drawing>
      </w:r>
      <w:r w:rsidRPr="00015A14">
        <w:rPr>
          <w:rStyle w:val="Textoennegrita"/>
          <w:rFonts w:eastAsiaTheme="majorEastAsia"/>
          <w:noProof/>
          <w:color w:val="000000"/>
          <w:lang w:val="en-GB" w:eastAsia="zh-CN"/>
        </w:rPr>
        <w:drawing>
          <wp:inline distT="0" distB="0" distL="0" distR="0">
            <wp:extent cx="5731510" cy="379651"/>
            <wp:effectExtent l="0" t="0" r="0" b="190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379651"/>
                    </a:xfrm>
                    <a:prstGeom prst="rect">
                      <a:avLst/>
                    </a:prstGeom>
                  </pic:spPr>
                </pic:pic>
              </a:graphicData>
            </a:graphic>
          </wp:inline>
        </w:drawing>
      </w:r>
    </w:p>
    <w:p w:rsidR="00737DC2" w:rsidRDefault="00737DC2" w:rsidP="00737DC2">
      <w:pPr>
        <w:pStyle w:val="NormalWeb"/>
        <w:shd w:val="clear" w:color="auto" w:fill="FFFFFF"/>
        <w:spacing w:before="0" w:beforeAutospacing="0" w:after="360" w:afterAutospacing="0"/>
        <w:jc w:val="both"/>
        <w:rPr>
          <w:rStyle w:val="Textoennegrita"/>
          <w:rFonts w:eastAsiaTheme="majorEastAsia"/>
          <w:b w:val="0"/>
          <w:color w:val="FF0000"/>
        </w:rPr>
      </w:pPr>
      <w:r w:rsidRPr="00015A14">
        <w:rPr>
          <w:rStyle w:val="Textoennegrita"/>
          <w:rFonts w:eastAsiaTheme="majorEastAsia"/>
          <w:noProof/>
          <w:color w:val="000000"/>
          <w:lang w:val="en-GB" w:eastAsia="zh-CN"/>
        </w:rPr>
        <w:drawing>
          <wp:inline distT="0" distB="0" distL="0" distR="0">
            <wp:extent cx="5731510" cy="826660"/>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826660"/>
                    </a:xfrm>
                    <a:prstGeom prst="rect">
                      <a:avLst/>
                    </a:prstGeom>
                  </pic:spPr>
                </pic:pic>
              </a:graphicData>
            </a:graphic>
          </wp:inline>
        </w:drawing>
      </w:r>
      <w:r w:rsidRPr="00015A14">
        <w:rPr>
          <w:rStyle w:val="Textoennegrita"/>
          <w:rFonts w:eastAsiaTheme="majorEastAsia"/>
          <w:noProof/>
          <w:color w:val="000000"/>
          <w:lang w:val="en-GB" w:eastAsia="zh-CN"/>
        </w:rPr>
        <w:drawing>
          <wp:inline distT="0" distB="0" distL="0" distR="0">
            <wp:extent cx="5731510" cy="623363"/>
            <wp:effectExtent l="0" t="0" r="2540" b="571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623363"/>
                    </a:xfrm>
                    <a:prstGeom prst="rect">
                      <a:avLst/>
                    </a:prstGeom>
                  </pic:spPr>
                </pic:pic>
              </a:graphicData>
            </a:graphic>
          </wp:inline>
        </w:drawing>
      </w:r>
      <w:r w:rsidRPr="00015A14">
        <w:rPr>
          <w:rStyle w:val="Textoennegrita"/>
          <w:rFonts w:eastAsiaTheme="majorEastAsia"/>
          <w:noProof/>
          <w:color w:val="000000"/>
          <w:lang w:val="en-GB" w:eastAsia="zh-CN"/>
        </w:rPr>
        <w:drawing>
          <wp:inline distT="0" distB="0" distL="0" distR="0">
            <wp:extent cx="5731510" cy="393735"/>
            <wp:effectExtent l="0" t="0" r="2540" b="635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93735"/>
                    </a:xfrm>
                    <a:prstGeom prst="rect">
                      <a:avLst/>
                    </a:prstGeom>
                  </pic:spPr>
                </pic:pic>
              </a:graphicData>
            </a:graphic>
          </wp:inline>
        </w:drawing>
      </w:r>
    </w:p>
    <w:p w:rsidR="00737DC2" w:rsidRDefault="00737DC2" w:rsidP="00737DC2">
      <w:pPr>
        <w:pStyle w:val="NormalWeb"/>
        <w:shd w:val="clear" w:color="auto" w:fill="FFFFFF"/>
        <w:spacing w:before="0" w:beforeAutospacing="0" w:after="360" w:afterAutospacing="0"/>
        <w:jc w:val="both"/>
        <w:rPr>
          <w:rStyle w:val="Textoennegrita"/>
          <w:rFonts w:eastAsiaTheme="majorEastAsia"/>
          <w:b w:val="0"/>
          <w:color w:val="FF0000"/>
        </w:rPr>
      </w:pPr>
      <w:r w:rsidRPr="003836C3">
        <w:rPr>
          <w:rStyle w:val="Textoennegrita"/>
          <w:rFonts w:eastAsiaTheme="majorEastAsia"/>
          <w:noProof/>
          <w:color w:val="000000"/>
          <w:lang w:val="en-GB" w:eastAsia="zh-CN"/>
        </w:rPr>
        <w:lastRenderedPageBreak/>
        <w:drawing>
          <wp:inline distT="0" distB="0" distL="0" distR="0">
            <wp:extent cx="5731510" cy="867687"/>
            <wp:effectExtent l="0" t="0" r="2540" b="889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867687"/>
                    </a:xfrm>
                    <a:prstGeom prst="rect">
                      <a:avLst/>
                    </a:prstGeom>
                  </pic:spPr>
                </pic:pic>
              </a:graphicData>
            </a:graphic>
          </wp:inline>
        </w:drawing>
      </w:r>
      <w:r w:rsidRPr="003836C3">
        <w:rPr>
          <w:rStyle w:val="Textoennegrita"/>
          <w:rFonts w:eastAsiaTheme="majorEastAsia"/>
          <w:noProof/>
          <w:color w:val="000000"/>
          <w:lang w:val="en-GB" w:eastAsia="zh-CN"/>
        </w:rPr>
        <w:drawing>
          <wp:inline distT="0" distB="0" distL="0" distR="0">
            <wp:extent cx="5731510" cy="562741"/>
            <wp:effectExtent l="0" t="0" r="2540" b="889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562741"/>
                    </a:xfrm>
                    <a:prstGeom prst="rect">
                      <a:avLst/>
                    </a:prstGeom>
                  </pic:spPr>
                </pic:pic>
              </a:graphicData>
            </a:graphic>
          </wp:inline>
        </w:drawing>
      </w:r>
      <w:r w:rsidRPr="003836C3">
        <w:rPr>
          <w:rStyle w:val="Textoennegrita"/>
          <w:rFonts w:eastAsiaTheme="majorEastAsia"/>
          <w:noProof/>
          <w:color w:val="000000"/>
          <w:lang w:val="en-GB" w:eastAsia="zh-CN"/>
        </w:rPr>
        <w:drawing>
          <wp:inline distT="0" distB="0" distL="0" distR="0">
            <wp:extent cx="5731510" cy="404757"/>
            <wp:effectExtent l="0" t="0" r="254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404757"/>
                    </a:xfrm>
                    <a:prstGeom prst="rect">
                      <a:avLst/>
                    </a:prstGeom>
                  </pic:spPr>
                </pic:pic>
              </a:graphicData>
            </a:graphic>
          </wp:inline>
        </w:drawing>
      </w:r>
    </w:p>
    <w:p w:rsidR="00737DC2" w:rsidRPr="001B6500" w:rsidRDefault="00737DC2" w:rsidP="00737DC2">
      <w:pPr>
        <w:pStyle w:val="NormalWeb"/>
        <w:shd w:val="clear" w:color="auto" w:fill="FFFFFF"/>
        <w:spacing w:before="0" w:beforeAutospacing="0" w:after="360" w:afterAutospacing="0"/>
        <w:jc w:val="both"/>
        <w:rPr>
          <w:rStyle w:val="Textoennegrita"/>
          <w:rFonts w:eastAsiaTheme="majorEastAsia"/>
          <w:b w:val="0"/>
          <w:color w:val="FF0000"/>
        </w:rPr>
      </w:pPr>
      <w:r w:rsidRPr="003836C3">
        <w:rPr>
          <w:rStyle w:val="Textoennegrita"/>
          <w:rFonts w:eastAsiaTheme="majorEastAsia"/>
          <w:noProof/>
          <w:color w:val="000000"/>
          <w:lang w:val="en-GB" w:eastAsia="zh-CN"/>
        </w:rPr>
        <w:drawing>
          <wp:inline distT="0" distB="0" distL="0" distR="0">
            <wp:extent cx="5731510" cy="822986"/>
            <wp:effectExtent l="0" t="0" r="254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822986"/>
                    </a:xfrm>
                    <a:prstGeom prst="rect">
                      <a:avLst/>
                    </a:prstGeom>
                  </pic:spPr>
                </pic:pic>
              </a:graphicData>
            </a:graphic>
          </wp:inline>
        </w:drawing>
      </w:r>
      <w:r w:rsidRPr="003836C3">
        <w:rPr>
          <w:rStyle w:val="Textoennegrita"/>
          <w:rFonts w:eastAsiaTheme="majorEastAsia"/>
          <w:noProof/>
          <w:color w:val="000000"/>
          <w:lang w:val="en-GB" w:eastAsia="zh-CN"/>
        </w:rPr>
        <w:drawing>
          <wp:inline distT="0" distB="0" distL="0" distR="0">
            <wp:extent cx="5731510" cy="584785"/>
            <wp:effectExtent l="0" t="0" r="2540"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584785"/>
                    </a:xfrm>
                    <a:prstGeom prst="rect">
                      <a:avLst/>
                    </a:prstGeom>
                  </pic:spPr>
                </pic:pic>
              </a:graphicData>
            </a:graphic>
          </wp:inline>
        </w:drawing>
      </w:r>
      <w:r w:rsidRPr="003836C3">
        <w:rPr>
          <w:rStyle w:val="Textoennegrita"/>
          <w:rFonts w:eastAsiaTheme="majorEastAsia"/>
          <w:noProof/>
          <w:color w:val="000000"/>
          <w:lang w:val="en-GB" w:eastAsia="zh-CN"/>
        </w:rPr>
        <w:drawing>
          <wp:inline distT="0" distB="0" distL="0" distR="0">
            <wp:extent cx="5731510" cy="386999"/>
            <wp:effectExtent l="0" t="0" r="254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86999"/>
                    </a:xfrm>
                    <a:prstGeom prst="rect">
                      <a:avLst/>
                    </a:prstGeom>
                  </pic:spPr>
                </pic:pic>
              </a:graphicData>
            </a:graphic>
          </wp:inline>
        </w:drawing>
      </w:r>
      <w:r w:rsidRPr="001B6500">
        <w:rPr>
          <w:rStyle w:val="Textoennegrita"/>
          <w:rFonts w:eastAsiaTheme="majorEastAsia"/>
          <w:color w:val="FF0000"/>
        </w:rPr>
        <w:t xml:space="preserve">Variación BP export. </w:t>
      </w:r>
      <w:proofErr w:type="gramStart"/>
      <w:r w:rsidRPr="001B6500">
        <w:rPr>
          <w:rStyle w:val="Textoennegrita"/>
          <w:rFonts w:eastAsiaTheme="majorEastAsia"/>
          <w:color w:val="FF0000"/>
        </w:rPr>
        <w:t>de</w:t>
      </w:r>
      <w:proofErr w:type="gramEnd"/>
      <w:r w:rsidRPr="001B6500">
        <w:rPr>
          <w:rStyle w:val="Textoennegrita"/>
          <w:rFonts w:eastAsiaTheme="majorEastAsia"/>
          <w:color w:val="FF0000"/>
        </w:rPr>
        <w:t xml:space="preserve"> bienes (2000-2021) %: EEUU 124,4 - UE 234,7 - China 1.374,5</w:t>
      </w:r>
      <w:r>
        <w:rPr>
          <w:rStyle w:val="Textoennegrita"/>
          <w:rFonts w:eastAsiaTheme="majorEastAsia"/>
          <w:color w:val="FF0000"/>
        </w:rPr>
        <w:t xml:space="preserve">. </w:t>
      </w:r>
      <w:r w:rsidRPr="001B6500">
        <w:rPr>
          <w:rStyle w:val="Textoennegrita"/>
          <w:rFonts w:eastAsiaTheme="majorEastAsia"/>
          <w:color w:val="FF0000"/>
        </w:rPr>
        <w:t xml:space="preserve">Variación BP import. </w:t>
      </w:r>
      <w:proofErr w:type="gramStart"/>
      <w:r w:rsidRPr="001B6500">
        <w:rPr>
          <w:rStyle w:val="Textoennegrita"/>
          <w:rFonts w:eastAsiaTheme="majorEastAsia"/>
          <w:color w:val="FF0000"/>
        </w:rPr>
        <w:t>de</w:t>
      </w:r>
      <w:proofErr w:type="gramEnd"/>
      <w:r w:rsidRPr="001B6500">
        <w:rPr>
          <w:rStyle w:val="Textoennegrita"/>
          <w:rFonts w:eastAsiaTheme="majorEastAsia"/>
          <w:color w:val="FF0000"/>
        </w:rPr>
        <w:t xml:space="preserve"> bienes (2000-2021) %: EEUU 131,5 - UE 198,5 - China 1.319,5</w:t>
      </w:r>
    </w:p>
    <w:p w:rsidR="00737DC2" w:rsidRDefault="00737DC2" w:rsidP="00737DC2">
      <w:r w:rsidRPr="000D71BC">
        <w:rPr>
          <w:rFonts w:ascii="Times New Roman" w:hAnsi="Times New Roman" w:cs="Times New Roman"/>
          <w:noProof/>
          <w:sz w:val="24"/>
          <w:szCs w:val="24"/>
          <w:lang w:val="en-GB" w:eastAsia="zh-CN"/>
        </w:rPr>
        <w:drawing>
          <wp:inline distT="0" distB="0" distL="0" distR="0">
            <wp:extent cx="5731510" cy="4216400"/>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4216400"/>
                    </a:xfrm>
                    <a:prstGeom prst="rect">
                      <a:avLst/>
                    </a:prstGeom>
                  </pic:spPr>
                </pic:pic>
              </a:graphicData>
            </a:graphic>
          </wp:inline>
        </w:drawing>
      </w:r>
    </w:p>
    <w:p w:rsidR="00737DC2" w:rsidRDefault="00737DC2" w:rsidP="00737DC2">
      <w:r w:rsidRPr="000D71BC">
        <w:rPr>
          <w:rFonts w:ascii="Times New Roman" w:hAnsi="Times New Roman" w:cs="Times New Roman"/>
          <w:noProof/>
          <w:sz w:val="24"/>
          <w:szCs w:val="24"/>
          <w:lang w:val="en-GB" w:eastAsia="zh-CN"/>
        </w:rPr>
        <w:lastRenderedPageBreak/>
        <w:drawing>
          <wp:inline distT="0" distB="0" distL="0" distR="0">
            <wp:extent cx="5727700" cy="4191000"/>
            <wp:effectExtent l="0" t="0" r="635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4193788"/>
                    </a:xfrm>
                    <a:prstGeom prst="rect">
                      <a:avLst/>
                    </a:prstGeom>
                  </pic:spPr>
                </pic:pic>
              </a:graphicData>
            </a:graphic>
          </wp:inline>
        </w:drawing>
      </w:r>
    </w:p>
    <w:p w:rsidR="00737DC2" w:rsidRDefault="00737DC2" w:rsidP="00737DC2">
      <w:r w:rsidRPr="000D71BC">
        <w:rPr>
          <w:rFonts w:ascii="Times New Roman" w:hAnsi="Times New Roman" w:cs="Times New Roman"/>
          <w:noProof/>
          <w:sz w:val="24"/>
          <w:szCs w:val="24"/>
          <w:lang w:val="en-GB" w:eastAsia="zh-CN"/>
        </w:rPr>
        <w:drawing>
          <wp:inline distT="0" distB="0" distL="0" distR="0">
            <wp:extent cx="5727747" cy="4064000"/>
            <wp:effectExtent l="0" t="0" r="635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4066670"/>
                    </a:xfrm>
                    <a:prstGeom prst="rect">
                      <a:avLst/>
                    </a:prstGeom>
                  </pic:spPr>
                </pic:pic>
              </a:graphicData>
            </a:graphic>
          </wp:inline>
        </w:drawing>
      </w:r>
    </w:p>
    <w:p w:rsidR="00737DC2" w:rsidRPr="00C00D18" w:rsidRDefault="00737DC2" w:rsidP="00737DC2">
      <w:pPr>
        <w:rPr>
          <w:rFonts w:ascii="Times New Roman" w:hAnsi="Times New Roman" w:cs="Times New Roman"/>
          <w:sz w:val="24"/>
          <w:szCs w:val="24"/>
        </w:rPr>
      </w:pPr>
      <w:r>
        <w:rPr>
          <w:rFonts w:ascii="Times New Roman" w:hAnsi="Times New Roman" w:cs="Times New Roman"/>
          <w:sz w:val="24"/>
          <w:szCs w:val="24"/>
        </w:rPr>
        <w:lastRenderedPageBreak/>
        <w:t xml:space="preserve">Fuente: </w:t>
      </w:r>
      <w:r w:rsidRPr="001A09A4">
        <w:rPr>
          <w:rFonts w:ascii="Times New Roman" w:hAnsi="Times New Roman" w:cs="Times New Roman"/>
          <w:sz w:val="24"/>
          <w:szCs w:val="24"/>
        </w:rPr>
        <w:t>Banco Central Europeo</w:t>
      </w:r>
      <w:r>
        <w:rPr>
          <w:rFonts w:ascii="Times New Roman" w:hAnsi="Times New Roman" w:cs="Times New Roman"/>
          <w:sz w:val="24"/>
          <w:szCs w:val="24"/>
        </w:rPr>
        <w:t xml:space="preserve"> - Datos estadísticos y </w:t>
      </w:r>
      <w:r w:rsidRPr="001A09A4">
        <w:rPr>
          <w:rFonts w:ascii="Times New Roman" w:hAnsi="Times New Roman" w:cs="Times New Roman"/>
          <w:sz w:val="24"/>
          <w:szCs w:val="24"/>
        </w:rPr>
        <w:t>Statistics Bulletin</w:t>
      </w:r>
      <w:r>
        <w:rPr>
          <w:rFonts w:ascii="Times New Roman" w:hAnsi="Times New Roman" w:cs="Times New Roman"/>
          <w:sz w:val="24"/>
          <w:szCs w:val="24"/>
        </w:rPr>
        <w:t xml:space="preserve"> (</w:t>
      </w:r>
      <w:r w:rsidRPr="001A09A4">
        <w:rPr>
          <w:rFonts w:ascii="Times New Roman" w:hAnsi="Times New Roman" w:cs="Times New Roman"/>
          <w:sz w:val="24"/>
          <w:szCs w:val="24"/>
        </w:rPr>
        <w:t>Pa</w:t>
      </w:r>
      <w:r>
        <w:rPr>
          <w:rFonts w:ascii="Times New Roman" w:hAnsi="Times New Roman" w:cs="Times New Roman"/>
          <w:sz w:val="24"/>
          <w:szCs w:val="24"/>
        </w:rPr>
        <w:t>ge last updated on 01-11-2022)</w:t>
      </w:r>
    </w:p>
    <w:p w:rsidR="00737DC2" w:rsidRDefault="00737DC2" w:rsidP="00737DC2">
      <w:r w:rsidRPr="00401CD3">
        <w:rPr>
          <w:rFonts w:ascii="Times New Roman" w:hAnsi="Times New Roman" w:cs="Times New Roman"/>
          <w:noProof/>
          <w:sz w:val="24"/>
          <w:szCs w:val="24"/>
          <w:lang w:val="en-GB" w:eastAsia="zh-CN"/>
        </w:rPr>
        <w:drawing>
          <wp:inline distT="0" distB="0" distL="0" distR="0">
            <wp:extent cx="5727510" cy="3765550"/>
            <wp:effectExtent l="0" t="0" r="6985"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768180"/>
                    </a:xfrm>
                    <a:prstGeom prst="rect">
                      <a:avLst/>
                    </a:prstGeom>
                  </pic:spPr>
                </pic:pic>
              </a:graphicData>
            </a:graphic>
          </wp:inline>
        </w:drawing>
      </w:r>
    </w:p>
    <w:p w:rsidR="00737DC2" w:rsidRPr="00315923" w:rsidRDefault="00737DC2" w:rsidP="00737DC2">
      <w:pPr>
        <w:rPr>
          <w:rFonts w:ascii="Times New Roman" w:hAnsi="Times New Roman" w:cs="Times New Roman"/>
          <w:sz w:val="24"/>
          <w:szCs w:val="24"/>
        </w:rPr>
      </w:pPr>
      <w:r w:rsidRPr="00315923">
        <w:rPr>
          <w:rFonts w:ascii="Times New Roman" w:hAnsi="Times New Roman" w:cs="Times New Roman"/>
          <w:sz w:val="24"/>
          <w:szCs w:val="24"/>
        </w:rPr>
        <w:t>Fuente: Ba</w:t>
      </w:r>
      <w:r>
        <w:rPr>
          <w:rFonts w:ascii="Times New Roman" w:hAnsi="Times New Roman" w:cs="Times New Roman"/>
          <w:sz w:val="24"/>
          <w:szCs w:val="24"/>
        </w:rPr>
        <w:t>nco Central Europeo - Nov. 2022</w:t>
      </w:r>
    </w:p>
    <w:p w:rsidR="00737DC2" w:rsidRDefault="00737DC2" w:rsidP="00737DC2">
      <w:r w:rsidRPr="00401CD3">
        <w:rPr>
          <w:rFonts w:ascii="Times New Roman" w:hAnsi="Times New Roman" w:cs="Times New Roman"/>
          <w:noProof/>
          <w:sz w:val="24"/>
          <w:szCs w:val="24"/>
          <w:lang w:val="en-GB" w:eastAsia="zh-CN"/>
        </w:rPr>
        <w:drawing>
          <wp:inline distT="0" distB="0" distL="0" distR="0">
            <wp:extent cx="5727700" cy="3606800"/>
            <wp:effectExtent l="0" t="0" r="635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609199"/>
                    </a:xfrm>
                    <a:prstGeom prst="rect">
                      <a:avLst/>
                    </a:prstGeom>
                  </pic:spPr>
                </pic:pic>
              </a:graphicData>
            </a:graphic>
          </wp:inline>
        </w:drawing>
      </w:r>
    </w:p>
    <w:p w:rsidR="00737DC2" w:rsidRDefault="00737DC2" w:rsidP="00737DC2"/>
    <w:p w:rsidR="00737DC2" w:rsidRPr="00A54B0A" w:rsidRDefault="00737DC2" w:rsidP="00737DC2">
      <w:r w:rsidRPr="0038730F">
        <w:rPr>
          <w:rFonts w:ascii="Times New Roman" w:hAnsi="Times New Roman" w:cs="Times New Roman"/>
          <w:noProof/>
          <w:sz w:val="24"/>
          <w:szCs w:val="24"/>
          <w:lang w:val="en-GB" w:eastAsia="zh-CN"/>
        </w:rPr>
        <w:lastRenderedPageBreak/>
        <w:drawing>
          <wp:inline distT="0" distB="0" distL="0" distR="0">
            <wp:extent cx="5733508" cy="3333750"/>
            <wp:effectExtent l="0" t="0" r="635"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3332588"/>
                    </a:xfrm>
                    <a:prstGeom prst="rect">
                      <a:avLst/>
                    </a:prstGeom>
                  </pic:spPr>
                </pic:pic>
              </a:graphicData>
            </a:graphic>
          </wp:inline>
        </w:drawing>
      </w:r>
    </w:p>
    <w:p w:rsidR="00737DC2" w:rsidRPr="00046929" w:rsidRDefault="00737DC2" w:rsidP="00737DC2">
      <w:pPr>
        <w:rPr>
          <w:rFonts w:ascii="Times New Roman" w:hAnsi="Times New Roman" w:cs="Times New Roman"/>
          <w:sz w:val="24"/>
          <w:szCs w:val="24"/>
          <w:lang w:val="en-US"/>
        </w:rPr>
      </w:pPr>
      <w:r w:rsidRPr="00046929">
        <w:rPr>
          <w:rFonts w:ascii="Times New Roman" w:hAnsi="Times New Roman" w:cs="Times New Roman"/>
          <w:sz w:val="24"/>
          <w:szCs w:val="24"/>
          <w:lang w:val="en-US"/>
        </w:rPr>
        <w:t>Fuente: OECD - Government at a Glance 2021</w:t>
      </w:r>
    </w:p>
    <w:p w:rsidR="00737DC2" w:rsidRDefault="00737DC2" w:rsidP="00737DC2">
      <w:r w:rsidRPr="00046929">
        <w:rPr>
          <w:noProof/>
          <w:lang w:val="en-GB" w:eastAsia="zh-CN"/>
        </w:rPr>
        <w:drawing>
          <wp:inline distT="0" distB="0" distL="0" distR="0">
            <wp:extent cx="5733156" cy="2444750"/>
            <wp:effectExtent l="0" t="0" r="127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2444048"/>
                    </a:xfrm>
                    <a:prstGeom prst="rect">
                      <a:avLst/>
                    </a:prstGeom>
                  </pic:spPr>
                </pic:pic>
              </a:graphicData>
            </a:graphic>
          </wp:inline>
        </w:drawing>
      </w:r>
    </w:p>
    <w:p w:rsidR="00737DC2" w:rsidRDefault="00737DC2" w:rsidP="00737DC2">
      <w:r w:rsidRPr="00046929">
        <w:rPr>
          <w:noProof/>
          <w:lang w:val="en-GB" w:eastAsia="zh-CN"/>
        </w:rPr>
        <w:drawing>
          <wp:inline distT="0" distB="0" distL="0" distR="0">
            <wp:extent cx="5726012" cy="2336800"/>
            <wp:effectExtent l="0" t="0" r="8255" b="635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2339044"/>
                    </a:xfrm>
                    <a:prstGeom prst="rect">
                      <a:avLst/>
                    </a:prstGeom>
                  </pic:spPr>
                </pic:pic>
              </a:graphicData>
            </a:graphic>
          </wp:inline>
        </w:drawing>
      </w:r>
    </w:p>
    <w:p w:rsidR="00737DC2" w:rsidRDefault="00737DC2" w:rsidP="00737DC2">
      <w:r w:rsidRPr="00046929">
        <w:rPr>
          <w:noProof/>
          <w:lang w:val="en-GB" w:eastAsia="zh-CN"/>
        </w:rPr>
        <w:lastRenderedPageBreak/>
        <w:drawing>
          <wp:inline distT="0" distB="0" distL="0" distR="0">
            <wp:extent cx="5731510" cy="2235656"/>
            <wp:effectExtent l="0" t="0" r="254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731510" cy="2235656"/>
                    </a:xfrm>
                    <a:prstGeom prst="rect">
                      <a:avLst/>
                    </a:prstGeom>
                  </pic:spPr>
                </pic:pic>
              </a:graphicData>
            </a:graphic>
          </wp:inline>
        </w:drawing>
      </w:r>
    </w:p>
    <w:p w:rsidR="00737DC2" w:rsidRDefault="00737DC2" w:rsidP="00737DC2">
      <w:r w:rsidRPr="00046929">
        <w:rPr>
          <w:noProof/>
          <w:lang w:val="en-GB" w:eastAsia="zh-CN"/>
        </w:rPr>
        <w:drawing>
          <wp:inline distT="0" distB="0" distL="0" distR="0">
            <wp:extent cx="5731510" cy="2536316"/>
            <wp:effectExtent l="0" t="0" r="254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2536316"/>
                    </a:xfrm>
                    <a:prstGeom prst="rect">
                      <a:avLst/>
                    </a:prstGeom>
                  </pic:spPr>
                </pic:pic>
              </a:graphicData>
            </a:graphic>
          </wp:inline>
        </w:drawing>
      </w:r>
    </w:p>
    <w:p w:rsidR="00737DC2" w:rsidRDefault="00737DC2" w:rsidP="00737DC2">
      <w:r w:rsidRPr="00046929">
        <w:rPr>
          <w:noProof/>
          <w:lang w:val="en-GB" w:eastAsia="zh-CN"/>
        </w:rPr>
        <w:drawing>
          <wp:inline distT="0" distB="0" distL="0" distR="0">
            <wp:extent cx="5731510" cy="2457324"/>
            <wp:effectExtent l="0" t="0" r="2540" b="635"/>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2457324"/>
                    </a:xfrm>
                    <a:prstGeom prst="rect">
                      <a:avLst/>
                    </a:prstGeom>
                  </pic:spPr>
                </pic:pic>
              </a:graphicData>
            </a:graphic>
          </wp:inline>
        </w:drawing>
      </w:r>
    </w:p>
    <w:p w:rsidR="00737DC2" w:rsidRDefault="00737DC2" w:rsidP="00737DC2">
      <w:r w:rsidRPr="007452AB">
        <w:rPr>
          <w:noProof/>
          <w:lang w:val="en-GB" w:eastAsia="zh-CN"/>
        </w:rPr>
        <w:lastRenderedPageBreak/>
        <w:drawing>
          <wp:inline distT="0" distB="0" distL="0" distR="0">
            <wp:extent cx="5734050" cy="2641600"/>
            <wp:effectExtent l="0" t="0" r="0" b="635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2640430"/>
                    </a:xfrm>
                    <a:prstGeom prst="rect">
                      <a:avLst/>
                    </a:prstGeom>
                  </pic:spPr>
                </pic:pic>
              </a:graphicData>
            </a:graphic>
          </wp:inline>
        </w:drawing>
      </w:r>
    </w:p>
    <w:p w:rsidR="00737DC2" w:rsidRDefault="00737DC2" w:rsidP="00737DC2">
      <w:r w:rsidRPr="007452AB">
        <w:rPr>
          <w:noProof/>
          <w:lang w:val="en-GB" w:eastAsia="zh-CN"/>
        </w:rPr>
        <w:drawing>
          <wp:inline distT="0" distB="0" distL="0" distR="0">
            <wp:extent cx="5730146" cy="2686050"/>
            <wp:effectExtent l="0" t="0" r="4445"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2686690"/>
                    </a:xfrm>
                    <a:prstGeom prst="rect">
                      <a:avLst/>
                    </a:prstGeom>
                  </pic:spPr>
                </pic:pic>
              </a:graphicData>
            </a:graphic>
          </wp:inline>
        </w:drawing>
      </w:r>
    </w:p>
    <w:p w:rsidR="00737DC2" w:rsidRDefault="00737DC2" w:rsidP="00737DC2">
      <w:r w:rsidRPr="007452AB">
        <w:rPr>
          <w:noProof/>
          <w:lang w:val="en-GB" w:eastAsia="zh-CN"/>
        </w:rPr>
        <w:drawing>
          <wp:inline distT="0" distB="0" distL="0" distR="0">
            <wp:extent cx="5731909" cy="2387600"/>
            <wp:effectExtent l="0" t="0" r="254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2387434"/>
                    </a:xfrm>
                    <a:prstGeom prst="rect">
                      <a:avLst/>
                    </a:prstGeom>
                  </pic:spPr>
                </pic:pic>
              </a:graphicData>
            </a:graphic>
          </wp:inline>
        </w:drawing>
      </w:r>
    </w:p>
    <w:p w:rsidR="00737DC2" w:rsidRDefault="00737DC2" w:rsidP="00737DC2">
      <w:r w:rsidRPr="007452AB">
        <w:rPr>
          <w:noProof/>
          <w:lang w:val="en-GB" w:eastAsia="zh-CN"/>
        </w:rPr>
        <w:lastRenderedPageBreak/>
        <w:drawing>
          <wp:inline distT="0" distB="0" distL="0" distR="0">
            <wp:extent cx="5721350" cy="2419350"/>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2423646"/>
                    </a:xfrm>
                    <a:prstGeom prst="rect">
                      <a:avLst/>
                    </a:prstGeom>
                  </pic:spPr>
                </pic:pic>
              </a:graphicData>
            </a:graphic>
          </wp:inline>
        </w:drawing>
      </w:r>
    </w:p>
    <w:p w:rsidR="00737DC2" w:rsidRDefault="00737DC2" w:rsidP="00737DC2">
      <w:pPr>
        <w:rPr>
          <w:rFonts w:ascii="Times New Roman" w:hAnsi="Times New Roman" w:cs="Times New Roman"/>
          <w:sz w:val="24"/>
          <w:szCs w:val="24"/>
        </w:rPr>
      </w:pPr>
      <w:r w:rsidRPr="007452AB">
        <w:rPr>
          <w:noProof/>
          <w:lang w:val="en-GB" w:eastAsia="zh-CN"/>
        </w:rPr>
        <w:drawing>
          <wp:inline distT="0" distB="0" distL="0" distR="0">
            <wp:extent cx="5727700" cy="2349500"/>
            <wp:effectExtent l="0" t="0" r="635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2351063"/>
                    </a:xfrm>
                    <a:prstGeom prst="rect">
                      <a:avLst/>
                    </a:prstGeom>
                  </pic:spPr>
                </pic:pic>
              </a:graphicData>
            </a:graphic>
          </wp:inline>
        </w:drawing>
      </w:r>
    </w:p>
    <w:p w:rsidR="00737DC2" w:rsidRDefault="00737DC2" w:rsidP="00737DC2">
      <w:pPr>
        <w:rPr>
          <w:rFonts w:ascii="Times New Roman" w:hAnsi="Times New Roman" w:cs="Times New Roman"/>
          <w:sz w:val="24"/>
          <w:szCs w:val="24"/>
        </w:rPr>
      </w:pPr>
      <w:r w:rsidRPr="00395244">
        <w:rPr>
          <w:noProof/>
          <w:lang w:val="en-GB" w:eastAsia="zh-CN"/>
        </w:rPr>
        <w:drawing>
          <wp:inline distT="0" distB="0" distL="0" distR="0">
            <wp:extent cx="5727700" cy="2578100"/>
            <wp:effectExtent l="0" t="0" r="635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2579815"/>
                    </a:xfrm>
                    <a:prstGeom prst="rect">
                      <a:avLst/>
                    </a:prstGeom>
                  </pic:spPr>
                </pic:pic>
              </a:graphicData>
            </a:graphic>
          </wp:inline>
        </w:drawing>
      </w:r>
    </w:p>
    <w:p w:rsidR="00737DC2" w:rsidRDefault="00737DC2" w:rsidP="00737DC2">
      <w:pPr>
        <w:rPr>
          <w:rFonts w:ascii="Times New Roman" w:hAnsi="Times New Roman" w:cs="Times New Roman"/>
          <w:sz w:val="24"/>
          <w:szCs w:val="24"/>
        </w:rPr>
      </w:pPr>
    </w:p>
    <w:p w:rsidR="00737DC2" w:rsidRDefault="00737DC2" w:rsidP="00737DC2">
      <w:pPr>
        <w:rPr>
          <w:rFonts w:ascii="Times New Roman" w:hAnsi="Times New Roman" w:cs="Times New Roman"/>
          <w:sz w:val="24"/>
          <w:szCs w:val="24"/>
        </w:rPr>
      </w:pPr>
    </w:p>
    <w:p w:rsidR="00737DC2" w:rsidRDefault="00737DC2" w:rsidP="00737DC2">
      <w:pPr>
        <w:rPr>
          <w:rFonts w:ascii="Times New Roman" w:hAnsi="Times New Roman" w:cs="Times New Roman"/>
          <w:sz w:val="24"/>
          <w:szCs w:val="24"/>
        </w:rPr>
      </w:pPr>
    </w:p>
    <w:p w:rsidR="00737DC2" w:rsidRDefault="00737DC2" w:rsidP="00737DC2">
      <w:pPr>
        <w:rPr>
          <w:rFonts w:ascii="Times New Roman" w:hAnsi="Times New Roman" w:cs="Times New Roman"/>
          <w:sz w:val="24"/>
          <w:szCs w:val="24"/>
        </w:rPr>
      </w:pPr>
    </w:p>
    <w:p w:rsidR="00737DC2" w:rsidRDefault="00737DC2" w:rsidP="00737DC2">
      <w:pPr>
        <w:pStyle w:val="Default"/>
        <w:spacing w:after="140"/>
        <w:jc w:val="both"/>
        <w:rPr>
          <w:rFonts w:ascii="Times New Roman" w:hAnsi="Times New Roman" w:cs="Times New Roman"/>
          <w:color w:val="auto"/>
        </w:rPr>
      </w:pPr>
      <w:r>
        <w:rPr>
          <w:noProof/>
          <w:lang w:val="en-GB" w:eastAsia="zh-CN"/>
        </w:rPr>
        <w:drawing>
          <wp:inline distT="0" distB="0" distL="0" distR="0">
            <wp:extent cx="5727700" cy="6959600"/>
            <wp:effectExtent l="0" t="0" r="6350" b="0"/>
            <wp:docPr id="195" name="Imagen 195" descr="Deuda déficit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uda déficit UE"/>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6964229"/>
                    </a:xfrm>
                    <a:prstGeom prst="rect">
                      <a:avLst/>
                    </a:prstGeom>
                    <a:noFill/>
                    <a:ln>
                      <a:noFill/>
                    </a:ln>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sidRPr="005F448C">
        <w:rPr>
          <w:b/>
          <w:bCs/>
          <w:noProof/>
          <w:lang w:val="en-GB" w:eastAsia="zh-CN"/>
        </w:rPr>
        <w:lastRenderedPageBreak/>
        <w:drawing>
          <wp:inline distT="0" distB="0" distL="0" distR="0">
            <wp:extent cx="5727699" cy="4279900"/>
            <wp:effectExtent l="0" t="0" r="6985" b="6350"/>
            <wp:docPr id="3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27699" cy="4279900"/>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sidRPr="00923E3B">
        <w:rPr>
          <w:rFonts w:ascii="Times New Roman" w:hAnsi="Times New Roman" w:cs="Times New Roman"/>
          <w:noProof/>
          <w:color w:val="auto"/>
          <w:lang w:val="en-GB" w:eastAsia="zh-CN"/>
        </w:rPr>
        <w:drawing>
          <wp:inline distT="0" distB="0" distL="0" distR="0">
            <wp:extent cx="5727700" cy="4267200"/>
            <wp:effectExtent l="0" t="0" r="635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4270038"/>
                    </a:xfrm>
                    <a:prstGeom prst="rect">
                      <a:avLst/>
                    </a:prstGeom>
                  </pic:spPr>
                </pic:pic>
              </a:graphicData>
            </a:graphic>
          </wp:inline>
        </w:drawing>
      </w:r>
      <w:r>
        <w:rPr>
          <w:rFonts w:ascii="Times New Roman" w:hAnsi="Times New Roman" w:cs="Times New Roman"/>
          <w:color w:val="auto"/>
        </w:rPr>
        <w:t>Fuente: Banco Mundial</w:t>
      </w:r>
    </w:p>
    <w:p w:rsidR="00737DC2" w:rsidRPr="004C6E08"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lastRenderedPageBreak/>
        <w:t xml:space="preserve">- </w:t>
      </w:r>
      <w:r w:rsidRPr="004C6E08">
        <w:rPr>
          <w:rFonts w:ascii="Times New Roman" w:hAnsi="Times New Roman" w:cs="Times New Roman"/>
          <w:color w:val="auto"/>
          <w:u w:val="single"/>
        </w:rPr>
        <w:t>Récord de dividendos mundiales en el tercer trimestre con casi 400.00 millones de euros</w:t>
      </w:r>
      <w:r>
        <w:rPr>
          <w:rFonts w:ascii="Times New Roman" w:hAnsi="Times New Roman" w:cs="Times New Roman"/>
          <w:color w:val="auto"/>
        </w:rPr>
        <w:t xml:space="preserve"> (Cinco Días - </w:t>
      </w:r>
      <w:r w:rsidRPr="004C6E08">
        <w:rPr>
          <w:rFonts w:ascii="Times New Roman" w:hAnsi="Times New Roman" w:cs="Times New Roman"/>
          <w:b/>
          <w:color w:val="auto"/>
        </w:rPr>
        <w:t>16/11/22</w:t>
      </w:r>
      <w:r>
        <w:rPr>
          <w:rFonts w:ascii="Times New Roman" w:hAnsi="Times New Roman" w:cs="Times New Roman"/>
          <w:color w:val="auto"/>
        </w:rPr>
        <w:t>)</w:t>
      </w:r>
    </w:p>
    <w:p w:rsidR="00737DC2" w:rsidRDefault="00737DC2" w:rsidP="00737DC2">
      <w:pPr>
        <w:pStyle w:val="Default"/>
        <w:spacing w:after="140"/>
        <w:jc w:val="both"/>
        <w:rPr>
          <w:rFonts w:ascii="Times New Roman" w:hAnsi="Times New Roman" w:cs="Times New Roman"/>
          <w:color w:val="auto"/>
        </w:rPr>
      </w:pPr>
      <w:r>
        <w:rPr>
          <w:noProof/>
          <w:lang w:val="en-GB" w:eastAsia="zh-CN"/>
        </w:rPr>
        <w:drawing>
          <wp:inline distT="0" distB="0" distL="0" distR="0">
            <wp:extent cx="5727388" cy="2387600"/>
            <wp:effectExtent l="0" t="0" r="6985" b="0"/>
            <wp:docPr id="192" name="Imagen 192" descr="Dividendos mundiale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videndos mundiales 2022"/>
                    <pic:cNvPicPr>
                      <a:picLocks noChangeAspect="1" noChangeArrowheads="1"/>
                    </pic:cNvPicPr>
                  </pic:nvPicPr>
                  <pic:blipFill>
                    <a:blip r:embed="rId2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89318"/>
                    </a:xfrm>
                    <a:prstGeom prst="rect">
                      <a:avLst/>
                    </a:prstGeom>
                    <a:noFill/>
                    <a:ln>
                      <a:noFill/>
                    </a:ln>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b/>
          <w:sz w:val="24"/>
          <w:szCs w:val="24"/>
        </w:rPr>
      </w:pPr>
      <w:r w:rsidRPr="00B241E0">
        <w:rPr>
          <w:rFonts w:ascii="Times New Roman" w:hAnsi="Times New Roman" w:cs="Times New Roman"/>
          <w:b/>
          <w:noProof/>
          <w:sz w:val="24"/>
          <w:szCs w:val="24"/>
          <w:lang w:val="en-GB" w:eastAsia="zh-CN"/>
        </w:rPr>
        <w:drawing>
          <wp:inline distT="0" distB="0" distL="0" distR="0">
            <wp:extent cx="5731510" cy="4028590"/>
            <wp:effectExtent l="0" t="0" r="254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402859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b/>
          <w:sz w:val="24"/>
          <w:szCs w:val="24"/>
        </w:rPr>
      </w:pPr>
      <w:r w:rsidRPr="00B241E0">
        <w:rPr>
          <w:rFonts w:ascii="Times New Roman" w:hAnsi="Times New Roman" w:cs="Times New Roman"/>
          <w:b/>
          <w:noProof/>
          <w:sz w:val="24"/>
          <w:szCs w:val="24"/>
          <w:lang w:val="en-GB" w:eastAsia="zh-CN"/>
        </w:rPr>
        <w:lastRenderedPageBreak/>
        <w:drawing>
          <wp:inline distT="0" distB="0" distL="0" distR="0">
            <wp:extent cx="5731510" cy="3530757"/>
            <wp:effectExtent l="0" t="0" r="254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53075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 xml:space="preserve">Fuente: </w:t>
      </w:r>
      <w:r w:rsidRPr="00F04AAA">
        <w:rPr>
          <w:rFonts w:ascii="Times New Roman" w:hAnsi="Times New Roman" w:cs="Times New Roman"/>
          <w:sz w:val="24"/>
          <w:szCs w:val="24"/>
        </w:rPr>
        <w:t>Or</w:t>
      </w:r>
      <w:r>
        <w:rPr>
          <w:rFonts w:ascii="Times New Roman" w:hAnsi="Times New Roman" w:cs="Times New Roman"/>
          <w:sz w:val="24"/>
          <w:szCs w:val="24"/>
        </w:rPr>
        <w:t>ganización Mundial del Comercio</w:t>
      </w:r>
    </w:p>
    <w:p w:rsidR="00737DC2" w:rsidRPr="00B241E0" w:rsidRDefault="00737DC2" w:rsidP="00737DC2">
      <w:pPr>
        <w:spacing w:line="240" w:lineRule="auto"/>
        <w:jc w:val="both"/>
        <w:rPr>
          <w:rFonts w:ascii="Times New Roman" w:hAnsi="Times New Roman" w:cs="Times New Roman"/>
          <w:sz w:val="24"/>
          <w:szCs w:val="24"/>
        </w:rPr>
      </w:pPr>
      <w:r w:rsidRPr="002B3357">
        <w:rPr>
          <w:rFonts w:ascii="Times New Roman" w:hAnsi="Times New Roman" w:cs="Times New Roman"/>
          <w:noProof/>
          <w:sz w:val="24"/>
          <w:szCs w:val="24"/>
          <w:lang w:val="en-GB" w:eastAsia="zh-CN"/>
        </w:rPr>
        <w:drawing>
          <wp:inline distT="0" distB="0" distL="0" distR="0">
            <wp:extent cx="5731510" cy="2162788"/>
            <wp:effectExtent l="0" t="0" r="2540" b="952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216278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2E5BF4">
        <w:rPr>
          <w:rFonts w:ascii="Times New Roman" w:hAnsi="Times New Roman" w:cs="Times New Roman"/>
          <w:noProof/>
          <w:sz w:val="24"/>
          <w:szCs w:val="24"/>
          <w:lang w:val="en-GB" w:eastAsia="zh-CN"/>
        </w:rPr>
        <w:drawing>
          <wp:inline distT="0" distB="0" distL="0" distR="0">
            <wp:extent cx="5731510" cy="2105840"/>
            <wp:effectExtent l="0" t="0" r="2540" b="889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2105840"/>
                    </a:xfrm>
                    <a:prstGeom prst="rect">
                      <a:avLst/>
                    </a:prstGeom>
                  </pic:spPr>
                </pic:pic>
              </a:graphicData>
            </a:graphic>
          </wp:inline>
        </w:drawing>
      </w:r>
    </w:p>
    <w:p w:rsidR="00737DC2" w:rsidRDefault="00737DC2" w:rsidP="00737DC2">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lastRenderedPageBreak/>
        <w:t>Tráfico mundial de contenedores, de enero de 2007 a junio de 2020</w:t>
      </w:r>
    </w:p>
    <w:p w:rsidR="00737DC2" w:rsidRPr="002E5BF4" w:rsidRDefault="00737DC2" w:rsidP="00737DC2">
      <w:pPr>
        <w:shd w:val="clear" w:color="auto" w:fill="FFFFFF"/>
        <w:spacing w:before="300" w:after="150" w:line="240" w:lineRule="auto"/>
        <w:jc w:val="both"/>
        <w:outlineLvl w:val="2"/>
        <w:rPr>
          <w:rFonts w:ascii="Times New Roman" w:eastAsia="Times New Roman" w:hAnsi="Times New Roman" w:cs="Times New Roman"/>
          <w:sz w:val="24"/>
          <w:szCs w:val="24"/>
          <w:lang w:eastAsia="es-ES"/>
        </w:rPr>
      </w:pPr>
      <w:r w:rsidRPr="002E5BF4">
        <w:rPr>
          <w:rFonts w:ascii="Times New Roman" w:eastAsia="Times New Roman" w:hAnsi="Times New Roman" w:cs="Times New Roman"/>
          <w:sz w:val="24"/>
          <w:szCs w:val="24"/>
          <w:lang w:eastAsia="es-ES"/>
        </w:rPr>
        <w:t>(Índice desestacionalizado, 2015 = 100)</w:t>
      </w:r>
    </w:p>
    <w:p w:rsidR="00737DC2" w:rsidRPr="002E5BF4" w:rsidRDefault="00737DC2" w:rsidP="00737DC2">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val="en-GB" w:eastAsia="zh-CN"/>
        </w:rPr>
        <w:drawing>
          <wp:inline distT="0" distB="0" distL="0" distR="0">
            <wp:extent cx="5676900" cy="2533650"/>
            <wp:effectExtent l="0" t="0" r="0" b="0"/>
            <wp:docPr id="174" name="Imagen 174" descr="https://www.wto.org/images/img_press/858chart3_e.png">
              <a:hlinkClick xmlns:a="http://schemas.openxmlformats.org/drawingml/2006/main" r:id="rId21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wto.org/images/img_press/858chart3_e.png">
                      <a:hlinkClick r:id="rId218" tooltip="&quot;&quot;"/>
                    </pic:cNvPr>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0" cy="2533650"/>
                    </a:xfrm>
                    <a:prstGeom prst="rect">
                      <a:avLst/>
                    </a:prstGeom>
                    <a:noFill/>
                    <a:ln>
                      <a:noFill/>
                    </a:ln>
                  </pic:spPr>
                </pic:pic>
              </a:graphicData>
            </a:graphic>
          </wp:inline>
        </w:drawing>
      </w:r>
    </w:p>
    <w:p w:rsidR="00737DC2" w:rsidRDefault="00737DC2" w:rsidP="00737DC2">
      <w:pPr>
        <w:shd w:val="clear" w:color="auto" w:fill="FFFFFF"/>
        <w:spacing w:after="150" w:line="240" w:lineRule="auto"/>
        <w:jc w:val="both"/>
        <w:rPr>
          <w:rFonts w:ascii="Times New Roman" w:eastAsia="Times New Roman" w:hAnsi="Times New Roman" w:cs="Times New Roman"/>
          <w:color w:val="000000"/>
          <w:sz w:val="24"/>
          <w:szCs w:val="24"/>
          <w:lang w:eastAsia="es-ES"/>
        </w:rPr>
      </w:pPr>
    </w:p>
    <w:p w:rsidR="00737DC2" w:rsidRDefault="00737DC2" w:rsidP="00737DC2">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 Instituto de Economía y Logística del Transporte Marítimo (ISL) hasta abril de 2020, estimaciones de la Secretaría de la OMC basadas en las escalas portuarias mundiales/regionales entre mayo y junio registradas en el servicio AIS de la Base de Datos Comtrade de las Naciones Unidas.</w:t>
      </w:r>
    </w:p>
    <w:p w:rsidR="00737DC2" w:rsidRDefault="00737DC2" w:rsidP="00737DC2">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Nuevos pedidos de exportación según los índices de gestores de compras, de enero de 2008 a mayo de 2020</w:t>
      </w:r>
    </w:p>
    <w:p w:rsidR="00737DC2" w:rsidRPr="002E5BF4" w:rsidRDefault="00737DC2" w:rsidP="00737DC2">
      <w:pPr>
        <w:shd w:val="clear" w:color="auto" w:fill="FFFFFF"/>
        <w:spacing w:before="300" w:after="150" w:line="240" w:lineRule="auto"/>
        <w:jc w:val="both"/>
        <w:outlineLvl w:val="2"/>
        <w:rPr>
          <w:rFonts w:ascii="Times New Roman" w:eastAsia="Times New Roman" w:hAnsi="Times New Roman" w:cs="Times New Roman"/>
          <w:sz w:val="24"/>
          <w:szCs w:val="24"/>
          <w:lang w:eastAsia="es-ES"/>
        </w:rPr>
      </w:pPr>
      <w:r w:rsidRPr="002E5BF4">
        <w:rPr>
          <w:rFonts w:ascii="Times New Roman" w:eastAsia="Times New Roman" w:hAnsi="Times New Roman" w:cs="Times New Roman"/>
          <w:sz w:val="24"/>
          <w:szCs w:val="24"/>
          <w:lang w:eastAsia="es-ES"/>
        </w:rPr>
        <w:t>(Índice, base = 50)</w:t>
      </w:r>
    </w:p>
    <w:p w:rsidR="00737DC2" w:rsidRPr="002E5BF4" w:rsidRDefault="00737DC2" w:rsidP="00737DC2">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val="en-GB" w:eastAsia="zh-CN"/>
        </w:rPr>
        <w:drawing>
          <wp:inline distT="0" distB="0" distL="0" distR="0">
            <wp:extent cx="5702300" cy="2425700"/>
            <wp:effectExtent l="0" t="0" r="0" b="0"/>
            <wp:docPr id="175" name="Imagen 175" descr="https://www.wto.org/images/img_press/858chart4_e.png">
              <a:hlinkClick xmlns:a="http://schemas.openxmlformats.org/drawingml/2006/main" r:id="rId22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to.org/images/img_press/858chart4_e.png">
                      <a:hlinkClick r:id="rId220" tooltip="&quot;&quot;"/>
                    </pic:cNvPr>
                    <pic:cNvPicPr>
                      <a:picLocks noChangeAspect="1" noChangeArrowheads="1"/>
                    </pic:cNvPicPr>
                  </pic:nvPicPr>
                  <pic:blipFill>
                    <a:blip r:embed="rId2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2300" cy="2425700"/>
                    </a:xfrm>
                    <a:prstGeom prst="rect">
                      <a:avLst/>
                    </a:prstGeom>
                    <a:noFill/>
                    <a:ln>
                      <a:noFill/>
                    </a:ln>
                  </pic:spPr>
                </pic:pic>
              </a:graphicData>
            </a:graphic>
          </wp:inline>
        </w:drawing>
      </w:r>
    </w:p>
    <w:p w:rsidR="00737DC2" w:rsidRDefault="00737DC2" w:rsidP="00737DC2">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Nota: Los valores superiores a 50 indican expansión y los inferiores a 50 denotan contracción.</w:t>
      </w:r>
    </w:p>
    <w:p w:rsidR="00737DC2" w:rsidRDefault="00737DC2" w:rsidP="00737DC2">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 JPMorgan/IHS Markit.</w:t>
      </w:r>
    </w:p>
    <w:p w:rsidR="00737DC2" w:rsidRDefault="00737DC2" w:rsidP="00737DC2">
      <w:pPr>
        <w:shd w:val="clear" w:color="auto" w:fill="FFFFFF"/>
        <w:spacing w:after="150" w:line="240" w:lineRule="auto"/>
        <w:jc w:val="both"/>
        <w:rPr>
          <w:rFonts w:ascii="Times New Roman" w:eastAsia="Times New Roman" w:hAnsi="Times New Roman" w:cs="Times New Roman"/>
          <w:color w:val="000000"/>
          <w:sz w:val="24"/>
          <w:szCs w:val="24"/>
          <w:lang w:eastAsia="es-ES"/>
        </w:rPr>
      </w:pPr>
    </w:p>
    <w:p w:rsidR="00737DC2" w:rsidRDefault="00737DC2" w:rsidP="00737DC2">
      <w:pPr>
        <w:pStyle w:val="Default"/>
        <w:spacing w:after="140"/>
        <w:jc w:val="both"/>
        <w:rPr>
          <w:rFonts w:ascii="Times New Roman" w:hAnsi="Times New Roman" w:cs="Times New Roman"/>
          <w:color w:val="auto"/>
        </w:rPr>
      </w:pPr>
      <w:r w:rsidRPr="00610716">
        <w:rPr>
          <w:rFonts w:ascii="Times New Roman" w:hAnsi="Times New Roman" w:cs="Times New Roman"/>
          <w:noProof/>
          <w:color w:val="auto"/>
          <w:lang w:val="en-GB" w:eastAsia="zh-CN"/>
        </w:rPr>
        <w:lastRenderedPageBreak/>
        <w:drawing>
          <wp:inline distT="0" distB="0" distL="0" distR="0">
            <wp:extent cx="5731510" cy="372303"/>
            <wp:effectExtent l="0" t="0" r="2540" b="889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372303"/>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sidRPr="00610716">
        <w:rPr>
          <w:rFonts w:ascii="Times New Roman" w:hAnsi="Times New Roman" w:cs="Times New Roman"/>
          <w:noProof/>
          <w:color w:val="auto"/>
          <w:lang w:val="en-GB" w:eastAsia="zh-CN"/>
        </w:rPr>
        <w:drawing>
          <wp:inline distT="0" distB="0" distL="0" distR="0">
            <wp:extent cx="5733825" cy="2692400"/>
            <wp:effectExtent l="0" t="0" r="635"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2691313"/>
                    </a:xfrm>
                    <a:prstGeom prst="rect">
                      <a:avLst/>
                    </a:prstGeom>
                  </pic:spPr>
                </pic:pic>
              </a:graphicData>
            </a:graphic>
          </wp:inline>
        </w:drawing>
      </w:r>
    </w:p>
    <w:p w:rsidR="00737DC2" w:rsidRDefault="00737DC2" w:rsidP="00737DC2">
      <w:pPr>
        <w:pStyle w:val="Default"/>
        <w:spacing w:after="140"/>
        <w:jc w:val="both"/>
        <w:rPr>
          <w:noProof/>
          <w:lang w:eastAsia="es-ES"/>
        </w:rPr>
      </w:pPr>
      <w:r w:rsidRPr="00610716">
        <w:rPr>
          <w:rFonts w:ascii="Times New Roman" w:hAnsi="Times New Roman" w:cs="Times New Roman"/>
          <w:noProof/>
          <w:color w:val="auto"/>
          <w:lang w:val="en-GB" w:eastAsia="zh-CN"/>
        </w:rPr>
        <w:drawing>
          <wp:inline distT="0" distB="0" distL="0" distR="0">
            <wp:extent cx="1571844" cy="1419423"/>
            <wp:effectExtent l="0" t="0" r="9525" b="952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1571844" cy="1419423"/>
                    </a:xfrm>
                    <a:prstGeom prst="rect">
                      <a:avLst/>
                    </a:prstGeom>
                  </pic:spPr>
                </pic:pic>
              </a:graphicData>
            </a:graphic>
          </wp:inline>
        </w:drawing>
      </w:r>
      <w:r w:rsidRPr="00610716">
        <w:rPr>
          <w:rFonts w:ascii="Times New Roman" w:hAnsi="Times New Roman" w:cs="Times New Roman"/>
          <w:noProof/>
          <w:color w:val="auto"/>
          <w:lang w:val="en-GB" w:eastAsia="zh-CN"/>
        </w:rPr>
        <w:drawing>
          <wp:inline distT="0" distB="0" distL="0" distR="0">
            <wp:extent cx="1562318" cy="142895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1562318" cy="1428950"/>
                    </a:xfrm>
                    <a:prstGeom prst="rect">
                      <a:avLst/>
                    </a:prstGeom>
                  </pic:spPr>
                </pic:pic>
              </a:graphicData>
            </a:graphic>
          </wp:inline>
        </w:drawing>
      </w:r>
    </w:p>
    <w:p w:rsidR="00737DC2" w:rsidRPr="006331E6" w:rsidRDefault="00737DC2" w:rsidP="00737DC2">
      <w:pPr>
        <w:pStyle w:val="Default"/>
        <w:spacing w:after="140"/>
        <w:jc w:val="both"/>
        <w:rPr>
          <w:rFonts w:ascii="Times New Roman" w:hAnsi="Times New Roman" w:cs="Times New Roman"/>
          <w:color w:val="auto"/>
        </w:rPr>
      </w:pPr>
    </w:p>
    <w:p w:rsidR="00737DC2" w:rsidRDefault="00737DC2" w:rsidP="00737DC2">
      <w:pPr>
        <w:pStyle w:val="Default"/>
        <w:spacing w:after="140"/>
        <w:jc w:val="both"/>
        <w:rPr>
          <w:rFonts w:ascii="Times New Roman" w:hAnsi="Times New Roman" w:cs="Times New Roman"/>
          <w:color w:val="FF0000"/>
        </w:rPr>
      </w:pPr>
      <w:r w:rsidRPr="00610716">
        <w:rPr>
          <w:rFonts w:ascii="Times New Roman" w:hAnsi="Times New Roman" w:cs="Times New Roman"/>
          <w:noProof/>
          <w:color w:val="FF0000"/>
          <w:lang w:val="en-GB" w:eastAsia="zh-CN"/>
        </w:rPr>
        <w:drawing>
          <wp:inline distT="0" distB="0" distL="0" distR="0">
            <wp:extent cx="5716616" cy="36830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31510" cy="369260"/>
                    </a:xfrm>
                    <a:prstGeom prst="rect">
                      <a:avLst/>
                    </a:prstGeom>
                  </pic:spPr>
                </pic:pic>
              </a:graphicData>
            </a:graphic>
          </wp:inline>
        </w:drawing>
      </w:r>
    </w:p>
    <w:p w:rsidR="00737DC2" w:rsidRPr="006B1BBB" w:rsidRDefault="00737DC2" w:rsidP="00737DC2">
      <w:pPr>
        <w:pStyle w:val="Default"/>
        <w:spacing w:after="140"/>
        <w:jc w:val="both"/>
        <w:rPr>
          <w:rFonts w:ascii="Times New Roman" w:hAnsi="Times New Roman" w:cs="Times New Roman"/>
          <w:color w:val="FF0000"/>
        </w:rPr>
      </w:pPr>
      <w:r w:rsidRPr="00610716">
        <w:rPr>
          <w:rFonts w:ascii="Times New Roman" w:hAnsi="Times New Roman" w:cs="Times New Roman"/>
          <w:noProof/>
          <w:color w:val="FF0000"/>
          <w:lang w:val="en-GB" w:eastAsia="zh-CN"/>
        </w:rPr>
        <w:drawing>
          <wp:inline distT="0" distB="0" distL="0" distR="0">
            <wp:extent cx="5727699" cy="3175000"/>
            <wp:effectExtent l="0" t="0" r="6985" b="635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3177113"/>
                    </a:xfrm>
                    <a:prstGeom prst="rect">
                      <a:avLst/>
                    </a:prstGeom>
                  </pic:spPr>
                </pic:pic>
              </a:graphicData>
            </a:graphic>
          </wp:inline>
        </w:drawing>
      </w:r>
      <w:r w:rsidRPr="00FD31AB">
        <w:rPr>
          <w:rFonts w:ascii="Times New Roman" w:hAnsi="Times New Roman" w:cs="Times New Roman"/>
          <w:color w:val="auto"/>
        </w:rPr>
        <w:t>Fuente: Statista</w:t>
      </w:r>
    </w:p>
    <w:p w:rsidR="00737DC2" w:rsidRDefault="00737DC2" w:rsidP="00737DC2">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val="en-GB" w:eastAsia="zh-CN"/>
        </w:rPr>
        <w:lastRenderedPageBreak/>
        <w:drawing>
          <wp:inline distT="0" distB="0" distL="0" distR="0">
            <wp:extent cx="5732941" cy="4235450"/>
            <wp:effectExtent l="0" t="0" r="127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31510" cy="4234393"/>
                    </a:xfrm>
                    <a:prstGeom prst="rect">
                      <a:avLst/>
                    </a:prstGeom>
                  </pic:spPr>
                </pic:pic>
              </a:graphicData>
            </a:graphic>
          </wp:inline>
        </w:drawing>
      </w: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val="en-GB" w:eastAsia="zh-CN"/>
        </w:rPr>
        <w:drawing>
          <wp:inline distT="0" distB="0" distL="0" distR="0">
            <wp:extent cx="5727700" cy="4121150"/>
            <wp:effectExtent l="0" t="0" r="635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731510" cy="4123891"/>
                    </a:xfrm>
                    <a:prstGeom prst="rect">
                      <a:avLst/>
                    </a:prstGeom>
                  </pic:spPr>
                </pic:pic>
              </a:graphicData>
            </a:graphic>
          </wp:inline>
        </w:drawing>
      </w: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r w:rsidRPr="00905E73">
        <w:rPr>
          <w:rFonts w:ascii="Times New Roman" w:hAnsi="Times New Roman" w:cs="Times New Roman"/>
          <w:noProof/>
          <w:color w:val="auto"/>
          <w:lang w:val="en-GB" w:eastAsia="zh-CN"/>
        </w:rPr>
        <w:lastRenderedPageBreak/>
        <w:drawing>
          <wp:inline distT="0" distB="0" distL="0" distR="0">
            <wp:extent cx="5733125" cy="3975100"/>
            <wp:effectExtent l="0" t="0" r="1270" b="635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1510" cy="3973981"/>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r w:rsidRPr="00FD31AB">
        <w:rPr>
          <w:rFonts w:ascii="Times New Roman" w:hAnsi="Times New Roman" w:cs="Times New Roman"/>
          <w:noProof/>
          <w:color w:val="auto"/>
          <w:lang w:val="en-GB" w:eastAsia="zh-CN"/>
        </w:rPr>
        <w:drawing>
          <wp:inline distT="0" distB="0" distL="0" distR="0">
            <wp:extent cx="5730495" cy="3867150"/>
            <wp:effectExtent l="0" t="0" r="381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3867835"/>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val="en-GB" w:eastAsia="zh-CN"/>
        </w:rPr>
        <w:lastRenderedPageBreak/>
        <w:drawing>
          <wp:inline distT="0" distB="0" distL="0" distR="0">
            <wp:extent cx="5728680" cy="4108450"/>
            <wp:effectExtent l="0" t="0" r="5715" b="635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4110480"/>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p>
    <w:p w:rsidR="00737DC2" w:rsidRDefault="00737DC2" w:rsidP="00737DC2">
      <w:pPr>
        <w:pStyle w:val="Default"/>
        <w:spacing w:after="140"/>
        <w:jc w:val="both"/>
        <w:rPr>
          <w:rFonts w:ascii="Times New Roman" w:hAnsi="Times New Roman" w:cs="Times New Roman"/>
          <w:color w:val="auto"/>
        </w:rPr>
      </w:pPr>
      <w:r w:rsidRPr="00FD31AB">
        <w:rPr>
          <w:rFonts w:ascii="Times New Roman" w:hAnsi="Times New Roman" w:cs="Times New Roman"/>
          <w:noProof/>
          <w:color w:val="auto"/>
          <w:lang w:val="en-GB" w:eastAsia="zh-CN"/>
        </w:rPr>
        <w:drawing>
          <wp:inline distT="0" distB="0" distL="0" distR="0">
            <wp:extent cx="5731525" cy="3549650"/>
            <wp:effectExtent l="0" t="0" r="254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31510" cy="3549641"/>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val="en-GB" w:eastAsia="zh-CN"/>
        </w:rPr>
        <w:lastRenderedPageBreak/>
        <w:drawing>
          <wp:inline distT="0" distB="0" distL="0" distR="0">
            <wp:extent cx="5727700" cy="4210050"/>
            <wp:effectExtent l="0" t="0" r="635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31510" cy="4212850"/>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p>
    <w:p w:rsidR="00737DC2" w:rsidRDefault="00737DC2" w:rsidP="00737DC2">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val="en-GB" w:eastAsia="zh-CN"/>
        </w:rPr>
        <w:drawing>
          <wp:inline distT="0" distB="0" distL="0" distR="0">
            <wp:extent cx="5733161" cy="3486150"/>
            <wp:effectExtent l="0" t="0" r="127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31510" cy="3485146"/>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auto"/>
        </w:rPr>
      </w:pPr>
    </w:p>
    <w:p w:rsidR="00737DC2" w:rsidRDefault="00737DC2" w:rsidP="00737DC2">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val="en-GB" w:eastAsia="zh-CN"/>
        </w:rPr>
        <w:lastRenderedPageBreak/>
        <w:drawing>
          <wp:inline distT="0" distB="0" distL="0" distR="0">
            <wp:extent cx="5729236" cy="4222750"/>
            <wp:effectExtent l="0" t="0" r="5080" b="635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731510" cy="4224426"/>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737DC2" w:rsidRDefault="00737DC2" w:rsidP="00737DC2">
      <w:pPr>
        <w:pStyle w:val="Default"/>
        <w:spacing w:after="140"/>
        <w:jc w:val="both"/>
        <w:rPr>
          <w:rFonts w:ascii="Times New Roman" w:hAnsi="Times New Roman" w:cs="Times New Roman"/>
          <w:color w:val="FF0000"/>
        </w:rPr>
      </w:pPr>
      <w:r w:rsidRPr="007B7958">
        <w:rPr>
          <w:rFonts w:ascii="Times New Roman" w:hAnsi="Times New Roman" w:cs="Times New Roman"/>
          <w:color w:val="FF0000"/>
        </w:rPr>
        <w:t>Cálculos comparados del empleo industrial:</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 del total de empleos)</w:t>
      </w:r>
      <w:r>
        <w:rPr>
          <w:rFonts w:ascii="Times New Roman" w:hAnsi="Times New Roman" w:cs="Times New Roman"/>
          <w:color w:val="FF0000"/>
        </w:rPr>
        <w:tab/>
        <w:t>1991</w:t>
      </w:r>
      <w:r>
        <w:rPr>
          <w:rFonts w:ascii="Times New Roman" w:hAnsi="Times New Roman" w:cs="Times New Roman"/>
          <w:color w:val="FF0000"/>
        </w:rPr>
        <w:tab/>
      </w:r>
      <w:r>
        <w:rPr>
          <w:rFonts w:ascii="Times New Roman" w:hAnsi="Times New Roman" w:cs="Times New Roman"/>
          <w:color w:val="FF0000"/>
        </w:rPr>
        <w:tab/>
        <w:t>2004</w:t>
      </w:r>
      <w:r>
        <w:rPr>
          <w:rFonts w:ascii="Times New Roman" w:hAnsi="Times New Roman" w:cs="Times New Roman"/>
          <w:color w:val="FF0000"/>
        </w:rPr>
        <w:tab/>
      </w:r>
      <w:r>
        <w:rPr>
          <w:rFonts w:ascii="Times New Roman" w:hAnsi="Times New Roman" w:cs="Times New Roman"/>
          <w:color w:val="FF0000"/>
        </w:rPr>
        <w:tab/>
        <w:t>2019</w:t>
      </w:r>
      <w:r>
        <w:rPr>
          <w:rFonts w:ascii="Times New Roman" w:hAnsi="Times New Roman" w:cs="Times New Roman"/>
          <w:color w:val="FF0000"/>
        </w:rPr>
        <w:tab/>
      </w:r>
      <w:r>
        <w:rPr>
          <w:rFonts w:ascii="Times New Roman" w:hAnsi="Times New Roman" w:cs="Times New Roman"/>
          <w:color w:val="FF0000"/>
        </w:rPr>
        <w:tab/>
        <w:t>Variación</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t xml:space="preserve">          (2019/1991)</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EEUU</w:t>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t xml:space="preserve">              26</w:t>
      </w:r>
      <w:r>
        <w:rPr>
          <w:rFonts w:ascii="Times New Roman" w:hAnsi="Times New Roman" w:cs="Times New Roman"/>
          <w:color w:val="FF0000"/>
        </w:rPr>
        <w:tab/>
      </w:r>
      <w:r>
        <w:rPr>
          <w:rFonts w:ascii="Times New Roman" w:hAnsi="Times New Roman" w:cs="Times New Roman"/>
          <w:color w:val="FF0000"/>
        </w:rPr>
        <w:tab/>
        <w:t xml:space="preserve">  22</w:t>
      </w:r>
      <w:r>
        <w:rPr>
          <w:rFonts w:ascii="Times New Roman" w:hAnsi="Times New Roman" w:cs="Times New Roman"/>
          <w:color w:val="FF0000"/>
        </w:rPr>
        <w:tab/>
      </w:r>
      <w:r>
        <w:rPr>
          <w:rFonts w:ascii="Times New Roman" w:hAnsi="Times New Roman" w:cs="Times New Roman"/>
          <w:color w:val="FF0000"/>
        </w:rPr>
        <w:tab/>
        <w:t xml:space="preserve">  20</w:t>
      </w:r>
      <w:r>
        <w:rPr>
          <w:rFonts w:ascii="Times New Roman" w:hAnsi="Times New Roman" w:cs="Times New Roman"/>
          <w:color w:val="FF0000"/>
        </w:rPr>
        <w:tab/>
      </w:r>
      <w:r>
        <w:rPr>
          <w:rFonts w:ascii="Times New Roman" w:hAnsi="Times New Roman" w:cs="Times New Roman"/>
          <w:color w:val="FF0000"/>
        </w:rPr>
        <w:tab/>
        <w:t xml:space="preserve"> (23,08)</w:t>
      </w:r>
    </w:p>
    <w:p w:rsidR="00737DC2" w:rsidRDefault="00737DC2" w:rsidP="00737DC2">
      <w:pPr>
        <w:pStyle w:val="Default"/>
        <w:spacing w:after="140"/>
        <w:jc w:val="both"/>
        <w:rPr>
          <w:rFonts w:ascii="Times New Roman" w:hAnsi="Times New Roman" w:cs="Times New Roman"/>
          <w:color w:val="FF0000"/>
        </w:rPr>
      </w:pP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UE</w:t>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t xml:space="preserve">              34</w:t>
      </w:r>
      <w:r>
        <w:rPr>
          <w:rFonts w:ascii="Times New Roman" w:hAnsi="Times New Roman" w:cs="Times New Roman"/>
          <w:color w:val="FF0000"/>
        </w:rPr>
        <w:tab/>
      </w:r>
      <w:r>
        <w:rPr>
          <w:rFonts w:ascii="Times New Roman" w:hAnsi="Times New Roman" w:cs="Times New Roman"/>
          <w:color w:val="FF0000"/>
        </w:rPr>
        <w:tab/>
        <w:t xml:space="preserve">  29</w:t>
      </w:r>
      <w:r>
        <w:rPr>
          <w:rFonts w:ascii="Times New Roman" w:hAnsi="Times New Roman" w:cs="Times New Roman"/>
          <w:color w:val="FF0000"/>
        </w:rPr>
        <w:tab/>
      </w:r>
      <w:r>
        <w:rPr>
          <w:rFonts w:ascii="Times New Roman" w:hAnsi="Times New Roman" w:cs="Times New Roman"/>
          <w:color w:val="FF0000"/>
        </w:rPr>
        <w:tab/>
        <w:t xml:space="preserve">  25</w:t>
      </w:r>
      <w:r>
        <w:rPr>
          <w:rFonts w:ascii="Times New Roman" w:hAnsi="Times New Roman" w:cs="Times New Roman"/>
          <w:color w:val="FF0000"/>
        </w:rPr>
        <w:tab/>
      </w:r>
      <w:r>
        <w:rPr>
          <w:rFonts w:ascii="Times New Roman" w:hAnsi="Times New Roman" w:cs="Times New Roman"/>
          <w:color w:val="FF0000"/>
        </w:rPr>
        <w:tab/>
        <w:t xml:space="preserve"> (26,47)</w:t>
      </w:r>
    </w:p>
    <w:p w:rsidR="00737DC2" w:rsidRDefault="00737DC2" w:rsidP="00737DC2">
      <w:pPr>
        <w:pStyle w:val="Default"/>
        <w:spacing w:after="140"/>
        <w:jc w:val="both"/>
        <w:rPr>
          <w:rFonts w:ascii="Times New Roman" w:hAnsi="Times New Roman" w:cs="Times New Roman"/>
          <w:color w:val="FF0000"/>
        </w:rPr>
      </w:pP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China</w:t>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t xml:space="preserve">              21</w:t>
      </w:r>
      <w:r>
        <w:rPr>
          <w:rFonts w:ascii="Times New Roman" w:hAnsi="Times New Roman" w:cs="Times New Roman"/>
          <w:color w:val="FF0000"/>
        </w:rPr>
        <w:tab/>
      </w:r>
      <w:r>
        <w:rPr>
          <w:rFonts w:ascii="Times New Roman" w:hAnsi="Times New Roman" w:cs="Times New Roman"/>
          <w:color w:val="FF0000"/>
        </w:rPr>
        <w:tab/>
        <w:t xml:space="preserve">  23</w:t>
      </w:r>
      <w:r>
        <w:rPr>
          <w:rFonts w:ascii="Times New Roman" w:hAnsi="Times New Roman" w:cs="Times New Roman"/>
          <w:color w:val="FF0000"/>
        </w:rPr>
        <w:tab/>
      </w:r>
      <w:r>
        <w:rPr>
          <w:rFonts w:ascii="Times New Roman" w:hAnsi="Times New Roman" w:cs="Times New Roman"/>
          <w:color w:val="FF0000"/>
        </w:rPr>
        <w:tab/>
        <w:t xml:space="preserve">  27</w:t>
      </w:r>
      <w:r>
        <w:rPr>
          <w:rFonts w:ascii="Times New Roman" w:hAnsi="Times New Roman" w:cs="Times New Roman"/>
          <w:color w:val="FF0000"/>
        </w:rPr>
        <w:tab/>
      </w:r>
      <w:r>
        <w:rPr>
          <w:rFonts w:ascii="Times New Roman" w:hAnsi="Times New Roman" w:cs="Times New Roman"/>
          <w:color w:val="FF0000"/>
        </w:rPr>
        <w:tab/>
        <w:t xml:space="preserve">   17,39</w:t>
      </w:r>
    </w:p>
    <w:p w:rsidR="00737DC2" w:rsidRDefault="00737DC2" w:rsidP="00737DC2">
      <w:pPr>
        <w:pStyle w:val="Default"/>
        <w:spacing w:after="140"/>
        <w:jc w:val="both"/>
        <w:rPr>
          <w:rFonts w:ascii="Times New Roman" w:hAnsi="Times New Roman" w:cs="Times New Roman"/>
          <w:color w:val="FF0000"/>
        </w:rPr>
      </w:pP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Resueltamente, China es la gran ganadora en la evolución del empleo industrial, durante el período 1991 - 2019.</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Estos datos vienen a certificar (poner en evidencia) la pérdida de tejido industrial de Estados Unidos y la Unión Europea, en beneficio de China. Es la consecuencia más directa del proceso de desregulación, deslocalización, tercerización, bandera de conveniencia, privatización, o librecambio, iniciado en 1980, y acelerado en la década de 1990-2000.</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 xml:space="preserve">Empezaron por los productos textiles, siguieron por el calzado, juguetes, plásticos, artículos de decoración, y otros productos industriales de consumo masivo y bajo precio (entre ellos los muebles, que utiliza en este Apartado WSJ). Luego pasaron a los productos electrónicos </w:t>
      </w:r>
      <w:r>
        <w:rPr>
          <w:rFonts w:ascii="Times New Roman" w:hAnsi="Times New Roman" w:cs="Times New Roman"/>
          <w:color w:val="FF0000"/>
        </w:rPr>
        <w:lastRenderedPageBreak/>
        <w:t>(teléfonos, ordenadores, televisores), y así hasta llegar a los automóviles (o partes y piezas) -que anteriormente, los países avanzados, habían cedido (parcialmente) a la industria japonesa (tal vez, el huevo de la serpiente de todo este proceso de destrucción industrial).</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A más a más, China controla la fabricación y comercialización de chips, tecnologías de telefonía móvil 5-G, 6-G, o medicamentos (como se evidenció por las carencias y dependencia que padeció Occidente durante la pandemia de Covid-19, que para más inri se originó en China -de la que aún está pendiente alguna reclamación por daños y perjuicios-).</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En 2020 China fue la economía número 2 del mundo en términos de PIB (US$ corrientes), número 1 en exportaciones totales, número 2 en importaciones totales, el número 68 en términos de PIB per cápita (US$ corrientes) y el número 28 en economía más compleja, según el Índice de Complejidad Económica (ECI). (Fuente OEC - Noviembre 2022)</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Las principales exportaciones de China son: Equipo de transmisión ($223MM), Ordenadores ($156MM), Circuitos integrados ($120MM), Piezas de máquina de oficina ($86,8MM), y Artículos de tela ($60,7MM), exportando principalmente a EEUU ($438MM), Hong Kong ($262MM), Alemania ($112MM), y Corea del Sur ($110MM). (Fuente OEC - Nov. 2022)</w:t>
      </w:r>
    </w:p>
    <w:p w:rsidR="00737DC2" w:rsidRDefault="00737DC2" w:rsidP="00737DC2">
      <w:pPr>
        <w:pStyle w:val="Default"/>
        <w:spacing w:after="140"/>
        <w:jc w:val="both"/>
        <w:rPr>
          <w:rFonts w:ascii="Times New Roman" w:hAnsi="Times New Roman" w:cs="Times New Roman"/>
          <w:color w:val="FF0000"/>
        </w:rPr>
      </w:pPr>
      <w:r>
        <w:rPr>
          <w:rFonts w:ascii="Times New Roman" w:hAnsi="Times New Roman" w:cs="Times New Roman"/>
          <w:color w:val="FF0000"/>
        </w:rPr>
        <w:t>Las principales importaciones de China son: Petróleo crudo ($150MM), Circuitos integrados ($144MM), Mineral de hierro ($99MM), Automóviles ($42MM), y Soja ($37,4MM), importando principalmente desde Japón ($133MM), Corea del Sur ($131MM), Alemania ($106MM) y China Taipéi ($104MM). (Fuente OEC - Noviembre 2022)</w:t>
      </w:r>
    </w:p>
    <w:p w:rsidR="00737DC2" w:rsidRPr="00C36AE7" w:rsidRDefault="00737DC2" w:rsidP="00737DC2">
      <w:pPr>
        <w:pStyle w:val="Default"/>
        <w:spacing w:after="140"/>
        <w:jc w:val="both"/>
        <w:rPr>
          <w:rFonts w:ascii="Times New Roman" w:hAnsi="Times New Roman" w:cs="Times New Roman"/>
          <w:b/>
          <w:color w:val="auto"/>
        </w:rPr>
      </w:pPr>
      <w:r w:rsidRPr="00C36AE7">
        <w:rPr>
          <w:rFonts w:ascii="Times New Roman" w:hAnsi="Times New Roman" w:cs="Times New Roman"/>
          <w:b/>
          <w:color w:val="auto"/>
        </w:rPr>
        <w:t>Con estos pocos datos, accesibles, sencillos, evidentes, pregunto (a los “titiriteros” de WSJ): ¿quién ha sido el país “ganador”, en el falaz proceso de mundialización?</w:t>
      </w:r>
    </w:p>
    <w:p w:rsidR="00737DC2" w:rsidRPr="00C36AE7" w:rsidRDefault="00737DC2" w:rsidP="00737DC2">
      <w:pPr>
        <w:pStyle w:val="Default"/>
        <w:spacing w:after="140"/>
        <w:jc w:val="both"/>
        <w:rPr>
          <w:rFonts w:ascii="Times New Roman" w:hAnsi="Times New Roman" w:cs="Times New Roman"/>
          <w:b/>
          <w:color w:val="auto"/>
        </w:rPr>
      </w:pPr>
      <w:r w:rsidRPr="00C36AE7">
        <w:rPr>
          <w:rFonts w:ascii="Times New Roman" w:hAnsi="Times New Roman" w:cs="Times New Roman"/>
          <w:b/>
          <w:color w:val="auto"/>
        </w:rPr>
        <w:t>“Para este viaje no hacían falta tantas alforjas” (</w:t>
      </w:r>
      <w:r w:rsidRPr="00C36AE7">
        <w:rPr>
          <w:rFonts w:ascii="Times New Roman" w:hAnsi="Times New Roman" w:cs="Times New Roman"/>
          <w:b/>
          <w:color w:val="auto"/>
          <w:shd w:val="clear" w:color="auto" w:fill="FFFFFF"/>
        </w:rPr>
        <w:t>no merecía la pena el esfuerzo empleado </w:t>
      </w:r>
      <w:r w:rsidRPr="00C36AE7">
        <w:rPr>
          <w:rStyle w:val="nfasis"/>
          <w:rFonts w:ascii="Times New Roman" w:hAnsi="Times New Roman" w:cs="Times New Roman"/>
          <w:b/>
          <w:bCs/>
          <w:color w:val="auto"/>
          <w:shd w:val="clear" w:color="auto" w:fill="FFFFFF"/>
        </w:rPr>
        <w:t>para</w:t>
      </w:r>
      <w:r w:rsidRPr="00C36AE7">
        <w:rPr>
          <w:rFonts w:ascii="Times New Roman" w:hAnsi="Times New Roman" w:cs="Times New Roman"/>
          <w:b/>
          <w:color w:val="auto"/>
          <w:shd w:val="clear" w:color="auto" w:fill="FFFFFF"/>
        </w:rPr>
        <w:t> el resultado que se ha obtenido). Y todavía, falta medir el daño social…</w:t>
      </w:r>
    </w:p>
    <w:p w:rsidR="00737DC2" w:rsidRDefault="00737DC2" w:rsidP="00737DC2">
      <w:pPr>
        <w:spacing w:line="240" w:lineRule="auto"/>
        <w:jc w:val="both"/>
        <w:rPr>
          <w:rFonts w:ascii="Times New Roman" w:hAnsi="Times New Roman" w:cs="Times New Roman"/>
          <w:color w:val="FF0000"/>
          <w:sz w:val="24"/>
          <w:szCs w:val="24"/>
        </w:rPr>
      </w:pPr>
      <w:r w:rsidRPr="00A76EE0">
        <w:rPr>
          <w:rFonts w:ascii="Times New Roman" w:hAnsi="Times New Roman" w:cs="Times New Roman"/>
          <w:noProof/>
          <w:color w:val="FF0000"/>
          <w:sz w:val="24"/>
          <w:szCs w:val="24"/>
          <w:lang w:val="en-GB" w:eastAsia="zh-CN"/>
        </w:rPr>
        <w:drawing>
          <wp:inline distT="0" distB="0" distL="0" distR="0">
            <wp:extent cx="5727699" cy="4165600"/>
            <wp:effectExtent l="0" t="0" r="6985"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731510" cy="416837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F64543">
        <w:rPr>
          <w:rFonts w:ascii="Times New Roman" w:hAnsi="Times New Roman" w:cs="Times New Roman"/>
          <w:noProof/>
          <w:color w:val="FF0000"/>
          <w:sz w:val="24"/>
          <w:szCs w:val="24"/>
          <w:lang w:val="en-GB" w:eastAsia="zh-CN"/>
        </w:rPr>
        <w:lastRenderedPageBreak/>
        <w:drawing>
          <wp:inline distT="0" distB="0" distL="0" distR="0">
            <wp:extent cx="5727700" cy="4121150"/>
            <wp:effectExtent l="0" t="0" r="635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731510" cy="412389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F64543">
        <w:rPr>
          <w:rFonts w:ascii="Times New Roman" w:hAnsi="Times New Roman" w:cs="Times New Roman"/>
          <w:noProof/>
          <w:color w:val="FF0000"/>
          <w:sz w:val="24"/>
          <w:szCs w:val="24"/>
          <w:lang w:val="en-GB" w:eastAsia="zh-CN"/>
        </w:rPr>
        <w:drawing>
          <wp:inline distT="0" distB="0" distL="0" distR="0">
            <wp:extent cx="5726777" cy="3994150"/>
            <wp:effectExtent l="0" t="0" r="762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31510" cy="399745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F64543">
        <w:rPr>
          <w:rFonts w:ascii="Times New Roman" w:hAnsi="Times New Roman" w:cs="Times New Roman"/>
          <w:noProof/>
          <w:color w:val="FF0000"/>
          <w:sz w:val="24"/>
          <w:szCs w:val="24"/>
          <w:lang w:val="en-GB" w:eastAsia="zh-CN"/>
        </w:rPr>
        <w:lastRenderedPageBreak/>
        <w:drawing>
          <wp:inline distT="0" distB="0" distL="0" distR="0">
            <wp:extent cx="5731686" cy="4210050"/>
            <wp:effectExtent l="0" t="0" r="254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731510" cy="4209921"/>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0C56D4">
        <w:rPr>
          <w:rFonts w:ascii="Times New Roman" w:hAnsi="Times New Roman" w:cs="Times New Roman"/>
          <w:noProof/>
          <w:color w:val="FF0000"/>
          <w:sz w:val="24"/>
          <w:szCs w:val="24"/>
          <w:lang w:val="en-GB" w:eastAsia="zh-CN"/>
        </w:rPr>
        <w:drawing>
          <wp:inline distT="0" distB="0" distL="0" distR="0">
            <wp:extent cx="5727700" cy="4260850"/>
            <wp:effectExtent l="0" t="0" r="6350"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31510" cy="4263684"/>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1248D5">
        <w:rPr>
          <w:rFonts w:ascii="Times New Roman" w:hAnsi="Times New Roman" w:cs="Times New Roman"/>
          <w:noProof/>
          <w:color w:val="FF0000"/>
          <w:sz w:val="24"/>
          <w:szCs w:val="24"/>
          <w:lang w:val="en-GB" w:eastAsia="zh-CN"/>
        </w:rPr>
        <w:lastRenderedPageBreak/>
        <w:drawing>
          <wp:inline distT="0" distB="0" distL="0" distR="0">
            <wp:extent cx="5731510" cy="3199481"/>
            <wp:effectExtent l="0" t="0" r="2540" b="127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31510" cy="3199481"/>
                    </a:xfrm>
                    <a:prstGeom prst="rect">
                      <a:avLst/>
                    </a:prstGeom>
                  </pic:spPr>
                </pic:pic>
              </a:graphicData>
            </a:graphic>
          </wp:inline>
        </w:drawing>
      </w:r>
    </w:p>
    <w:p w:rsidR="00737DC2" w:rsidRPr="00557200"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(Fuente; Datosmacro.com</w:t>
      </w:r>
      <w:r w:rsidRPr="00557200">
        <w:rPr>
          <w:rFonts w:ascii="Times New Roman" w:hAnsi="Times New Roman" w:cs="Times New Roman"/>
          <w:sz w:val="24"/>
          <w:szCs w:val="24"/>
        </w:rPr>
        <w:t xml:space="preserve"> - Expansión - último dato disponible a </w:t>
      </w:r>
      <w:r w:rsidRPr="00557200">
        <w:rPr>
          <w:rFonts w:ascii="Times New Roman" w:hAnsi="Times New Roman" w:cs="Times New Roman"/>
          <w:b/>
          <w:sz w:val="24"/>
          <w:szCs w:val="24"/>
        </w:rPr>
        <w:t>noviembre 2022</w:t>
      </w:r>
      <w:r w:rsidRPr="00557200">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color w:val="FF0000"/>
          <w:sz w:val="24"/>
          <w:szCs w:val="24"/>
        </w:rPr>
      </w:pPr>
      <w:r w:rsidRPr="003326CC">
        <w:rPr>
          <w:rFonts w:ascii="Times New Roman" w:hAnsi="Times New Roman" w:cs="Times New Roman"/>
          <w:noProof/>
          <w:color w:val="FF0000"/>
          <w:sz w:val="24"/>
          <w:szCs w:val="24"/>
          <w:lang w:val="en-GB" w:eastAsia="zh-CN"/>
        </w:rPr>
        <w:drawing>
          <wp:inline distT="0" distB="0" distL="0" distR="0">
            <wp:extent cx="5727762" cy="5035550"/>
            <wp:effectExtent l="0" t="0" r="635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503884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color w:val="FF0000"/>
          <w:sz w:val="24"/>
          <w:szCs w:val="24"/>
        </w:rPr>
      </w:pPr>
      <w:r w:rsidRPr="003326CC">
        <w:rPr>
          <w:rFonts w:ascii="Times New Roman" w:hAnsi="Times New Roman" w:cs="Times New Roman"/>
          <w:noProof/>
          <w:color w:val="FF0000"/>
          <w:sz w:val="24"/>
          <w:szCs w:val="24"/>
          <w:lang w:val="en-GB" w:eastAsia="zh-CN"/>
        </w:rPr>
        <w:lastRenderedPageBreak/>
        <w:drawing>
          <wp:inline distT="0" distB="0" distL="0" distR="0">
            <wp:extent cx="5731510" cy="3614648"/>
            <wp:effectExtent l="0" t="0" r="2540" b="508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3614648"/>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A53A1">
        <w:rPr>
          <w:rFonts w:ascii="Times New Roman" w:hAnsi="Times New Roman" w:cs="Times New Roman"/>
          <w:noProof/>
          <w:sz w:val="24"/>
          <w:szCs w:val="24"/>
          <w:lang w:val="en-GB" w:eastAsia="zh-CN"/>
        </w:rPr>
        <w:drawing>
          <wp:inline distT="0" distB="0" distL="0" distR="0">
            <wp:extent cx="5727088" cy="2895600"/>
            <wp:effectExtent l="0" t="0" r="698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31510" cy="289783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0A1F2B">
        <w:rPr>
          <w:rFonts w:ascii="Times New Roman" w:hAnsi="Times New Roman" w:cs="Times New Roman"/>
          <w:noProof/>
          <w:sz w:val="24"/>
          <w:szCs w:val="24"/>
          <w:lang w:val="en-GB" w:eastAsia="zh-CN"/>
        </w:rPr>
        <w:drawing>
          <wp:inline distT="0" distB="0" distL="0" distR="0">
            <wp:extent cx="5731510" cy="2011540"/>
            <wp:effectExtent l="0" t="0" r="2540" b="825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31510" cy="201154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21A08">
        <w:rPr>
          <w:rFonts w:ascii="Times New Roman" w:hAnsi="Times New Roman" w:cs="Times New Roman"/>
          <w:noProof/>
          <w:sz w:val="24"/>
          <w:szCs w:val="24"/>
          <w:lang w:val="en-GB" w:eastAsia="zh-CN"/>
        </w:rPr>
        <w:lastRenderedPageBreak/>
        <w:drawing>
          <wp:inline distT="0" distB="0" distL="0" distR="0">
            <wp:extent cx="5727696" cy="2476500"/>
            <wp:effectExtent l="0" t="0" r="6985"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2478149"/>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(Fuente; Datosmacro - Expansión - últimos datos disponibles a noviembre 2022)</w:t>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A1F2B">
        <w:rPr>
          <w:rFonts w:ascii="Times New Roman" w:hAnsi="Times New Roman" w:cs="Times New Roman"/>
          <w:noProof/>
          <w:sz w:val="24"/>
          <w:szCs w:val="24"/>
          <w:lang w:val="en-GB" w:eastAsia="zh-CN"/>
        </w:rPr>
        <w:drawing>
          <wp:inline distT="0" distB="0" distL="0" distR="0">
            <wp:extent cx="5727700" cy="4686300"/>
            <wp:effectExtent l="0" t="0" r="635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31510" cy="468941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21A08">
        <w:rPr>
          <w:rFonts w:ascii="Times New Roman" w:hAnsi="Times New Roman" w:cs="Times New Roman"/>
          <w:noProof/>
          <w:sz w:val="24"/>
          <w:szCs w:val="24"/>
          <w:lang w:val="en-GB" w:eastAsia="zh-CN"/>
        </w:rPr>
        <w:lastRenderedPageBreak/>
        <w:drawing>
          <wp:inline distT="0" distB="0" distL="0" distR="0">
            <wp:extent cx="5732302" cy="3765550"/>
            <wp:effectExtent l="0" t="0" r="1905" b="635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376503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5C6DC8">
        <w:rPr>
          <w:rFonts w:ascii="Times New Roman" w:hAnsi="Times New Roman" w:cs="Times New Roman"/>
          <w:sz w:val="24"/>
          <w:szCs w:val="24"/>
        </w:rPr>
        <w:t>De los cuad</w:t>
      </w:r>
      <w:r>
        <w:rPr>
          <w:rFonts w:ascii="Times New Roman" w:hAnsi="Times New Roman" w:cs="Times New Roman"/>
          <w:sz w:val="24"/>
          <w:szCs w:val="24"/>
        </w:rPr>
        <w:t>ros presentados anteriormente</w:t>
      </w:r>
      <w:r w:rsidRPr="005C6DC8">
        <w:rPr>
          <w:rFonts w:ascii="Times New Roman" w:hAnsi="Times New Roman" w:cs="Times New Roman"/>
          <w:sz w:val="24"/>
          <w:szCs w:val="24"/>
        </w:rPr>
        <w:t>, se puede señalar (destacar):</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Participación en el Ingreso del 10% mejor remunerado de la población en el período 1990 - 2020, creció en EEUU, Alemania, Francia e Italia; decreciendo en Reino Unido, España, y China. </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Participación en el Ingreso del 10% peor remunerado de la población en el período 1990 - 2020, se mantuvo en EEUU, bajó en Alemania, Francia, Italia, y España; creciendo en Reino Unido y China. </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El Desempleo total (% de la población activa) en el período 1990 - 2020, creció a nivel mundial, y en China; decreció (levemente) en EEUU, y la Unión Europea.</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El Índice Gini en el período 1990 - 2020 aumentó en EEUU, Alemania, Francia, Italia, y España; disminuyó en Reino Unido y China. Nota: cuando el Índice Gini aumenta empeora la igualdad de los ingresos, cuando el índice Gini disminuye mejora la igualdad de los ingresos.</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(El índice de Gini representa la desigualdad máxima con un 1, en cuyo caso uno solo de los habitantes recibiría el total de los ingresos por salarios. El 0 sin embargo, significa la igualdad total de los ingresos salariales de todos los habitantes)</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Desempleo en los EEUU, casi no se ha modificado si se compara el índice del año 1995 y con el índice del año 2022 (algo menos del 5%). Nota: interpretación de gráfico. </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Desempleo en la Unión Europea, ha pasado de  algo menos del 7,5%, a algo menos del 6,5%, si se compara el índice del año 2008 y con el índice del año 2022. Nota: interpretación de gráfico. </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Desempleo en China, ha pasado de  algo menos del 4,5%, al 5%, si se compara el índice del año 2004 y con el índice del año 2022. Nota: interpretación de gráfico.</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lastRenderedPageBreak/>
        <w:t>La Tasa de Pobreza en los EEUU, en el período 1990 - 2021, pasó del 13,5% al 11,5%. Nota: interpretación de gráfico.</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Pobreza en la Unión Europea (E-27), en el período 2015 - 2021, pasó del 24,0% al 21,7%. </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Pobreza en China, en el período 2000 - 2020, pasó del 49,8% al 0,0%. </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Incidencia de la P</w:t>
      </w:r>
      <w:r>
        <w:rPr>
          <w:rFonts w:ascii="Times New Roman" w:hAnsi="Times New Roman" w:cs="Times New Roman"/>
          <w:color w:val="FF0000"/>
          <w:sz w:val="24"/>
          <w:szCs w:val="24"/>
        </w:rPr>
        <w:t xml:space="preserve">obreza (sobre la base de 1,90 </w:t>
      </w:r>
      <w:r w:rsidRPr="00766BF8">
        <w:rPr>
          <w:rFonts w:ascii="Times New Roman" w:hAnsi="Times New Roman" w:cs="Times New Roman"/>
          <w:color w:val="FF0000"/>
          <w:sz w:val="24"/>
          <w:szCs w:val="24"/>
        </w:rPr>
        <w:t>US$ por día - 2011 PPA), en porcentaje de la población, en el período 1990 - 2021, creció en EEUU, Italia y Reino Unido, se mantuvo en Alemania, Francia, y España.</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Incidencia de la Pobreza, sobre la base de la línea de pobreza nacional (% de la población), en el período 2000 - 2020, en China pasó del 50% al 0%.</w:t>
      </w:r>
    </w:p>
    <w:p w:rsidR="00737DC2" w:rsidRPr="00766BF8" w:rsidRDefault="00737DC2" w:rsidP="00737DC2">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¿Arruinar a la clase media de los países avanzados, para crear una clase media en los países emergentes? ¿Reducir el empleo en los países desarrollados, para generar empleo en los países en desarrollo? ¿Aumentar la pobreza en los países ricos, para reducir la pobreza en los países emergentes? ¿No es eso: “desvestir a un Santo (propio), para vestir a otro (ajeno)”? ¿O una receta para forzar a los ciudadanos (trabajadores, jóvenes, familias) de los países ricos, a entrar caminando hacia atrás en el futuro? </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¿Cuál es la lógica económica, más allá de la codicia, avaricia, y arrogancia, de las empresas multinacionales, y de la miopía, colaboración necesaria, y corrupción, de los gobiernos de los países avanzados (ahora, en vías de subdesarrollo)?</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Por supuesto, que la globalización ha sido un invento fallido, lo saben muchos analistas económicos, gurús mediáticos, y vacas sagradas de la Ivy League… Pero asumirlo implica despojarse de trampas retóricas, ensoñaciones, productos anestésicos, y obliga a hacerse cargo del drama, cada uno desde su lugar.</w:t>
      </w:r>
    </w:p>
    <w:p w:rsidR="00737DC2" w:rsidRPr="002701C9" w:rsidRDefault="00737DC2" w:rsidP="00737DC2">
      <w:pPr>
        <w:spacing w:line="240" w:lineRule="auto"/>
        <w:jc w:val="both"/>
        <w:rPr>
          <w:rFonts w:ascii="Times New Roman" w:hAnsi="Times New Roman" w:cs="Times New Roman"/>
          <w:b/>
          <w:sz w:val="24"/>
          <w:szCs w:val="24"/>
        </w:rPr>
      </w:pPr>
      <w:r w:rsidRPr="002701C9">
        <w:rPr>
          <w:rFonts w:ascii="Times New Roman" w:hAnsi="Times New Roman" w:cs="Times New Roman"/>
          <w:b/>
          <w:sz w:val="24"/>
          <w:szCs w:val="24"/>
        </w:rPr>
        <w:t>¿Podrán los “grandes bonetes” seguir negando las evidencias? ¿Hasta cuándo el “establishment” podrá continuar ejercitando su ceguera voluntaria? ¿Habrá llegado el momento para que se impongan las reflexiones ineludibles?</w:t>
      </w:r>
    </w:p>
    <w:p w:rsidR="00737DC2" w:rsidRPr="002701C9" w:rsidRDefault="00737DC2" w:rsidP="00737DC2">
      <w:pPr>
        <w:spacing w:line="240" w:lineRule="auto"/>
        <w:jc w:val="both"/>
        <w:rPr>
          <w:rFonts w:ascii="Times New Roman" w:hAnsi="Times New Roman" w:cs="Times New Roman"/>
          <w:b/>
          <w:sz w:val="24"/>
          <w:szCs w:val="24"/>
        </w:rPr>
      </w:pPr>
      <w:r w:rsidRPr="002701C9">
        <w:rPr>
          <w:rFonts w:ascii="Times New Roman" w:hAnsi="Times New Roman" w:cs="Times New Roman"/>
          <w:b/>
          <w:sz w:val="24"/>
          <w:szCs w:val="24"/>
        </w:rPr>
        <w:t>Entre trampas y falacias, afloró la mentira de la “tierra plana” (Friedman), por no ironizar sobre el “fin de la historia” (Fukuyama). Al fin, desde mi humilde “speaker</w:t>
      </w:r>
      <w:r>
        <w:rPr>
          <w:rFonts w:ascii="Times New Roman" w:hAnsi="Times New Roman" w:cs="Times New Roman"/>
          <w:b/>
          <w:sz w:val="24"/>
          <w:szCs w:val="24"/>
        </w:rPr>
        <w:t>s’</w:t>
      </w:r>
      <w:r w:rsidRPr="002701C9">
        <w:rPr>
          <w:rFonts w:ascii="Times New Roman" w:hAnsi="Times New Roman" w:cs="Times New Roman"/>
          <w:b/>
          <w:sz w:val="24"/>
          <w:szCs w:val="24"/>
        </w:rPr>
        <w:t xml:space="preserve"> corner” y con la poca voz</w:t>
      </w:r>
      <w:r>
        <w:rPr>
          <w:rFonts w:ascii="Times New Roman" w:hAnsi="Times New Roman" w:cs="Times New Roman"/>
          <w:b/>
          <w:sz w:val="24"/>
          <w:szCs w:val="24"/>
        </w:rPr>
        <w:t xml:space="preserve"> que tengo, después de casi 25</w:t>
      </w:r>
      <w:r w:rsidRPr="002701C9">
        <w:rPr>
          <w:rFonts w:ascii="Times New Roman" w:hAnsi="Times New Roman" w:cs="Times New Roman"/>
          <w:b/>
          <w:sz w:val="24"/>
          <w:szCs w:val="24"/>
        </w:rPr>
        <w:t xml:space="preserve"> años de publicar y debatir sobre globalización económica, les dejo mi balance: deuda, déficit, despilfarro y depresión. Puro pasivo: recesión, desempleo, desigualdad y pobreza.</w:t>
      </w:r>
    </w:p>
    <w:p w:rsidR="00737DC2"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 xml:space="preserve">Toca decidir a estos “ínclitos personajes” (algunos Nobelados, y muchos noveleros) si emplean el tiempo disponible (antes del estallido social) en “ayudar” desde sus púlpitos, a controlar los daños o en exacerbarlos. </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Si los unos (Nobelados) y los otros (noveleros) siguen cerrando los ojos a esa realidad, lo pagarán muy caro. No me preocupa el destino de estos “ínclitos personajes”, que serán bienvenidos en el infierno. Me preocupa la sociedad, la democracia y la economía (en ese orden).</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A la intención política le debe seguir la lógica económica. Y no está nada claro que el consumidor esté dispuesto a pagar más por “salir” de China, ni que las compañías vayan a renunciar a la combinación de ventajas que sigue ofreciendo el país.</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lastRenderedPageBreak/>
        <w:t>Sobre los consumidores (codiciosos) que quieren seguir optando por productos baratos, se les termina el tiempo feliz (de empujar el carrito de la compra) en cuanto se quedan sin empleo.</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Sobre los empresario</w:t>
      </w:r>
      <w:r>
        <w:rPr>
          <w:rFonts w:ascii="Times New Roman" w:hAnsi="Times New Roman" w:cs="Times New Roman"/>
          <w:b/>
          <w:sz w:val="24"/>
          <w:szCs w:val="24"/>
          <w:shd w:val="clear" w:color="auto" w:fill="FFFFFF"/>
        </w:rPr>
        <w:t xml:space="preserve">s (avaros), creo que el único modo </w:t>
      </w:r>
      <w:r w:rsidRPr="002701C9">
        <w:rPr>
          <w:rFonts w:ascii="Times New Roman" w:hAnsi="Times New Roman" w:cs="Times New Roman"/>
          <w:b/>
          <w:sz w:val="24"/>
          <w:szCs w:val="24"/>
          <w:shd w:val="clear" w:color="auto" w:fill="FFFFFF"/>
        </w:rPr>
        <w:t xml:space="preserve">que les duela el bolsillo (y cambien </w:t>
      </w:r>
      <w:r>
        <w:rPr>
          <w:rFonts w:ascii="Times New Roman" w:hAnsi="Times New Roman" w:cs="Times New Roman"/>
          <w:b/>
          <w:sz w:val="24"/>
          <w:szCs w:val="24"/>
          <w:shd w:val="clear" w:color="auto" w:fill="FFFFFF"/>
        </w:rPr>
        <w:t>de actitud), es con alguna forma</w:t>
      </w:r>
      <w:r w:rsidRPr="002701C9">
        <w:rPr>
          <w:rFonts w:ascii="Times New Roman" w:hAnsi="Times New Roman" w:cs="Times New Roman"/>
          <w:b/>
          <w:sz w:val="24"/>
          <w:szCs w:val="24"/>
          <w:shd w:val="clear" w:color="auto" w:fill="FFFFFF"/>
        </w:rPr>
        <w:t xml:space="preserve"> de boicot por parte de los consumidores a los productos q</w:t>
      </w:r>
      <w:r>
        <w:rPr>
          <w:rFonts w:ascii="Times New Roman" w:hAnsi="Times New Roman" w:cs="Times New Roman"/>
          <w:b/>
          <w:sz w:val="24"/>
          <w:szCs w:val="24"/>
          <w:shd w:val="clear" w:color="auto" w:fill="FFFFFF"/>
        </w:rPr>
        <w:t>ue no sean de industria nacional. ¿Cómo se apañaría</w:t>
      </w:r>
      <w:r w:rsidRPr="002701C9">
        <w:rPr>
          <w:rFonts w:ascii="Times New Roman" w:hAnsi="Times New Roman" w:cs="Times New Roman"/>
          <w:b/>
          <w:sz w:val="24"/>
          <w:szCs w:val="24"/>
          <w:shd w:val="clear" w:color="auto" w:fill="FFFFFF"/>
        </w:rPr>
        <w:t xml:space="preserve"> Apple,</w:t>
      </w:r>
      <w:r>
        <w:rPr>
          <w:rFonts w:ascii="Times New Roman" w:hAnsi="Times New Roman" w:cs="Times New Roman"/>
          <w:b/>
          <w:sz w:val="24"/>
          <w:szCs w:val="24"/>
          <w:shd w:val="clear" w:color="auto" w:fill="FFFFFF"/>
        </w:rPr>
        <w:t xml:space="preserve"> para seguir vendiendo sus iPhone? ¿Qué chollos ofrecería Amazon? ¿Habría más “Black Fridays”</w:t>
      </w:r>
      <w:r w:rsidRPr="002701C9">
        <w:rPr>
          <w:rFonts w:ascii="Times New Roman" w:hAnsi="Times New Roman" w:cs="Times New Roman"/>
          <w:b/>
          <w:sz w:val="24"/>
          <w:szCs w:val="24"/>
          <w:shd w:val="clear" w:color="auto" w:fill="FFFFFF"/>
        </w:rPr>
        <w:t>?</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 xml:space="preserve">Algunos expertos creen que lo que podemos esperar es una “glocalización” (Rifkin), en la que veremos más inversión industrial en ciertos sectores estratégicos acompañado de una mayor diversificación de las cadenas de suministro hacia centros de producción más cercanos y confiables. Unir el mundo de una manera glocal, distribuida, con redes abiertas. Veremos. </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Nadie pareció prever el efecto devastador que la globalización tendría entre los trabajadores fabriles occidentales, que desde los años sesenta habían conseguido auparse a la clase media y, en muchos casos, se cayeron de ella a partir de la década de</w:t>
      </w:r>
      <w:r>
        <w:rPr>
          <w:rFonts w:ascii="Times New Roman" w:hAnsi="Times New Roman" w:cs="Times New Roman"/>
          <w:b/>
          <w:sz w:val="24"/>
          <w:szCs w:val="24"/>
          <w:shd w:val="clear" w:color="auto" w:fill="FFFFFF"/>
        </w:rPr>
        <w:t>l</w:t>
      </w:r>
      <w:r w:rsidRPr="002701C9">
        <w:rPr>
          <w:rFonts w:ascii="Times New Roman" w:hAnsi="Times New Roman" w:cs="Times New Roman"/>
          <w:b/>
          <w:sz w:val="24"/>
          <w:szCs w:val="24"/>
          <w:shd w:val="clear" w:color="auto" w:fill="FFFFFF"/>
        </w:rPr>
        <w:t xml:space="preserve"> dos mil y, de manera más acusada, tras la crisis financiera de 2008. Se pensó que ese problema podía solventarse con otra idea de pensamiento ilusorio: se reasignaría la mano de obra que hubiera perdido su trabajo hacia sectores con un valor añadido cada vez mayor, como si los mercados laborales fueran infinitamente flexibles. </w:t>
      </w:r>
    </w:p>
    <w:p w:rsidR="00737DC2" w:rsidRPr="002701C9"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Hoy, las consecuencias de ese fracaso son, en cierto sentido, el centro de la política en los países ricos: ¿qué hacemos para restaurar la dignidad y la prosperidad heridas de millones de trabajadores a los que el mercado parece decirles que son superfluos? Una parte del electorado ha decidido que el nacionalismo y el mercantilismo pue</w:t>
      </w:r>
      <w:r>
        <w:rPr>
          <w:rFonts w:ascii="Times New Roman" w:hAnsi="Times New Roman" w:cs="Times New Roman"/>
          <w:b/>
          <w:sz w:val="24"/>
          <w:szCs w:val="24"/>
          <w:shd w:val="clear" w:color="auto" w:fill="FFFFFF"/>
        </w:rPr>
        <w:t>den ser la solución. Pero algunas propuestas apresuradas pueden conducir</w:t>
      </w:r>
      <w:r w:rsidRPr="002701C9">
        <w:rPr>
          <w:rFonts w:ascii="Times New Roman" w:hAnsi="Times New Roman" w:cs="Times New Roman"/>
          <w:b/>
          <w:sz w:val="24"/>
          <w:szCs w:val="24"/>
          <w:shd w:val="clear" w:color="auto" w:fill="FFFFFF"/>
        </w:rPr>
        <w:t xml:space="preserve"> a un desastre mayor.</w:t>
      </w:r>
    </w:p>
    <w:p w:rsidR="00737DC2" w:rsidRDefault="00737DC2" w:rsidP="00737DC2">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Hoy no dejamos de oír que lo que necesitamos son “cadenas logísticas” más cortas: que el lugar donde se diseña un teléfono, sus materias primas y su proceso de ensamblaje deberían estar mucho más cerca de lo que lo están en la actualidad.</w:t>
      </w:r>
    </w:p>
    <w:p w:rsidR="00737DC2" w:rsidRPr="00092D6C" w:rsidRDefault="00737DC2" w:rsidP="00737DC2">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El fin del silencio de los corderos con GPS</w:t>
      </w:r>
    </w:p>
    <w:p w:rsidR="00737DC2" w:rsidRPr="00092D6C" w:rsidRDefault="00737DC2" w:rsidP="00737DC2">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Cuando abundan las colas de hambre, la angustia de los impagos y la incertidumbre en los empleos, algún “alquimista” (de los tantos que abundan por Washington SA, o por Davos</w:t>
      </w:r>
      <w:r>
        <w:rPr>
          <w:rFonts w:ascii="Times New Roman" w:hAnsi="Times New Roman" w:cs="Times New Roman"/>
          <w:b/>
          <w:sz w:val="24"/>
          <w:szCs w:val="24"/>
          <w:shd w:val="clear" w:color="auto" w:fill="FFFFFF"/>
        </w:rPr>
        <w:t>&amp; Co.</w:t>
      </w:r>
      <w:r w:rsidRPr="00092D6C">
        <w:rPr>
          <w:rFonts w:ascii="Times New Roman" w:hAnsi="Times New Roman" w:cs="Times New Roman"/>
          <w:b/>
          <w:sz w:val="24"/>
          <w:szCs w:val="24"/>
          <w:shd w:val="clear" w:color="auto" w:fill="FFFFFF"/>
        </w:rPr>
        <w:t>) se cree, aún, que puede convencer a las “ovejas” con GPS (la “manada”, según los algorítmicos de Wall Street) que viven mejor</w:t>
      </w:r>
      <w:r>
        <w:rPr>
          <w:rFonts w:ascii="Times New Roman" w:hAnsi="Times New Roman" w:cs="Times New Roman"/>
          <w:b/>
          <w:sz w:val="24"/>
          <w:szCs w:val="24"/>
          <w:shd w:val="clear" w:color="auto" w:fill="FFFFFF"/>
        </w:rPr>
        <w:t xml:space="preserve"> con la globalización (que primero</w:t>
      </w:r>
      <w:r w:rsidRPr="00092D6C">
        <w:rPr>
          <w:rFonts w:ascii="Times New Roman" w:hAnsi="Times New Roman" w:cs="Times New Roman"/>
          <w:b/>
          <w:sz w:val="24"/>
          <w:szCs w:val="24"/>
          <w:shd w:val="clear" w:color="auto" w:fill="FFFFFF"/>
        </w:rPr>
        <w:t xml:space="preserve">, trajo la </w:t>
      </w:r>
      <w:r>
        <w:rPr>
          <w:rFonts w:ascii="Times New Roman" w:hAnsi="Times New Roman" w:cs="Times New Roman"/>
          <w:b/>
          <w:sz w:val="24"/>
          <w:szCs w:val="24"/>
          <w:shd w:val="clear" w:color="auto" w:fill="FFFFFF"/>
        </w:rPr>
        <w:t>crisis financiera -2008- y luego</w:t>
      </w:r>
      <w:r w:rsidRPr="00092D6C">
        <w:rPr>
          <w:rFonts w:ascii="Times New Roman" w:hAnsi="Times New Roman" w:cs="Times New Roman"/>
          <w:b/>
          <w:sz w:val="24"/>
          <w:szCs w:val="24"/>
          <w:shd w:val="clear" w:color="auto" w:fill="FFFFFF"/>
        </w:rPr>
        <w:t xml:space="preserve">, trajo la crisis sanitaria -2020-), con el librecambio y con la financierización. ¿Que la globalización es un “paradigma” que favorece los ciudadanos?… ¡No jodamos! </w:t>
      </w:r>
    </w:p>
    <w:p w:rsidR="00737DC2" w:rsidRPr="00092D6C" w:rsidRDefault="00737DC2" w:rsidP="00737DC2">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 xml:space="preserve">Como dijo Lincoln: “Puedes engañar a todo el mundo algún tiempo. Puedes engañar a algunos todo el tiempo. Pero no puedes engañar a todo el mundo todo el tiempo”. </w:t>
      </w:r>
    </w:p>
    <w:p w:rsidR="00737DC2" w:rsidRDefault="00737DC2" w:rsidP="00737DC2">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Cuando el presente precario se impone, cualquier promesa de futuro, se convierte en una caricatura. Y las propuestas de librecambio, se transforman en una ideología de anticuario.</w:t>
      </w:r>
    </w:p>
    <w:p w:rsidR="00737DC2" w:rsidRDefault="00737DC2" w:rsidP="00737DC2">
      <w:pPr>
        <w:spacing w:line="240" w:lineRule="auto"/>
        <w:jc w:val="both"/>
        <w:rPr>
          <w:rFonts w:ascii="Times New Roman" w:hAnsi="Times New Roman" w:cs="Times New Roman"/>
          <w:b/>
          <w:sz w:val="24"/>
          <w:szCs w:val="24"/>
          <w:shd w:val="clear" w:color="auto" w:fill="FFFFFF"/>
        </w:rPr>
      </w:pPr>
    </w:p>
    <w:p w:rsidR="00737DC2" w:rsidRDefault="00737DC2" w:rsidP="00737DC2">
      <w:pPr>
        <w:spacing w:line="240" w:lineRule="auto"/>
        <w:jc w:val="both"/>
        <w:rPr>
          <w:rFonts w:ascii="Times New Roman" w:hAnsi="Times New Roman" w:cs="Times New Roman"/>
          <w:b/>
          <w:sz w:val="24"/>
          <w:szCs w:val="24"/>
          <w:shd w:val="clear" w:color="auto" w:fill="FFFFFF"/>
        </w:rPr>
      </w:pPr>
    </w:p>
    <w:p w:rsidR="00737DC2" w:rsidRPr="009E044E" w:rsidRDefault="00737DC2" w:rsidP="00737DC2">
      <w:pPr>
        <w:spacing w:line="240" w:lineRule="auto"/>
        <w:jc w:val="both"/>
        <w:rPr>
          <w:rFonts w:ascii="Times New Roman" w:hAnsi="Times New Roman" w:cs="Times New Roman"/>
          <w:sz w:val="24"/>
          <w:szCs w:val="24"/>
        </w:rPr>
      </w:pPr>
      <w:r w:rsidRPr="009E044E">
        <w:rPr>
          <w:rFonts w:ascii="Times New Roman" w:hAnsi="Times New Roman" w:cs="Times New Roman"/>
          <w:sz w:val="24"/>
          <w:szCs w:val="24"/>
        </w:rPr>
        <w:lastRenderedPageBreak/>
        <w:t xml:space="preserve">Ratio de inflación mundial (1990-2022) </w:t>
      </w:r>
    </w:p>
    <w:p w:rsidR="00737DC2" w:rsidRPr="003600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se amplía la serie hasta 2022, se puede comprobar que las risas se tornan lágrimas, y estalla en los países avanzados una inflación que nadie sabe cómo detener, ni cuánto puede durar. La gran expansión monetaria desde 2008 en adelante ha terminado en la gran inflación. </w:t>
      </w:r>
      <w:r w:rsidRPr="00092D6C">
        <w:rPr>
          <w:rFonts w:ascii="Times New Roman" w:hAnsi="Times New Roman" w:cs="Times New Roman"/>
          <w:sz w:val="24"/>
          <w:szCs w:val="24"/>
          <w:lang w:val="en-US"/>
        </w:rPr>
        <w:t>Los generosos “quatitative easing” (</w:t>
      </w:r>
      <w:r>
        <w:rPr>
          <w:rFonts w:ascii="Times New Roman" w:hAnsi="Times New Roman" w:cs="Times New Roman"/>
          <w:sz w:val="24"/>
          <w:szCs w:val="24"/>
          <w:lang w:val="en-US"/>
        </w:rPr>
        <w:t xml:space="preserve">Bernanke - </w:t>
      </w:r>
      <w:r w:rsidRPr="00092D6C">
        <w:rPr>
          <w:rFonts w:ascii="Times New Roman" w:hAnsi="Times New Roman" w:cs="Times New Roman"/>
          <w:sz w:val="24"/>
          <w:szCs w:val="24"/>
          <w:lang w:val="en-US"/>
        </w:rPr>
        <w:t xml:space="preserve">Fed), y el </w:t>
      </w:r>
      <w:r>
        <w:rPr>
          <w:rFonts w:ascii="Times New Roman" w:hAnsi="Times New Roman" w:cs="Times New Roman"/>
          <w:sz w:val="24"/>
          <w:szCs w:val="24"/>
          <w:lang w:val="en-US"/>
        </w:rPr>
        <w:t>“</w:t>
      </w:r>
      <w:r w:rsidRPr="00092D6C">
        <w:rPr>
          <w:rFonts w:ascii="Times New Roman" w:hAnsi="Times New Roman" w:cs="Times New Roman"/>
          <w:sz w:val="24"/>
          <w:szCs w:val="24"/>
          <w:lang w:val="en-US"/>
        </w:rPr>
        <w:t xml:space="preserve">ready to do whatever it takes to preserve the euro. </w:t>
      </w:r>
      <w:r w:rsidRPr="00092D6C">
        <w:rPr>
          <w:rFonts w:ascii="Times New Roman" w:hAnsi="Times New Roman" w:cs="Times New Roman"/>
          <w:sz w:val="24"/>
          <w:szCs w:val="24"/>
        </w:rPr>
        <w:t xml:space="preserve">And believe me, it will be enough” (Draghi - BCE), </w:t>
      </w:r>
      <w:r>
        <w:rPr>
          <w:rFonts w:ascii="Times New Roman" w:hAnsi="Times New Roman" w:cs="Times New Roman"/>
          <w:sz w:val="24"/>
          <w:szCs w:val="24"/>
        </w:rPr>
        <w:t xml:space="preserve">y </w:t>
      </w:r>
      <w:r w:rsidRPr="00092D6C">
        <w:rPr>
          <w:rFonts w:ascii="Times New Roman" w:hAnsi="Times New Roman" w:cs="Times New Roman"/>
          <w:sz w:val="24"/>
          <w:szCs w:val="24"/>
        </w:rPr>
        <w:t>su</w:t>
      </w:r>
      <w:r>
        <w:rPr>
          <w:rFonts w:ascii="Times New Roman" w:hAnsi="Times New Roman" w:cs="Times New Roman"/>
          <w:sz w:val="24"/>
          <w:szCs w:val="24"/>
        </w:rPr>
        <w:t>s</w:t>
      </w:r>
      <w:r w:rsidRPr="00092D6C">
        <w:rPr>
          <w:rFonts w:ascii="Times New Roman" w:hAnsi="Times New Roman" w:cs="Times New Roman"/>
          <w:sz w:val="24"/>
          <w:szCs w:val="24"/>
        </w:rPr>
        <w:t xml:space="preserve"> política</w:t>
      </w:r>
      <w:r>
        <w:rPr>
          <w:rFonts w:ascii="Times New Roman" w:hAnsi="Times New Roman" w:cs="Times New Roman"/>
          <w:sz w:val="24"/>
          <w:szCs w:val="24"/>
        </w:rPr>
        <w:t>s de “dinero fácil”</w:t>
      </w:r>
      <w:r w:rsidRPr="00092D6C">
        <w:rPr>
          <w:rFonts w:ascii="Times New Roman" w:hAnsi="Times New Roman" w:cs="Times New Roman"/>
          <w:sz w:val="24"/>
          <w:szCs w:val="24"/>
        </w:rPr>
        <w:t xml:space="preserve"> y </w:t>
      </w:r>
      <w:r>
        <w:rPr>
          <w:rFonts w:ascii="Times New Roman" w:hAnsi="Times New Roman" w:cs="Times New Roman"/>
          <w:sz w:val="24"/>
          <w:szCs w:val="24"/>
        </w:rPr>
        <w:t>“</w:t>
      </w:r>
      <w:r w:rsidRPr="00092D6C">
        <w:rPr>
          <w:rFonts w:ascii="Times New Roman" w:hAnsi="Times New Roman" w:cs="Times New Roman"/>
          <w:sz w:val="24"/>
          <w:szCs w:val="24"/>
        </w:rPr>
        <w:t>tipos bajos</w:t>
      </w:r>
      <w:r>
        <w:rPr>
          <w:rFonts w:ascii="Times New Roman" w:hAnsi="Times New Roman" w:cs="Times New Roman"/>
          <w:sz w:val="24"/>
          <w:szCs w:val="24"/>
        </w:rPr>
        <w:t xml:space="preserve">”… terminó en un tsunami inflacionario no visto en los últimos 40 años en EEUU y que </w:t>
      </w:r>
      <w:r w:rsidRPr="003600C2">
        <w:rPr>
          <w:rFonts w:ascii="Times New Roman" w:hAnsi="Times New Roman" w:cs="Times New Roman"/>
          <w:sz w:val="24"/>
          <w:szCs w:val="24"/>
        </w:rPr>
        <w:t>supuso un récord en la historia del área de la moneda única</w:t>
      </w:r>
      <w:r>
        <w:rPr>
          <w:rFonts w:ascii="Times New Roman" w:hAnsi="Times New Roman" w:cs="Times New Roman"/>
          <w:sz w:val="24"/>
          <w:szCs w:val="24"/>
        </w:rPr>
        <w:t xml:space="preserve"> (UE)</w:t>
      </w:r>
      <w:r w:rsidRPr="003600C2">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0C56D4">
        <w:rPr>
          <w:rFonts w:ascii="Times New Roman" w:hAnsi="Times New Roman" w:cs="Times New Roman"/>
          <w:noProof/>
          <w:sz w:val="24"/>
          <w:szCs w:val="24"/>
          <w:lang w:val="en-GB" w:eastAsia="zh-CN"/>
        </w:rPr>
        <w:drawing>
          <wp:inline distT="0" distB="0" distL="0" distR="0">
            <wp:extent cx="5727530" cy="3276600"/>
            <wp:effectExtent l="0" t="0" r="698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3278877"/>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0C56D4">
        <w:rPr>
          <w:rFonts w:ascii="Times New Roman" w:hAnsi="Times New Roman" w:cs="Times New Roman"/>
          <w:noProof/>
          <w:sz w:val="24"/>
          <w:szCs w:val="24"/>
          <w:lang w:val="en-GB" w:eastAsia="zh-CN"/>
        </w:rPr>
        <w:drawing>
          <wp:inline distT="0" distB="0" distL="0" distR="0">
            <wp:extent cx="5733613" cy="3467100"/>
            <wp:effectExtent l="0" t="0" r="63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3465829"/>
                    </a:xfrm>
                    <a:prstGeom prst="rect">
                      <a:avLst/>
                    </a:prstGeom>
                  </pic:spPr>
                </pic:pic>
              </a:graphicData>
            </a:graphic>
          </wp:inline>
        </w:drawing>
      </w:r>
    </w:p>
    <w:p w:rsidR="00737DC2" w:rsidRDefault="00737DC2" w:rsidP="00737DC2">
      <w:r w:rsidRPr="007A53A1">
        <w:rPr>
          <w:rFonts w:ascii="Times New Roman" w:hAnsi="Times New Roman" w:cs="Times New Roman"/>
          <w:noProof/>
          <w:color w:val="FF0000"/>
          <w:sz w:val="24"/>
          <w:szCs w:val="24"/>
          <w:lang w:val="en-GB" w:eastAsia="zh-CN"/>
        </w:rPr>
        <w:lastRenderedPageBreak/>
        <w:drawing>
          <wp:inline distT="0" distB="0" distL="0" distR="0">
            <wp:extent cx="5731510" cy="4227195"/>
            <wp:effectExtent l="0" t="0" r="2540" b="1905"/>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4227195"/>
                    </a:xfrm>
                    <a:prstGeom prst="rect">
                      <a:avLst/>
                    </a:prstGeom>
                  </pic:spPr>
                </pic:pic>
              </a:graphicData>
            </a:graphic>
          </wp:inline>
        </w:drawing>
      </w:r>
    </w:p>
    <w:p w:rsidR="00737DC2" w:rsidRDefault="00737DC2" w:rsidP="00737DC2"/>
    <w:p w:rsidR="00737DC2" w:rsidRDefault="00737DC2" w:rsidP="00737DC2">
      <w:r w:rsidRPr="007A53A1">
        <w:rPr>
          <w:rFonts w:ascii="Times New Roman" w:hAnsi="Times New Roman" w:cs="Times New Roman"/>
          <w:noProof/>
          <w:color w:val="FF0000"/>
          <w:sz w:val="24"/>
          <w:szCs w:val="24"/>
          <w:lang w:val="en-GB" w:eastAsia="zh-CN"/>
        </w:rPr>
        <w:drawing>
          <wp:inline distT="0" distB="0" distL="0" distR="0">
            <wp:extent cx="5731510" cy="4107180"/>
            <wp:effectExtent l="0" t="0" r="2540" b="762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4107180"/>
                    </a:xfrm>
                    <a:prstGeom prst="rect">
                      <a:avLst/>
                    </a:prstGeom>
                  </pic:spPr>
                </pic:pic>
              </a:graphicData>
            </a:graphic>
          </wp:inline>
        </w:drawing>
      </w:r>
    </w:p>
    <w:p w:rsidR="00737DC2" w:rsidRDefault="00737DC2" w:rsidP="00737DC2">
      <w:r w:rsidRPr="003326CC">
        <w:rPr>
          <w:rFonts w:ascii="Times New Roman" w:hAnsi="Times New Roman" w:cs="Times New Roman"/>
          <w:noProof/>
          <w:color w:val="FF0000"/>
          <w:sz w:val="24"/>
          <w:szCs w:val="24"/>
          <w:lang w:val="en-GB" w:eastAsia="zh-CN"/>
        </w:rPr>
        <w:lastRenderedPageBreak/>
        <w:drawing>
          <wp:inline distT="0" distB="0" distL="0" distR="0">
            <wp:extent cx="5731510" cy="3571875"/>
            <wp:effectExtent l="0" t="0" r="2540" b="952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3571875"/>
                    </a:xfrm>
                    <a:prstGeom prst="rect">
                      <a:avLst/>
                    </a:prstGeom>
                  </pic:spPr>
                </pic:pic>
              </a:graphicData>
            </a:graphic>
          </wp:inline>
        </w:drawing>
      </w:r>
    </w:p>
    <w:p w:rsidR="00737DC2" w:rsidRDefault="00737DC2" w:rsidP="00737DC2"/>
    <w:p w:rsidR="00737DC2" w:rsidRDefault="00737DC2" w:rsidP="00737DC2">
      <w:r w:rsidRPr="007A53A1">
        <w:rPr>
          <w:rFonts w:ascii="Times New Roman" w:hAnsi="Times New Roman" w:cs="Times New Roman"/>
          <w:noProof/>
          <w:color w:val="FF0000"/>
          <w:sz w:val="24"/>
          <w:szCs w:val="24"/>
          <w:lang w:val="en-GB" w:eastAsia="zh-CN"/>
        </w:rPr>
        <w:drawing>
          <wp:inline distT="0" distB="0" distL="0" distR="0">
            <wp:extent cx="5730673" cy="3930650"/>
            <wp:effectExtent l="0" t="0" r="381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31510" cy="3931224"/>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5C6DC8">
        <w:rPr>
          <w:rFonts w:ascii="Times New Roman" w:hAnsi="Times New Roman" w:cs="Times New Roman"/>
          <w:sz w:val="24"/>
          <w:szCs w:val="24"/>
        </w:rPr>
        <w:t>De los cuad</w:t>
      </w:r>
      <w:r>
        <w:rPr>
          <w:rFonts w:ascii="Times New Roman" w:hAnsi="Times New Roman" w:cs="Times New Roman"/>
          <w:sz w:val="24"/>
          <w:szCs w:val="24"/>
        </w:rPr>
        <w:t>ros presentados anteriormente</w:t>
      </w:r>
      <w:r w:rsidRPr="005C6DC8">
        <w:rPr>
          <w:rFonts w:ascii="Times New Roman" w:hAnsi="Times New Roman" w:cs="Times New Roman"/>
          <w:sz w:val="24"/>
          <w:szCs w:val="24"/>
        </w:rPr>
        <w:t>, se puede señalar (destacar):</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Inflación en los EEUU, ha pasado del 2% en el año 1960, a algo más del 4% en el año 2020. Nota: interpretación de gráfico.</w:t>
      </w:r>
    </w:p>
    <w:p w:rsidR="00737DC2" w:rsidRPr="00766BF8"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La Tasa de Inflación en la UE</w:t>
      </w:r>
      <w:r w:rsidRPr="00766BF8">
        <w:rPr>
          <w:rFonts w:ascii="Times New Roman" w:hAnsi="Times New Roman" w:cs="Times New Roman"/>
          <w:color w:val="FF0000"/>
          <w:sz w:val="24"/>
          <w:szCs w:val="24"/>
        </w:rPr>
        <w:t>, ha pasado del 2% en el año 1960, a algo más del 4% en el año 2020. Nota: interpretación de gráfico.</w:t>
      </w:r>
    </w:p>
    <w:p w:rsidR="00737DC2" w:rsidRPr="00766BF8"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Inflación en China ha pasado del coeficiente 102 en el año 2016, al coeficiente 104 en el año 2022. Nota: interpretación de gráfico.</w:t>
      </w:r>
    </w:p>
    <w:p w:rsidR="00737DC2" w:rsidRDefault="00737DC2" w:rsidP="00737DC2">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En el gráfico comparativo de las Tasas de Inflación de los EEUU, la Unión Europea, y China, en el período 1960 - 2020, puede observarse que a partir del año 2000 la inflación se mantuvo contenida, hasta la crisis sanitaria del año 2020 (pandemia Covid-19), que provocó un cese casi total de las actividad</w:t>
      </w:r>
      <w:r>
        <w:rPr>
          <w:rFonts w:ascii="Times New Roman" w:hAnsi="Times New Roman" w:cs="Times New Roman"/>
          <w:color w:val="FF0000"/>
          <w:sz w:val="24"/>
          <w:szCs w:val="24"/>
        </w:rPr>
        <w:t>es económicas no esenciales, confinamiento de la población</w:t>
      </w:r>
      <w:r w:rsidRPr="00766BF8">
        <w:rPr>
          <w:rFonts w:ascii="Times New Roman" w:hAnsi="Times New Roman" w:cs="Times New Roman"/>
          <w:color w:val="FF0000"/>
          <w:sz w:val="24"/>
          <w:szCs w:val="24"/>
        </w:rPr>
        <w:t xml:space="preserve">,  corte de la cadena de suministros, desabastecimiento, e incremento de precios de materias primas y energía. A partir de ese momento y hasta la fecha (noviembre 2022), la alta inflación (del orden del 10%) pasó a ser uno de los principales problemas a resolver por las autoridades de los países avanzados. </w:t>
      </w:r>
    </w:p>
    <w:p w:rsidR="00737DC2" w:rsidRDefault="00737DC2" w:rsidP="00737DC2">
      <w:pPr>
        <w:spacing w:line="240" w:lineRule="auto"/>
        <w:jc w:val="both"/>
        <w:rPr>
          <w:rFonts w:ascii="Times New Roman" w:hAnsi="Times New Roman" w:cs="Times New Roman"/>
          <w:b/>
          <w:sz w:val="24"/>
          <w:szCs w:val="24"/>
        </w:rPr>
      </w:pPr>
      <w:r w:rsidRPr="001F3634">
        <w:rPr>
          <w:rFonts w:ascii="Times New Roman" w:hAnsi="Times New Roman" w:cs="Times New Roman"/>
          <w:b/>
          <w:sz w:val="24"/>
          <w:szCs w:val="24"/>
        </w:rPr>
        <w:t>Nota: En un artículo del Washington Post, el Presidente de la Reserva Federal de Dallas, Richard Fisher, reconoció que la Fed “jugó con billones de dólares y tomó una enorme cantidad de riesgo con el dinero del pueblo”. La cita es muy dolorosa porque el pueblo se enfureció con el rescate de los 700.000 millones de dólares de octubre de 2008, una suma que resulta ser una bagatela en comparación a los 3,5 trillones de dólares a un interés de casi cero que la Fed hizo con las instituciones amigas sin consultar ni al Congreso ni al gobierno de los Estados Unidos. (Fuente El Blog Salmón - 4/12/2010)</w:t>
      </w:r>
    </w:p>
    <w:p w:rsidR="00737DC2" w:rsidRDefault="00737DC2" w:rsidP="00737DC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El aterrizaje de Draghi al frente del BCE no fue nada sencillo. Europa se revolvía, muy dañada tras la crisis financiera de 2008 y los desequilibrios eran evidentes en la región. La supervivencia del euro estaba en el aire; los líderes europeos trataban de achicar agua con el diseño de paquetes de rescate con los que intentaban asegurar la estabilidad financiera y la continuidad del proyecto europeo, pero la especulación de la ruptura de la Unión Monetaria seguía presente. Las primas de riesgo estaban disparadas en los países de la periferia, con la eurozona sumida en una fuerte recesión y no parecía haber manera de poner la situación bajo control.</w:t>
      </w:r>
    </w:p>
    <w:p w:rsidR="00737DC2" w:rsidRPr="00CF6662" w:rsidRDefault="00737DC2" w:rsidP="00737DC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Entonces, después de varias bajadas de tipos de interés que no estaban funcionando para salvar la situación, llegó el momento clave en la carrera del italiano. El 26 de julio de 2012, en una conferencia en Londres, Draghi pronunció unas palabras que contribuyeron a calmar a los mercados, e inyectaron una dosis de confianza que Europ</w:t>
      </w:r>
      <w:r>
        <w:rPr>
          <w:rFonts w:ascii="Times New Roman" w:hAnsi="Times New Roman" w:cs="Times New Roman"/>
          <w:b/>
          <w:sz w:val="24"/>
          <w:szCs w:val="24"/>
        </w:rPr>
        <w:t>a necesitaba en aquel momento. “</w:t>
      </w:r>
      <w:r w:rsidRPr="00CF6662">
        <w:rPr>
          <w:rFonts w:ascii="Times New Roman" w:hAnsi="Times New Roman" w:cs="Times New Roman"/>
          <w:b/>
          <w:sz w:val="24"/>
          <w:szCs w:val="24"/>
        </w:rPr>
        <w:t>El BCE está listo para hacer lo que sea necesario para preservar el euro. Y, créanme, será suficient</w:t>
      </w:r>
      <w:r>
        <w:rPr>
          <w:rFonts w:ascii="Times New Roman" w:hAnsi="Times New Roman" w:cs="Times New Roman"/>
          <w:b/>
          <w:sz w:val="24"/>
          <w:szCs w:val="24"/>
        </w:rPr>
        <w:t>e”</w:t>
      </w:r>
      <w:r w:rsidRPr="00CF6662">
        <w:rPr>
          <w:rFonts w:ascii="Times New Roman" w:hAnsi="Times New Roman" w:cs="Times New Roman"/>
          <w:b/>
          <w:sz w:val="24"/>
          <w:szCs w:val="24"/>
        </w:rPr>
        <w:t>.</w:t>
      </w:r>
    </w:p>
    <w:p w:rsidR="00737DC2" w:rsidRPr="00CF6662" w:rsidRDefault="00737DC2" w:rsidP="00737DC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El italiano convenció a los mercados, y pocos días después, la presentación del BCE de una nueva política de estímulos a base de compras de deuda pública terminó de meter en vereda las primas de riesgo.</w:t>
      </w:r>
    </w:p>
    <w:p w:rsidR="00737DC2" w:rsidRPr="00CF6662" w:rsidRDefault="00737DC2" w:rsidP="00737DC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Con los mercados más calmados, la implementación de esta política no fue necesaria, pero puso el primer ladrillo para lo que vendría después: un programa de compras de deuda, similar al que Estados Unidos, y antes que él, Japón, ya habían puesto en marcha para intentar animar el crecimiento de la inflación en sus economías.</w:t>
      </w:r>
    </w:p>
    <w:p w:rsidR="00737DC2" w:rsidRPr="00CF6662" w:rsidRDefault="00737DC2" w:rsidP="00737DC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 xml:space="preserve">Fue en 2015, cuando la deflación amenazaba a la zona euro, el momento en el que el BCE empezó a comprar deuda de la zona euro. Así nació el QE (Quantitative Easing) en Europa, una práctica se ha mantenido hasta el día de hoy, con sucesivas rondas con </w:t>
      </w:r>
      <w:r w:rsidRPr="00CF6662">
        <w:rPr>
          <w:rFonts w:ascii="Times New Roman" w:hAnsi="Times New Roman" w:cs="Times New Roman"/>
          <w:b/>
          <w:sz w:val="24"/>
          <w:szCs w:val="24"/>
        </w:rPr>
        <w:lastRenderedPageBreak/>
        <w:t>las que el BCE ha inyectado billones de dólares en la economía eu</w:t>
      </w:r>
      <w:r>
        <w:rPr>
          <w:rFonts w:ascii="Times New Roman" w:hAnsi="Times New Roman" w:cs="Times New Roman"/>
          <w:b/>
          <w:sz w:val="24"/>
          <w:szCs w:val="24"/>
        </w:rPr>
        <w:t>ropea, inundándola de liquidez.</w:t>
      </w:r>
    </w:p>
    <w:p w:rsidR="00737DC2" w:rsidRDefault="00737DC2" w:rsidP="00737DC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Además, con Draghi llegaron las rondas de financiación a la banca (TLTRO), operaciones con las que la entidad ayuda a los bancos de la zona euro a mantener liquidez, con condiciones atractivas en muchos casos, a condición de que canalicen el dinero a la economía real. Esto ha sido vital para evitar el colapso de los bancos europeos, que llevan años teniendo que vivir con los tipos de interés en el 0%, y la facilidad de depósito (lo que el BCE les cobra por dejar su dinero aparcado en la institución) a tipos negativos.</w:t>
      </w:r>
    </w:p>
    <w:p w:rsidR="00737DC2" w:rsidRDefault="00737DC2" w:rsidP="00737DC2">
      <w:pPr>
        <w:spacing w:line="240" w:lineRule="auto"/>
        <w:jc w:val="both"/>
        <w:rPr>
          <w:rFonts w:ascii="Times New Roman" w:hAnsi="Times New Roman" w:cs="Times New Roman"/>
          <w:b/>
          <w:sz w:val="24"/>
          <w:szCs w:val="24"/>
        </w:rPr>
      </w:pPr>
      <w:r>
        <w:rPr>
          <w:noProof/>
          <w:lang w:val="en-GB" w:eastAsia="zh-CN"/>
        </w:rPr>
        <w:drawing>
          <wp:inline distT="0" distB="0" distL="0" distR="0">
            <wp:extent cx="5721350" cy="2603500"/>
            <wp:effectExtent l="0" t="0" r="0" b="6350"/>
            <wp:docPr id="124" name="Imagen 124" descr="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cos centrales"/>
                    <pic:cNvPicPr>
                      <a:picLocks noChangeAspect="1" noChangeArrowheads="1"/>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08123"/>
                    </a:xfrm>
                    <a:prstGeom prst="rect">
                      <a:avLst/>
                    </a:prstGeom>
                    <a:noFill/>
                    <a:ln>
                      <a:noFill/>
                    </a:ln>
                  </pic:spPr>
                </pic:pic>
              </a:graphicData>
            </a:graphic>
          </wp:inline>
        </w:drawing>
      </w:r>
    </w:p>
    <w:p w:rsidR="00737DC2" w:rsidRDefault="00737DC2" w:rsidP="00737DC2">
      <w:pPr>
        <w:spacing w:line="240" w:lineRule="auto"/>
        <w:jc w:val="both"/>
        <w:rPr>
          <w:rFonts w:ascii="Times New Roman" w:hAnsi="Times New Roman" w:cs="Times New Roman"/>
          <w:b/>
          <w:sz w:val="24"/>
          <w:szCs w:val="24"/>
        </w:rPr>
      </w:pPr>
    </w:p>
    <w:p w:rsidR="00737DC2" w:rsidRPr="00CF0900" w:rsidRDefault="00737DC2" w:rsidP="00737DC2">
      <w:pPr>
        <w:spacing w:line="240" w:lineRule="auto"/>
        <w:jc w:val="both"/>
        <w:rPr>
          <w:rFonts w:ascii="Times New Roman" w:hAnsi="Times New Roman" w:cs="Times New Roman"/>
          <w:sz w:val="24"/>
          <w:szCs w:val="24"/>
        </w:rPr>
      </w:pPr>
      <w:r w:rsidRPr="001F3634">
        <w:rPr>
          <w:rFonts w:ascii="Times New Roman" w:hAnsi="Times New Roman" w:cs="Times New Roman"/>
          <w:sz w:val="24"/>
          <w:szCs w:val="24"/>
        </w:rPr>
        <w:t>Fuente: Qua</w:t>
      </w:r>
      <w:r>
        <w:rPr>
          <w:rFonts w:ascii="Times New Roman" w:hAnsi="Times New Roman" w:cs="Times New Roman"/>
          <w:sz w:val="24"/>
          <w:szCs w:val="24"/>
        </w:rPr>
        <w:t>n</w:t>
      </w:r>
      <w:r w:rsidRPr="001F3634">
        <w:rPr>
          <w:rFonts w:ascii="Times New Roman" w:hAnsi="Times New Roman" w:cs="Times New Roman"/>
          <w:sz w:val="24"/>
          <w:szCs w:val="24"/>
        </w:rPr>
        <w:t>titative easing: Historia y efectos de la política monetaria no convencional - Marta Ramírez Segura - ICADE - Abril 2018</w:t>
      </w:r>
    </w:p>
    <w:p w:rsidR="00737DC2" w:rsidRDefault="00737DC2" w:rsidP="00737DC2">
      <w:pPr>
        <w:spacing w:line="240" w:lineRule="auto"/>
        <w:jc w:val="both"/>
        <w:rPr>
          <w:rFonts w:ascii="Times New Roman" w:hAnsi="Times New Roman" w:cs="Times New Roman"/>
          <w:sz w:val="24"/>
          <w:szCs w:val="24"/>
        </w:rPr>
      </w:pPr>
      <w:r w:rsidRPr="00FA2E1A">
        <w:rPr>
          <w:rFonts w:ascii="Times New Roman" w:hAnsi="Times New Roman" w:cs="Times New Roman"/>
          <w:noProof/>
          <w:sz w:val="24"/>
          <w:szCs w:val="24"/>
          <w:lang w:val="en-GB" w:eastAsia="zh-CN"/>
        </w:rPr>
        <w:drawing>
          <wp:inline distT="0" distB="0" distL="0" distR="0">
            <wp:extent cx="4895850" cy="28067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4896534" cy="280709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FA2E1A">
        <w:rPr>
          <w:rFonts w:ascii="Times New Roman" w:hAnsi="Times New Roman" w:cs="Times New Roman"/>
          <w:noProof/>
          <w:sz w:val="24"/>
          <w:szCs w:val="24"/>
          <w:lang w:val="en-GB" w:eastAsia="zh-CN"/>
        </w:rPr>
        <w:lastRenderedPageBreak/>
        <w:drawing>
          <wp:inline distT="0" distB="0" distL="0" distR="0">
            <wp:extent cx="5588000" cy="396240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591956" cy="3965205"/>
                    </a:xfrm>
                    <a:prstGeom prst="rect">
                      <a:avLst/>
                    </a:prstGeom>
                  </pic:spPr>
                </pic:pic>
              </a:graphicData>
            </a:graphic>
          </wp:inline>
        </w:drawing>
      </w:r>
    </w:p>
    <w:p w:rsidR="00737DC2" w:rsidRPr="001F3634" w:rsidRDefault="00737DC2" w:rsidP="00737DC2">
      <w:pPr>
        <w:spacing w:line="240" w:lineRule="auto"/>
        <w:jc w:val="both"/>
        <w:rPr>
          <w:rFonts w:ascii="Times New Roman" w:hAnsi="Times New Roman" w:cs="Times New Roman"/>
          <w:sz w:val="24"/>
          <w:szCs w:val="24"/>
        </w:rPr>
      </w:pPr>
      <w:r w:rsidRPr="00FA2E1A">
        <w:rPr>
          <w:rFonts w:ascii="Times New Roman" w:hAnsi="Times New Roman" w:cs="Times New Roman"/>
          <w:noProof/>
          <w:sz w:val="24"/>
          <w:szCs w:val="24"/>
          <w:lang w:val="en-GB" w:eastAsia="zh-CN"/>
        </w:rPr>
        <w:drawing>
          <wp:inline distT="0" distB="0" distL="0" distR="0">
            <wp:extent cx="5257800" cy="440055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258534" cy="4401165"/>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p>
    <w:p w:rsidR="00737DC2" w:rsidRDefault="00737DC2" w:rsidP="00737DC2">
      <w:pPr>
        <w:spacing w:line="240" w:lineRule="auto"/>
        <w:jc w:val="both"/>
        <w:rPr>
          <w:rFonts w:ascii="Times New Roman" w:hAnsi="Times New Roman" w:cs="Times New Roman"/>
          <w:sz w:val="24"/>
          <w:szCs w:val="24"/>
        </w:rPr>
      </w:pPr>
      <w:r w:rsidRPr="00FA2E1A">
        <w:rPr>
          <w:rFonts w:ascii="Times New Roman" w:hAnsi="Times New Roman" w:cs="Times New Roman"/>
          <w:noProof/>
          <w:sz w:val="24"/>
          <w:szCs w:val="24"/>
          <w:lang w:val="en-GB" w:eastAsia="zh-CN"/>
        </w:rPr>
        <w:lastRenderedPageBreak/>
        <w:drawing>
          <wp:inline distT="0" distB="0" distL="0" distR="0">
            <wp:extent cx="5219699" cy="2235200"/>
            <wp:effectExtent l="0" t="0" r="63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220429" cy="2235513"/>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4B7BD9">
        <w:rPr>
          <w:rFonts w:ascii="Times New Roman" w:hAnsi="Times New Roman" w:cs="Times New Roman"/>
          <w:noProof/>
          <w:sz w:val="24"/>
          <w:szCs w:val="24"/>
          <w:lang w:val="en-GB" w:eastAsia="zh-CN"/>
        </w:rPr>
        <w:drawing>
          <wp:inline distT="0" distB="0" distL="0" distR="0">
            <wp:extent cx="5229955" cy="2838846"/>
            <wp:effectExtent l="0" t="0" r="889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229955" cy="283884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(Fuente: grupoaval.com - 24/11/22)</w:t>
      </w:r>
    </w:p>
    <w:p w:rsidR="00737DC2" w:rsidRDefault="00737DC2" w:rsidP="00737DC2">
      <w:pPr>
        <w:spacing w:line="240" w:lineRule="auto"/>
        <w:jc w:val="both"/>
        <w:rPr>
          <w:rFonts w:ascii="Times New Roman" w:hAnsi="Times New Roman" w:cs="Times New Roman"/>
          <w:color w:val="FF0000"/>
          <w:sz w:val="24"/>
          <w:szCs w:val="24"/>
        </w:rPr>
      </w:pPr>
      <w:r w:rsidRPr="00584ABC">
        <w:rPr>
          <w:rFonts w:ascii="Times New Roman" w:hAnsi="Times New Roman" w:cs="Times New Roman"/>
          <w:color w:val="FF0000"/>
          <w:sz w:val="24"/>
          <w:szCs w:val="24"/>
        </w:rPr>
        <w:t>Nota: estos dos últimos gráficos permiten observar que Wall Street ha sido uno de los grandes beneficiados, junto con China (por</w:t>
      </w:r>
      <w:r>
        <w:rPr>
          <w:rFonts w:ascii="Times New Roman" w:hAnsi="Times New Roman" w:cs="Times New Roman"/>
          <w:color w:val="FF0000"/>
          <w:sz w:val="24"/>
          <w:szCs w:val="24"/>
        </w:rPr>
        <w:t xml:space="preserve"> la</w:t>
      </w:r>
      <w:r w:rsidRPr="00584ABC">
        <w:rPr>
          <w:rFonts w:ascii="Times New Roman" w:hAnsi="Times New Roman" w:cs="Times New Roman"/>
          <w:color w:val="FF0000"/>
          <w:sz w:val="24"/>
          <w:szCs w:val="24"/>
        </w:rPr>
        <w:t xml:space="preserve"> codicia de los mismos grandes beneficiarios), del proceso de financierización (Wall Street + Silicon Valley), del proceso de globalización (China + Wall Street + Silicon Valley), y del proceso de monetización de deudas y pérdidas. </w:t>
      </w:r>
    </w:p>
    <w:p w:rsidR="00737DC2" w:rsidRPr="00584ABC"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Así se entiende el porqué del apoyo, defensa, cantos, y alabanzas, a la globalización por parte de The Wall Street Journal. Están muy contentos con el dopaje monetario a los mercados.</w:t>
      </w:r>
    </w:p>
    <w:p w:rsidR="00737DC2" w:rsidRPr="003438BE" w:rsidRDefault="00737DC2" w:rsidP="00737DC2">
      <w:pPr>
        <w:pStyle w:val="Default"/>
        <w:spacing w:after="140"/>
        <w:jc w:val="both"/>
        <w:rPr>
          <w:rFonts w:ascii="Times New Roman" w:hAnsi="Times New Roman" w:cs="Times New Roman"/>
          <w:color w:val="auto"/>
        </w:rPr>
      </w:pPr>
      <w:r w:rsidRPr="003438BE">
        <w:rPr>
          <w:rFonts w:ascii="Times New Roman" w:hAnsi="Times New Roman" w:cs="Times New Roman"/>
          <w:color w:val="auto"/>
        </w:rPr>
        <w:t xml:space="preserve">Fuentes con conocimiento en cuestiones monetarias recuerdan el alto precio que puede tener inyectar dinero en demasía. Saben que en las décadas de los sesenta y setenta, en algunos países de América Latina los bancos centrales estaban obligados a pagar por ley los déficits públicos mediante expansión monetaria. Y saben que no se puede estar expandiendo continuamente la política monetaria y financiando los déficits del Gobierno por siempre,  porque ese es un juego que tarde o temprano termina explotando. Esta lección fue aprendida por algunos de los países de América Latina a golpe de hiperinflación (aunque hay países que no han aprendido suficiente, y vuelven a tropezar con las mismas piedras). </w:t>
      </w:r>
    </w:p>
    <w:p w:rsidR="00737DC2" w:rsidRPr="003438BE" w:rsidRDefault="00737DC2" w:rsidP="00737DC2">
      <w:pPr>
        <w:pStyle w:val="Default"/>
        <w:spacing w:after="140"/>
        <w:jc w:val="both"/>
        <w:rPr>
          <w:rFonts w:ascii="Times New Roman" w:hAnsi="Times New Roman" w:cs="Times New Roman"/>
          <w:color w:val="auto"/>
        </w:rPr>
      </w:pPr>
      <w:r w:rsidRPr="003438BE">
        <w:rPr>
          <w:rFonts w:ascii="Times New Roman" w:hAnsi="Times New Roman" w:cs="Times New Roman"/>
          <w:color w:val="auto"/>
        </w:rPr>
        <w:t xml:space="preserve">Aunque la Fed o el BCE, no tienen el problema de credibilidad de los bancos centrales de los países menos desarrollados, porque disponen de una moneda sólida (dólar o euro), y se </w:t>
      </w:r>
      <w:r w:rsidRPr="003438BE">
        <w:rPr>
          <w:rFonts w:ascii="Times New Roman" w:hAnsi="Times New Roman" w:cs="Times New Roman"/>
          <w:color w:val="auto"/>
        </w:rPr>
        <w:lastRenderedPageBreak/>
        <w:t>pueden dar el lujo de imprimir dinero sin ser penalizados por los mercados, no pueden crear producción por decreto… no son magos… no les basta con imprimir dinero para ser más ricos. El valor de la moneda debe estar respaldado por algo real.</w:t>
      </w:r>
    </w:p>
    <w:p w:rsidR="00737DC2" w:rsidRPr="003438BE" w:rsidRDefault="00737DC2" w:rsidP="00737DC2">
      <w:pPr>
        <w:pStyle w:val="Default"/>
        <w:spacing w:after="140"/>
        <w:jc w:val="both"/>
        <w:rPr>
          <w:rFonts w:ascii="Times New Roman" w:hAnsi="Times New Roman" w:cs="Times New Roman"/>
          <w:color w:val="auto"/>
        </w:rPr>
      </w:pPr>
      <w:r w:rsidRPr="003438BE">
        <w:rPr>
          <w:rFonts w:ascii="Times New Roman" w:hAnsi="Times New Roman" w:cs="Times New Roman"/>
          <w:color w:val="auto"/>
        </w:rPr>
        <w:t>Los países avanzados están jugando con fuego imprimiendo dinero, haciendo transferencias a los agentes económicos y financiando a los Gobiernos. Es un juego peligroso.</w:t>
      </w:r>
    </w:p>
    <w:p w:rsidR="00737DC2" w:rsidRPr="003438BE" w:rsidRDefault="00737DC2" w:rsidP="00737DC2">
      <w:pPr>
        <w:pStyle w:val="Default"/>
        <w:spacing w:after="140"/>
        <w:jc w:val="both"/>
        <w:rPr>
          <w:rFonts w:ascii="Times New Roman" w:hAnsi="Times New Roman" w:cs="Times New Roman"/>
          <w:color w:val="auto"/>
        </w:rPr>
      </w:pPr>
      <w:r w:rsidRPr="003438BE">
        <w:rPr>
          <w:rFonts w:ascii="Times New Roman" w:hAnsi="Times New Roman" w:cs="Times New Roman"/>
          <w:color w:val="auto"/>
        </w:rPr>
        <w:t>El dilema de los bancos centrales está ya sobre la mesa: combatir la inflación o facilitar la financiación barata. Cualquiera de las dos decisiones tiene costes añadidos, pero seguramente en una de ellas estos superan a los beneficios hasta el punto de no dejar alternativa. Mantener los tipos de interés donde están y con ellos los programas de generosa expansión cuantitativa proporciona facilidad de financiación a corto plazo a los agentes económicos con descomunales niveles de deuda, pero permitirá que se desate una espiral inflacionista que seque la economía en el medio plazo. Por contra, combatir la inflación desde este mismo instante provocará un encarecimiento de la financiación que puede frenar muchos proyectos y puede cercenar el crecimiento a medio plazo, amén de poner contra las cuerdas a los Estados con altas cotas de pasivos como consecuencia de la pandemia, pero evitará que la hidra inflacionista corrompa la economía mundial.</w:t>
      </w:r>
    </w:p>
    <w:p w:rsidR="00737DC2" w:rsidRPr="003438BE" w:rsidRDefault="00737DC2" w:rsidP="00737DC2">
      <w:pPr>
        <w:pStyle w:val="Default"/>
        <w:spacing w:after="140"/>
        <w:jc w:val="both"/>
        <w:rPr>
          <w:rFonts w:ascii="Times New Roman" w:hAnsi="Times New Roman" w:cs="Times New Roman"/>
          <w:color w:val="auto"/>
        </w:rPr>
      </w:pPr>
      <w:r w:rsidRPr="003438BE">
        <w:rPr>
          <w:rFonts w:ascii="Times New Roman" w:hAnsi="Times New Roman" w:cs="Times New Roman"/>
          <w:color w:val="auto"/>
        </w:rPr>
        <w:t>Nunca es buen momento para subir los tipos, sobre todo para los endeudados; no es buen momento para los proyectos empresariales apalancados ni para las familias hipotecadas, ni para los Estados que han disparado sus pasivos para hacer frente a la pandemia de Covid sin haberse recuperado del tirón de deuda para solventar los efectos de la crisis financiera.</w:t>
      </w:r>
    </w:p>
    <w:p w:rsidR="00737DC2" w:rsidRPr="003438BE" w:rsidRDefault="00737DC2" w:rsidP="00737DC2">
      <w:pPr>
        <w:pStyle w:val="NormalWeb"/>
        <w:spacing w:after="360"/>
        <w:jc w:val="both"/>
      </w:pPr>
      <w:r w:rsidRPr="003438BE">
        <w:t>La monetización a gran escala de los déficits públicos combinada con los gigantescos programas de transferencias de efectivo a compañías y hogares desde 2019 y, con especial virulencia, a raíz la pandemia se ha traducido en un vertiginoso crecimiento de la cantidad de dinero, a menudo a tasas de dos dígitos en EEUU, en la eurozona y en otras grandes economías desarrolladas. Además, esto se ha materializado en un contexto en el cual la política monetaria había sido muy expansiva desde la Gran Recesión (2008) y no se había vuelto a la normalidad. Se ha producido un efecto acumulativo y, por tanto, un fuerte potencial inflacionario.</w:t>
      </w:r>
    </w:p>
    <w:p w:rsidR="00737DC2" w:rsidRPr="003438BE" w:rsidRDefault="00737DC2" w:rsidP="00737DC2">
      <w:pPr>
        <w:pStyle w:val="NormalWeb"/>
        <w:spacing w:after="360"/>
        <w:jc w:val="both"/>
      </w:pPr>
      <w:r w:rsidRPr="003438BE">
        <w:t>El haber olvidado el carácter monetario de la inflación explica la sorpresa ante su emergencia, la imputación de su carrera alcista al shock causado por el encarecimiento de las materias primas y la esperanza de que se desacelere cuando la guerra termine y se restauren las cadenas globales de producción y distribución. Creen posible establecer y conseguir su objetivo de inflación sin prestar atención alguna al papel de los bancos y de la cantidad de dinero.</w:t>
      </w:r>
    </w:p>
    <w:p w:rsidR="00737DC2" w:rsidRPr="003438BE" w:rsidRDefault="00737DC2" w:rsidP="00737DC2">
      <w:pPr>
        <w:pStyle w:val="NormalWeb"/>
        <w:spacing w:after="360"/>
        <w:jc w:val="both"/>
      </w:pPr>
      <w:r w:rsidRPr="003438BE">
        <w:t>Guste o no, la inflación sólo podrá eliminarse cuando la tasa de crecimiento a largo plazo de la oferta monetaria sea aproximadamente la misma que la tasa de crecimiento a largo plazo del PIB. Y esto no depende ni del petróleo ni del gas ni de la guerra de Putin.</w:t>
      </w:r>
    </w:p>
    <w:p w:rsidR="00737DC2" w:rsidRPr="003438BE" w:rsidRDefault="00737DC2" w:rsidP="00737DC2">
      <w:pPr>
        <w:pStyle w:val="NormalWeb"/>
        <w:spacing w:after="360"/>
        <w:jc w:val="both"/>
      </w:pPr>
      <w:r w:rsidRPr="003438BE">
        <w:t>Si la oferta monetaria permanece constante, no existe dinero adicional para que los individuos y las empresas puedan adquirir el mismo volumen de bienes y servicios que compraban antes del shock. El problema principal es la inflación, que afecta a todos, no una recesión que alivia la inflación y afecta principalmente a una parte…</w:t>
      </w:r>
    </w:p>
    <w:p w:rsidR="00737DC2" w:rsidRPr="003438BE" w:rsidRDefault="00737DC2" w:rsidP="00737DC2">
      <w:pPr>
        <w:spacing w:line="240" w:lineRule="auto"/>
        <w:jc w:val="both"/>
        <w:rPr>
          <w:rFonts w:ascii="Times New Roman" w:hAnsi="Times New Roman" w:cs="Times New Roman"/>
          <w:sz w:val="24"/>
          <w:szCs w:val="24"/>
        </w:rPr>
      </w:pPr>
      <w:r w:rsidRPr="003438BE">
        <w:rPr>
          <w:rFonts w:ascii="Times New Roman" w:hAnsi="Times New Roman" w:cs="Times New Roman"/>
          <w:sz w:val="24"/>
          <w:szCs w:val="24"/>
        </w:rPr>
        <w:t xml:space="preserve">Aunque el tema de la inflación ya fue tratado anteriormente, voy a agregar una coletilla: </w:t>
      </w:r>
    </w:p>
    <w:p w:rsidR="00737DC2" w:rsidRPr="003438BE" w:rsidRDefault="00737DC2" w:rsidP="00737DC2">
      <w:pPr>
        <w:spacing w:line="240" w:lineRule="auto"/>
        <w:jc w:val="both"/>
        <w:rPr>
          <w:rFonts w:ascii="Times New Roman" w:hAnsi="Times New Roman" w:cs="Times New Roman"/>
          <w:sz w:val="24"/>
          <w:szCs w:val="24"/>
        </w:rPr>
      </w:pPr>
      <w:r w:rsidRPr="003438BE">
        <w:rPr>
          <w:rFonts w:ascii="Times New Roman" w:hAnsi="Times New Roman" w:cs="Times New Roman"/>
          <w:sz w:val="24"/>
          <w:szCs w:val="24"/>
        </w:rPr>
        <w:lastRenderedPageBreak/>
        <w:t xml:space="preserve">Los bancos centrales de las economías desarrolladas deben incrementar de manera más acelerada y coordinada los tipos de interés. El principal motivo es que las tasas de inflación interanuales han ascendido en octubre (2022) en la UE (11,5%), Eurozona (10,6%) y Reino Unido (11,1%) y solamente se atenúan en EEUU (7,7%). </w:t>
      </w:r>
    </w:p>
    <w:p w:rsidR="00737DC2" w:rsidRPr="003438BE" w:rsidRDefault="00737DC2" w:rsidP="00737DC2">
      <w:pPr>
        <w:spacing w:line="240" w:lineRule="auto"/>
        <w:jc w:val="both"/>
        <w:rPr>
          <w:rFonts w:ascii="Times New Roman" w:hAnsi="Times New Roman" w:cs="Times New Roman"/>
          <w:sz w:val="24"/>
          <w:szCs w:val="24"/>
        </w:rPr>
      </w:pPr>
      <w:r w:rsidRPr="003438BE">
        <w:rPr>
          <w:rFonts w:ascii="Times New Roman" w:hAnsi="Times New Roman" w:cs="Times New Roman"/>
          <w:sz w:val="24"/>
          <w:szCs w:val="24"/>
        </w:rPr>
        <w:t xml:space="preserve">Los muy elevados precios de la energía y los alimentos no disminuirán mientras uno de los mayores productores mundiales de hidrocarburos y cereales (Rusia) esté enzarzado en una guerra con otro destacado exportador de cereales (Ucrania). </w:t>
      </w:r>
    </w:p>
    <w:p w:rsidR="00737DC2" w:rsidRPr="003438BE" w:rsidRDefault="00737DC2" w:rsidP="00737DC2">
      <w:pPr>
        <w:spacing w:line="240" w:lineRule="auto"/>
        <w:jc w:val="both"/>
        <w:rPr>
          <w:rFonts w:ascii="Times New Roman" w:hAnsi="Times New Roman" w:cs="Times New Roman"/>
          <w:sz w:val="24"/>
          <w:szCs w:val="24"/>
        </w:rPr>
      </w:pPr>
      <w:r w:rsidRPr="003438BE">
        <w:rPr>
          <w:rFonts w:ascii="Times New Roman" w:hAnsi="Times New Roman" w:cs="Times New Roman"/>
          <w:sz w:val="24"/>
          <w:szCs w:val="24"/>
        </w:rPr>
        <w:t>No se superarán las obstrucciones a las cadenas de producción y distribución de bienes y servicios a corto plazo.</w:t>
      </w:r>
    </w:p>
    <w:p w:rsidR="00737DC2" w:rsidRPr="003438BE" w:rsidRDefault="00737DC2" w:rsidP="00737DC2">
      <w:pPr>
        <w:spacing w:line="240" w:lineRule="auto"/>
        <w:jc w:val="both"/>
        <w:rPr>
          <w:rFonts w:ascii="Times New Roman" w:hAnsi="Times New Roman" w:cs="Times New Roman"/>
          <w:sz w:val="24"/>
          <w:szCs w:val="24"/>
        </w:rPr>
      </w:pPr>
      <w:r w:rsidRPr="003438BE">
        <w:rPr>
          <w:rFonts w:ascii="Times New Roman" w:hAnsi="Times New Roman" w:cs="Times New Roman"/>
          <w:sz w:val="24"/>
          <w:szCs w:val="24"/>
        </w:rPr>
        <w:t xml:space="preserve">La Fed y el BCE no deben temer provocar una leve recesión para detener la afluencia de capital especulativo hacia los mercados bursátiles. Los inversores en Bolsa y especialmente las empresas tecnológicas deben entender que demasiados años de intereses demasiado reducidos se han acabado. </w:t>
      </w:r>
    </w:p>
    <w:p w:rsidR="00737DC2" w:rsidRPr="003438BE" w:rsidRDefault="00737DC2" w:rsidP="00737DC2">
      <w:pPr>
        <w:spacing w:line="240" w:lineRule="auto"/>
        <w:jc w:val="both"/>
        <w:rPr>
          <w:rFonts w:ascii="Times New Roman" w:hAnsi="Times New Roman" w:cs="Times New Roman"/>
          <w:sz w:val="24"/>
          <w:szCs w:val="24"/>
        </w:rPr>
      </w:pPr>
      <w:r w:rsidRPr="003438BE">
        <w:rPr>
          <w:rFonts w:ascii="Times New Roman" w:hAnsi="Times New Roman" w:cs="Times New Roman"/>
          <w:sz w:val="24"/>
          <w:szCs w:val="24"/>
        </w:rPr>
        <w:t xml:space="preserve">Los políticos no se atreven a pedir ahorro a una población que vuelve a gastar y viajar por encima de sus posibilidades. El consumo excesivo alienta la inflación y no añade demasiado valor a nuestras vidas si consiste en adquirir (mediante endeudamiento) un móvil o automóvil nuevo. Los tipos de interés aún están en niveles bajos. Su alza promovería el ahorro. </w:t>
      </w:r>
    </w:p>
    <w:p w:rsidR="00737DC2" w:rsidRPr="007B0468" w:rsidRDefault="00737DC2" w:rsidP="00737DC2">
      <w:pPr>
        <w:spacing w:line="240" w:lineRule="auto"/>
        <w:jc w:val="both"/>
        <w:rPr>
          <w:rFonts w:ascii="Times New Roman" w:hAnsi="Times New Roman" w:cs="Times New Roman"/>
          <w:b/>
          <w:sz w:val="24"/>
          <w:szCs w:val="24"/>
        </w:rPr>
      </w:pPr>
      <w:r w:rsidRPr="001A15C6">
        <w:rPr>
          <w:rFonts w:ascii="Times New Roman" w:hAnsi="Times New Roman" w:cs="Times New Roman"/>
          <w:b/>
          <w:sz w:val="24"/>
          <w:szCs w:val="24"/>
        </w:rPr>
        <w:t>Nota: la inflación desbocada que padecen los países avanzados no está originada</w:t>
      </w:r>
      <w:r>
        <w:rPr>
          <w:rFonts w:ascii="Times New Roman" w:hAnsi="Times New Roman" w:cs="Times New Roman"/>
          <w:b/>
          <w:sz w:val="24"/>
          <w:szCs w:val="24"/>
        </w:rPr>
        <w:t>,</w:t>
      </w:r>
      <w:r w:rsidRPr="001A15C6">
        <w:rPr>
          <w:rFonts w:ascii="Times New Roman" w:hAnsi="Times New Roman" w:cs="Times New Roman"/>
          <w:b/>
          <w:sz w:val="24"/>
          <w:szCs w:val="24"/>
        </w:rPr>
        <w:t xml:space="preserve"> solamente</w:t>
      </w:r>
      <w:r>
        <w:rPr>
          <w:rFonts w:ascii="Times New Roman" w:hAnsi="Times New Roman" w:cs="Times New Roman"/>
          <w:b/>
          <w:sz w:val="24"/>
          <w:szCs w:val="24"/>
        </w:rPr>
        <w:t>,</w:t>
      </w:r>
      <w:r w:rsidRPr="001A15C6">
        <w:rPr>
          <w:rFonts w:ascii="Times New Roman" w:hAnsi="Times New Roman" w:cs="Times New Roman"/>
          <w:b/>
          <w:sz w:val="24"/>
          <w:szCs w:val="24"/>
        </w:rPr>
        <w:t xml:space="preserve"> po</w:t>
      </w:r>
      <w:r>
        <w:rPr>
          <w:rFonts w:ascii="Times New Roman" w:hAnsi="Times New Roman" w:cs="Times New Roman"/>
          <w:b/>
          <w:sz w:val="24"/>
          <w:szCs w:val="24"/>
        </w:rPr>
        <w:t>r el Covid-19 (corte de la cadena</w:t>
      </w:r>
      <w:r w:rsidRPr="001A15C6">
        <w:rPr>
          <w:rFonts w:ascii="Times New Roman" w:hAnsi="Times New Roman" w:cs="Times New Roman"/>
          <w:b/>
          <w:sz w:val="24"/>
          <w:szCs w:val="24"/>
        </w:rPr>
        <w:t xml:space="preserve"> de suministros), o la invasión de Ucrania (alimentos y energía), sino principalmente por los excesos monetarios cometidos en 2008, y 2020</w:t>
      </w:r>
      <w:r>
        <w:rPr>
          <w:rFonts w:ascii="Times New Roman" w:hAnsi="Times New Roman" w:cs="Times New Roman"/>
          <w:b/>
          <w:sz w:val="24"/>
          <w:szCs w:val="24"/>
        </w:rPr>
        <w:t xml:space="preserve"> por los bancos centrales para rescatar a entidades financieras, empresas, y gobiernos, en ambas crisis. En cuyo origen, y difusión, tienen directa responsabilidad la financierización (2008) y la globalización (2020). Los grandes BCs cebaron la bomba…</w:t>
      </w:r>
    </w:p>
    <w:p w:rsidR="00737DC2" w:rsidRPr="00C36AE7" w:rsidRDefault="00737DC2" w:rsidP="00737DC2">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t>¿No sé por qué las “plañideras” del WSJ se lamentan que las importaciones de EEUU con origen en China hayan bajado del 22% en 2017 al 18% en 2021, después de haber pasado del 4,8 en 1992 al ¡22%! en 2017? ¿</w:t>
      </w:r>
      <w:proofErr w:type="gramStart"/>
      <w:r w:rsidRPr="00C36AE7">
        <w:rPr>
          <w:rFonts w:ascii="Times New Roman" w:hAnsi="Times New Roman" w:cs="Times New Roman"/>
          <w:sz w:val="24"/>
          <w:szCs w:val="24"/>
        </w:rPr>
        <w:t>acaso</w:t>
      </w:r>
      <w:proofErr w:type="gramEnd"/>
      <w:r w:rsidRPr="00C36AE7">
        <w:rPr>
          <w:rFonts w:ascii="Times New Roman" w:hAnsi="Times New Roman" w:cs="Times New Roman"/>
          <w:sz w:val="24"/>
          <w:szCs w:val="24"/>
        </w:rPr>
        <w:t xml:space="preserve"> prefieren la desindustrialización de los EEUU a cambio de las alegrías en Wall Street y Silicon Valley?</w:t>
      </w:r>
    </w:p>
    <w:p w:rsidR="00737DC2" w:rsidRPr="00C36AE7" w:rsidRDefault="00737DC2" w:rsidP="00737DC2">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t>Como la respuesta a estos dos asuntos (mi contestación, y las preferencias de WSJ) es un SÍ rotundo, en ambos casos, prefiero centrarme en otra parte del “lamento”: “global supply chains became stressed, and US firms began shifting activity from China to Vietnam, Thailand and other Asian nations” (fin de la cita).</w:t>
      </w:r>
    </w:p>
    <w:p w:rsidR="00737DC2" w:rsidRPr="00C36AE7" w:rsidRDefault="00737DC2" w:rsidP="00737DC2">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t>A esto lo denomino “</w:t>
      </w:r>
      <w:r w:rsidRPr="00C36AE7">
        <w:rPr>
          <w:rFonts w:ascii="Times New Roman" w:hAnsi="Times New Roman" w:cs="Times New Roman"/>
          <w:b/>
          <w:sz w:val="24"/>
          <w:szCs w:val="24"/>
        </w:rPr>
        <w:t>la carrera de los pobres nunca se acaba</w:t>
      </w:r>
      <w:r w:rsidRPr="00C36AE7">
        <w:rPr>
          <w:rFonts w:ascii="Times New Roman" w:hAnsi="Times New Roman" w:cs="Times New Roman"/>
          <w:sz w:val="24"/>
          <w:szCs w:val="24"/>
        </w:rPr>
        <w:t>”</w:t>
      </w:r>
    </w:p>
    <w:p w:rsidR="00737DC2" w:rsidRPr="00C36AE7" w:rsidRDefault="00737DC2" w:rsidP="00737DC2">
      <w:pPr>
        <w:numPr>
          <w:ilvl w:val="0"/>
          <w:numId w:val="8"/>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Ni el sudeste asiático ni la India pueden reemplazar a China como el centro de fabricación global en el futuro cercano, ya que se dedican principalmente a la fabricación intensiva en mano de obra y de bajo valor agregado</w:t>
      </w:r>
    </w:p>
    <w:p w:rsidR="00737DC2" w:rsidRPr="00C36AE7" w:rsidRDefault="00737DC2" w:rsidP="00737DC2">
      <w:pPr>
        <w:numPr>
          <w:ilvl w:val="0"/>
          <w:numId w:val="8"/>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Sin embargo, el sudeste asiático e India buscan ocupar el lugar de China gracias a los bajos costos laborales y al aumento de la demanda interna.</w:t>
      </w:r>
    </w:p>
    <w:p w:rsidR="00737DC2" w:rsidRPr="00C36AE7" w:rsidRDefault="00737DC2" w:rsidP="00737DC2">
      <w:pPr>
        <w:numPr>
          <w:ilvl w:val="0"/>
          <w:numId w:val="8"/>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Además hay un catalizador: el éxodo acelerado de la potencia de producción asiática se ha visto favorecido por las interrupciones de la política de Covid, el aumento de los costos laborales y el empeoramiento de las tensiones comerciales entre EEUU y China</w:t>
      </w:r>
    </w:p>
    <w:p w:rsidR="00737DC2" w:rsidRPr="00C36AE7" w:rsidRDefault="00737DC2" w:rsidP="00737DC2">
      <w:pPr>
        <w:pStyle w:val="NormalWeb"/>
        <w:shd w:val="clear" w:color="auto" w:fill="FFFFFF"/>
        <w:spacing w:before="0" w:beforeAutospacing="0" w:after="185" w:afterAutospacing="0"/>
        <w:jc w:val="both"/>
        <w:rPr>
          <w:spacing w:val="4"/>
        </w:rPr>
      </w:pPr>
      <w:r w:rsidRPr="00C36AE7">
        <w:rPr>
          <w:spacing w:val="4"/>
        </w:rPr>
        <w:lastRenderedPageBreak/>
        <w:t xml:space="preserve">El éxodo acelerado de la potencia de producción asiática se ha visto favorecido por las interrupciones de la política de Covid, el aumento de los costos laborales y el empeoramiento de las tensiones comerciales entre EEUU y China. </w:t>
      </w:r>
    </w:p>
    <w:p w:rsidR="00737DC2" w:rsidRPr="00C36AE7" w:rsidRDefault="00737DC2" w:rsidP="00737DC2">
      <w:pPr>
        <w:pStyle w:val="NormalWeb"/>
        <w:shd w:val="clear" w:color="auto" w:fill="FFFFFF"/>
        <w:spacing w:before="0" w:beforeAutospacing="0" w:after="185" w:afterAutospacing="0"/>
        <w:jc w:val="both"/>
        <w:rPr>
          <w:spacing w:val="4"/>
        </w:rPr>
      </w:pPr>
      <w:r w:rsidRPr="00C36AE7">
        <w:rPr>
          <w:spacing w:val="4"/>
        </w:rPr>
        <w:t>El sudeste asiático e India buscan ocupar el lugar de China gracias a los bajos costos laborales y al aumento de la demanda interna. Esto coincide con los objetivos políticos de la India, donde el primer ministro Narendra Modi está impulsando una campaña “Hecho en la India”.</w:t>
      </w:r>
    </w:p>
    <w:p w:rsidR="00737DC2" w:rsidRPr="00835869" w:rsidRDefault="00737DC2" w:rsidP="00737DC2">
      <w:pPr>
        <w:pStyle w:val="NormalWeb"/>
        <w:shd w:val="clear" w:color="auto" w:fill="FFFFFF"/>
        <w:spacing w:before="0" w:beforeAutospacing="0" w:after="185" w:afterAutospacing="0"/>
        <w:jc w:val="both"/>
        <w:rPr>
          <w:color w:val="FF0000"/>
          <w:spacing w:val="4"/>
        </w:rPr>
      </w:pPr>
      <w:r w:rsidRPr="00835869">
        <w:rPr>
          <w:noProof/>
          <w:color w:val="FF0000"/>
          <w:lang w:val="en-GB" w:eastAsia="zh-CN"/>
        </w:rPr>
        <w:drawing>
          <wp:inline distT="0" distB="0" distL="0" distR="0">
            <wp:extent cx="4762500" cy="2184400"/>
            <wp:effectExtent l="0" t="0" r="0" b="6350"/>
            <wp:docPr id="125" name="Imagen 125" descr="https://assets.zerohedge.com/s3fs-public/styles/inline_image_mobile/public/inline-images/cai2.png?itok=scTnpK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ssets.zerohedge.com/s3fs-public/styles/inline_image_mobile/public/inline-images/cai2.png?itok=scTnpKLC"/>
                    <pic:cNvPicPr>
                      <a:picLocks noChangeAspect="1" noChangeArrowheads="1"/>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184400"/>
                    </a:xfrm>
                    <a:prstGeom prst="rect">
                      <a:avLst/>
                    </a:prstGeom>
                    <a:noFill/>
                    <a:ln>
                      <a:noFill/>
                    </a:ln>
                  </pic:spPr>
                </pic:pic>
              </a:graphicData>
            </a:graphic>
          </wp:inline>
        </w:drawing>
      </w:r>
    </w:p>
    <w:p w:rsidR="00737DC2" w:rsidRPr="00835869" w:rsidRDefault="00737DC2" w:rsidP="00737DC2">
      <w:pPr>
        <w:pStyle w:val="NormalWeb"/>
        <w:shd w:val="clear" w:color="auto" w:fill="FFFFFF"/>
        <w:spacing w:before="0" w:beforeAutospacing="0" w:after="185" w:afterAutospacing="0"/>
        <w:jc w:val="both"/>
        <w:rPr>
          <w:color w:val="FF0000"/>
          <w:spacing w:val="4"/>
        </w:rPr>
      </w:pPr>
      <w:r w:rsidRPr="00835869">
        <w:rPr>
          <w:noProof/>
          <w:color w:val="FF0000"/>
          <w:lang w:val="en-GB" w:eastAsia="zh-CN"/>
        </w:rPr>
        <w:drawing>
          <wp:inline distT="0" distB="0" distL="0" distR="0">
            <wp:extent cx="4762500" cy="2552700"/>
            <wp:effectExtent l="0" t="0" r="0" b="0"/>
            <wp:docPr id="126" name="Imagen 126" descr="https://assets.zerohedge.com/s3fs-public/styles/inline_image_mobile/public/inline-images/cai3.png?itok=6gNlB8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ssets.zerohedge.com/s3fs-public/styles/inline_image_mobile/public/inline-images/cai3.png?itok=6gNlB8x1"/>
                    <pic:cNvPicPr>
                      <a:picLocks noChangeAspect="1" noChangeArrowheads="1"/>
                    </pic:cNvPicPr>
                  </pic:nvPicPr>
                  <pic:blipFill>
                    <a:blip r:embed="rId2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55270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185" w:afterAutospacing="0"/>
        <w:jc w:val="both"/>
        <w:rPr>
          <w:color w:val="FF0000"/>
          <w:spacing w:val="4"/>
        </w:rPr>
      </w:pPr>
      <w:r w:rsidRPr="00835869">
        <w:rPr>
          <w:noProof/>
          <w:color w:val="FF0000"/>
          <w:lang w:val="en-GB" w:eastAsia="zh-CN"/>
        </w:rPr>
        <w:drawing>
          <wp:inline distT="0" distB="0" distL="0" distR="0">
            <wp:extent cx="4762500" cy="2292350"/>
            <wp:effectExtent l="0" t="0" r="0" b="0"/>
            <wp:docPr id="213" name="Imagen 213" descr="https://assets.zerohedge.com/s3fs-public/styles/inline_image_mobile/public/inline-images/cai4.png?itok=uDgdFM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ssets.zerohedge.com/s3fs-public/styles/inline_image_mobile/public/inline-images/cai4.png?itok=uDgdFML2"/>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292350"/>
                    </a:xfrm>
                    <a:prstGeom prst="rect">
                      <a:avLst/>
                    </a:prstGeom>
                    <a:noFill/>
                    <a:ln>
                      <a:noFill/>
                    </a:ln>
                  </pic:spPr>
                </pic:pic>
              </a:graphicData>
            </a:graphic>
          </wp:inline>
        </w:drawing>
      </w:r>
    </w:p>
    <w:p w:rsidR="00737DC2" w:rsidRPr="00AE05F7" w:rsidRDefault="00737DC2" w:rsidP="00737DC2">
      <w:pPr>
        <w:pStyle w:val="NormalWeb"/>
        <w:shd w:val="clear" w:color="auto" w:fill="FFFFFF"/>
        <w:spacing w:before="0" w:beforeAutospacing="0" w:after="185" w:afterAutospacing="0"/>
        <w:jc w:val="both"/>
        <w:rPr>
          <w:spacing w:val="4"/>
        </w:rPr>
      </w:pPr>
      <w:r w:rsidRPr="00AE05F7">
        <w:rPr>
          <w:bdr w:val="none" w:sz="0" w:space="0" w:color="auto" w:frame="1"/>
        </w:rPr>
        <w:lastRenderedPageBreak/>
        <w:t>Los fabricantes de China se han visto muy afectados en la guerra comercial entre Estados Unidos y China. Las líneas de producción se están trasladando gradualmente a otros países fabricantes para evitar los aranceles aplicados a los productos </w:t>
      </w:r>
      <w:hyperlink r:id="rId265" w:history="1">
        <w:r w:rsidRPr="00AE05F7">
          <w:rPr>
            <w:rStyle w:val="Hipervnculo"/>
            <w:rFonts w:eastAsiaTheme="majorEastAsia"/>
            <w:bdr w:val="none" w:sz="0" w:space="0" w:color="auto" w:frame="1"/>
          </w:rPr>
          <w:t>fabricados</w:t>
        </w:r>
      </w:hyperlink>
      <w:r w:rsidRPr="00AE05F7">
        <w:rPr>
          <w:bdr w:val="none" w:sz="0" w:space="0" w:color="auto" w:frame="1"/>
        </w:rPr>
        <w:t> en China. El mundo está esperando ver qué país asiático puede reemplazar a China y ser el próximo taller del mundo.</w:t>
      </w:r>
    </w:p>
    <w:p w:rsidR="00737DC2" w:rsidRPr="00AE05F7"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AE05F7">
        <w:rPr>
          <w:bdr w:val="none" w:sz="0" w:space="0" w:color="auto" w:frame="1"/>
        </w:rPr>
        <w:t>Pero, ¿Es posible que algún país en desarrollo de Asia acepte este trabajo? La respuesta, al menos por el momento, podría ser no. Un informe reciente de Bloomberg, nos ha revelado que ninguna nación puede reproducir el éxito de China en cuanto a fabricación. Sin embargo, esos países asiáticos se están convirtiendo en “mini-Chinas”.</w:t>
      </w:r>
    </w:p>
    <w:p w:rsidR="00737DC2" w:rsidRPr="00AE05F7" w:rsidRDefault="00737DC2" w:rsidP="00737DC2">
      <w:pPr>
        <w:pStyle w:val="NormalWeb"/>
        <w:shd w:val="clear" w:color="auto" w:fill="FFFFFF"/>
        <w:spacing w:before="0" w:beforeAutospacing="0" w:after="0" w:afterAutospacing="0"/>
        <w:jc w:val="both"/>
        <w:textAlignment w:val="baseline"/>
        <w:rPr>
          <w:bdr w:val="none" w:sz="0" w:space="0" w:color="auto" w:frame="1"/>
        </w:rPr>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Países como </w:t>
      </w:r>
      <w:hyperlink r:id="rId266" w:history="1">
        <w:r w:rsidRPr="00E019B3">
          <w:rPr>
            <w:rStyle w:val="Hipervnculo"/>
            <w:rFonts w:eastAsiaTheme="majorEastAsia"/>
            <w:bdr w:val="none" w:sz="0" w:space="0" w:color="auto" w:frame="1"/>
          </w:rPr>
          <w:t>Vietnam</w:t>
        </w:r>
      </w:hyperlink>
      <w:r w:rsidRPr="00E019B3">
        <w:rPr>
          <w:bdr w:val="none" w:sz="0" w:space="0" w:color="auto" w:frame="1"/>
        </w:rPr>
        <w:t>, India o Indonesia, están tratando de aprovechar sus ventajas para desarrollarse y avanzar rápidamente. Pero han quedado atrapados por problemas estructurales, como infraestructura inadecuada o inestabilidad política. </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Actualmente, ninguna economía tiene los medios para ponerse en el lugar de China. Muchos tienen una ventaja de mano de obra barata, pero a excepción de </w:t>
      </w:r>
      <w:hyperlink r:id="rId267" w:history="1">
        <w:r w:rsidRPr="00E019B3">
          <w:rPr>
            <w:rStyle w:val="Hipervnculo"/>
            <w:rFonts w:eastAsiaTheme="majorEastAsia"/>
            <w:bdr w:val="none" w:sz="0" w:space="0" w:color="auto" w:frame="1"/>
          </w:rPr>
          <w:t>India</w:t>
        </w:r>
      </w:hyperlink>
      <w:r w:rsidRPr="00E019B3">
        <w:rPr>
          <w:bdr w:val="none" w:sz="0" w:space="0" w:color="auto" w:frame="1"/>
        </w:rPr>
        <w:t>, todos carecen de la escala de China. Además, todos enfrentan desafíos en otros aspectos relativos a la competitividad.</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Algunos importadores han descubierto que la cultura laboral fuera de China es muy diferente. Tomando Vietnam como ejemplo, “Xianghu”, un </w:t>
      </w:r>
      <w:hyperlink r:id="rId268" w:history="1">
        <w:r w:rsidRPr="00E019B3">
          <w:rPr>
            <w:rStyle w:val="Hipervnculo"/>
            <w:rFonts w:eastAsiaTheme="majorEastAsia"/>
            <w:bdr w:val="none" w:sz="0" w:space="0" w:color="auto" w:frame="1"/>
          </w:rPr>
          <w:t>fabricante</w:t>
        </w:r>
      </w:hyperlink>
      <w:r w:rsidRPr="00E019B3">
        <w:rPr>
          <w:bdr w:val="none" w:sz="0" w:space="0" w:color="auto" w:frame="1"/>
        </w:rPr>
        <w:t> chino, dijo que los trabajadores chinos son más hábiles y están dispuestos a trabajar horas extras para terminar los pedidos a tiempo. Pero en Vietnam, la gente no hará esto. </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En cuanto a la India, incluso con una gran población y un menor coste de mano de obra, el país está lejos de asumir el papel que actualmente tiene China.  Las infraestructuras deficientes, los altos costes de transacción y las viejas leyes laborales, han imposibilitado que las grandes industrias traspasan su producción a la India.</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Lo mismo le ha sucedido a Indonesia. El presidente indonesio, Joko Widodo, explicó que su país no ha logrado atraer a las fábricas de China, porque los inversores siguen desconfiando de las engorrosas normas locales, algo que estamos viendo que sigue vigente a día de hoy. </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Por otro lado, y no por ello menos importante, las nuevas tecnologías están cambiando la naturaleza de la producción y los suministros globales. Esto, provoca que, “convertirse en China”, sea aún más difícil para los países en desarrollo de Asia. </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La mayor plataforma de comercio electrónico en China, </w:t>
      </w:r>
      <w:hyperlink r:id="rId269" w:history="1">
        <w:r w:rsidRPr="00E019B3">
          <w:rPr>
            <w:rStyle w:val="Hipervnculo"/>
            <w:rFonts w:eastAsiaTheme="majorEastAsia"/>
            <w:bdr w:val="none" w:sz="0" w:space="0" w:color="auto" w:frame="1"/>
          </w:rPr>
          <w:t>Alibaba</w:t>
        </w:r>
      </w:hyperlink>
      <w:r w:rsidRPr="00E019B3">
        <w:rPr>
          <w:bdr w:val="none" w:sz="0" w:space="0" w:color="auto" w:frame="1"/>
        </w:rPr>
        <w:t>, ahora está protegiendo las propiedades intelectuales de las marcas mediante blockchain. Esto, provoca que la fabricación en China sea más segura que en otros países del sudeste asiático.</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China sigue siendo el destino para la mayoría de </w:t>
      </w:r>
      <w:hyperlink r:id="rId270" w:history="1">
        <w:r w:rsidRPr="00E019B3">
          <w:rPr>
            <w:rStyle w:val="Hipervnculo"/>
            <w:rFonts w:eastAsiaTheme="majorEastAsia"/>
            <w:bdr w:val="none" w:sz="0" w:space="0" w:color="auto" w:frame="1"/>
          </w:rPr>
          <w:t>proyectos de fabricación</w:t>
        </w:r>
      </w:hyperlink>
      <w:r w:rsidRPr="00E019B3">
        <w:rPr>
          <w:bdr w:val="none" w:sz="0" w:space="0" w:color="auto" w:frame="1"/>
        </w:rPr>
        <w:t>, al menos, para el futuro próximo. Esto, se debe principalmente a su gran número relativamente alto de trabajadores técnicos cualificados, bajos costes de producción y la infraestructura de entrega y cadena de suministro que actualmente existe.</w:t>
      </w:r>
    </w:p>
    <w:p w:rsidR="00737DC2" w:rsidRPr="00E019B3" w:rsidRDefault="00737DC2" w:rsidP="00737DC2">
      <w:pPr>
        <w:pStyle w:val="NormalWeb"/>
        <w:shd w:val="clear" w:color="auto" w:fill="FFFFFF"/>
        <w:spacing w:before="0" w:beforeAutospacing="0" w:after="0" w:afterAutospacing="0"/>
        <w:jc w:val="both"/>
        <w:textAlignment w:val="baseline"/>
      </w:pP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r w:rsidRPr="00E019B3">
        <w:rPr>
          <w:bdr w:val="none" w:sz="0" w:space="0" w:color="auto" w:frame="1"/>
        </w:rPr>
        <w:t>Sin embargo, aunque países como Vietnam, Tailandia, Camboya o India, aún no estén listos para competir directamente con China, podrán competir en algunas </w:t>
      </w:r>
      <w:hyperlink r:id="rId271" w:history="1">
        <w:r w:rsidRPr="00E019B3">
          <w:rPr>
            <w:rStyle w:val="Hipervnculo"/>
            <w:rFonts w:eastAsiaTheme="majorEastAsia"/>
            <w:bdr w:val="none" w:sz="0" w:space="0" w:color="auto" w:frame="1"/>
          </w:rPr>
          <w:t>categorías</w:t>
        </w:r>
      </w:hyperlink>
      <w:r w:rsidRPr="00E019B3">
        <w:rPr>
          <w:bdr w:val="none" w:sz="0" w:space="0" w:color="auto" w:frame="1"/>
        </w:rPr>
        <w:t> de fabricación.</w:t>
      </w:r>
    </w:p>
    <w:p w:rsidR="00737DC2" w:rsidRPr="00E019B3" w:rsidRDefault="00737DC2" w:rsidP="00737DC2">
      <w:pPr>
        <w:pStyle w:val="NormalWeb"/>
        <w:shd w:val="clear" w:color="auto" w:fill="FFFFFF"/>
        <w:spacing w:before="0" w:beforeAutospacing="0" w:after="0" w:afterAutospacing="0"/>
        <w:jc w:val="both"/>
        <w:textAlignment w:val="baseline"/>
        <w:rPr>
          <w:bdr w:val="none" w:sz="0" w:space="0" w:color="auto" w:frame="1"/>
        </w:rPr>
      </w:pPr>
    </w:p>
    <w:p w:rsidR="00737DC2" w:rsidRPr="00936B47"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lastRenderedPageBreak/>
        <w:t>Nota: “a verlas venir” (</w:t>
      </w:r>
      <w:r w:rsidRPr="00936B47">
        <w:rPr>
          <w:rFonts w:ascii="Times New Roman" w:hAnsi="Times New Roman" w:cs="Times New Roman"/>
          <w:b/>
          <w:color w:val="auto"/>
        </w:rPr>
        <w:t>India será en 2030 la segunda potencia económica del mundo</w:t>
      </w:r>
      <w:r>
        <w:rPr>
          <w:rFonts w:ascii="Times New Roman" w:hAnsi="Times New Roman" w:cs="Times New Roman"/>
          <w:b/>
          <w:color w:val="auto"/>
        </w:rPr>
        <w:t>)</w:t>
      </w:r>
    </w:p>
    <w:p w:rsidR="00737DC2" w:rsidRPr="00841382" w:rsidRDefault="00737DC2" w:rsidP="00737DC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En solamente 12 años el país asiático podría llegar a un PIB de 66,3 billones dólares y superar a China en población (Fuente: dirigentes digital.com - 11/1/20)</w:t>
      </w:r>
    </w:p>
    <w:p w:rsidR="00737DC2" w:rsidRPr="00841382" w:rsidRDefault="00737DC2" w:rsidP="00737DC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Todo el mundo habla de China, pero el gigante a temer quizás es otro: la India aspira a ser en 2030 segunda potencia mundial según su PIB, que podría alcanzar 46,3 billones de dólares. En 2020 llega, según datos del Banco Mundial, a 10,5 billones de dólares. Además, en 2030 se estima que India superará a China en población, sobre quien tiene una gran ventaja ya: es un país menos rígido a la hora de invertir. Esto se debe a que tampoco tiene todavía tantas empresas de alta gama y tan grandes como puede tener su vecino asiático. Salvo Tata y Air India casi no se conocen las empresas grandes del país. Por ello, actualmente el país importa mucho más de lo que exporta y atrae inversiones extranjeras importantes, sobre todo relacionado con temas medioambientales. Aunque la banca nacional de la India tenía que corregir varias veces sus expectativas a la baja, el país sigue creciendo más de un 6% anual. </w:t>
      </w:r>
    </w:p>
    <w:p w:rsidR="00737DC2" w:rsidRPr="00841382" w:rsidRDefault="00737DC2" w:rsidP="00737DC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Lo que da mucha esperanza a toda la región es la afinidad que tienen los indios en general a los temas de tecnología. En un informe de Deloitte se indica que 74% de los indios se sentirán seguros en coches de conducción autónoma, mientras en Japón son solamente el 59% y en Alemania 47%. El advenimiento de la era digital, y el gran número de gente joven con estudios que habla inglés con fluidez, está transformando gradualmente a la India en un importante destino para subcontratar servicios de atención al cliente y soporte técnico. Y la dependencia de energías fósiles hace que la India se haya convertido en un mercado interesante para inversiones en renovables y toda la innovación que conlleva. Se espera que la producción de energía verde ya suponga en 2030 el 40%.</w:t>
      </w:r>
    </w:p>
    <w:p w:rsidR="00737DC2" w:rsidRPr="00841382" w:rsidRDefault="00737DC2" w:rsidP="00737DC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Lo dicho, señores, la carrera de los pobres nunca se acaba… y los países avanzados (ahora en vías de subdesarrollo) entregan sus mercados a las “fábricas del mundo” (¿banderas de conveniencia?), perdiendo tejido industrial, empleos, ingresos, o beneficios sociales históricos, en una búsqueda inútil de la competitividad perdida, irremisiblemente perdida, por voluntad propia. Difícil encontrar necedad mayor, estupidez manifiesta, ceguera voluntaria, o miopía estratégica de una clase empresarial, encandilada por la avaricia, la codicia y el egoísmo, y de una clase política, connivente, corrupta, deshonesta, fatua, y arrogante. </w:t>
      </w:r>
    </w:p>
    <w:p w:rsidR="00737DC2" w:rsidRDefault="00737DC2" w:rsidP="00737DC2">
      <w:pPr>
        <w:pStyle w:val="Default"/>
        <w:spacing w:after="140"/>
        <w:jc w:val="both"/>
        <w:rPr>
          <w:rFonts w:ascii="Times New Roman" w:hAnsi="Times New Roman" w:cs="Times New Roman"/>
          <w:b/>
          <w:color w:val="auto"/>
        </w:rPr>
      </w:pPr>
      <w:proofErr w:type="gramStart"/>
      <w:r w:rsidRPr="00841382">
        <w:rPr>
          <w:rFonts w:ascii="Times New Roman" w:hAnsi="Times New Roman" w:cs="Times New Roman"/>
          <w:b/>
          <w:color w:val="auto"/>
        </w:rPr>
        <w:t>¿</w:t>
      </w:r>
      <w:proofErr w:type="gramEnd"/>
      <w:r w:rsidRPr="00841382">
        <w:rPr>
          <w:rFonts w:ascii="Times New Roman" w:hAnsi="Times New Roman" w:cs="Times New Roman"/>
          <w:b/>
          <w:color w:val="auto"/>
        </w:rPr>
        <w:t>Para mantener una economí</w:t>
      </w:r>
      <w:r>
        <w:rPr>
          <w:rFonts w:ascii="Times New Roman" w:hAnsi="Times New Roman" w:cs="Times New Roman"/>
          <w:b/>
          <w:color w:val="auto"/>
        </w:rPr>
        <w:t>a de casino…</w:t>
      </w:r>
      <w:r w:rsidRPr="00841382">
        <w:rPr>
          <w:rFonts w:ascii="Times New Roman" w:hAnsi="Times New Roman" w:cs="Times New Roman"/>
          <w:b/>
          <w:color w:val="auto"/>
        </w:rPr>
        <w:t xml:space="preserve"> contra toda lógica, que potencie (dope), la exubera</w:t>
      </w:r>
      <w:r>
        <w:rPr>
          <w:rFonts w:ascii="Times New Roman" w:hAnsi="Times New Roman" w:cs="Times New Roman"/>
          <w:b/>
          <w:color w:val="auto"/>
        </w:rPr>
        <w:t>ncia irracional de los mercados…</w:t>
      </w:r>
      <w:r w:rsidRPr="00841382">
        <w:rPr>
          <w:rFonts w:ascii="Times New Roman" w:hAnsi="Times New Roman" w:cs="Times New Roman"/>
          <w:b/>
          <w:color w:val="auto"/>
        </w:rPr>
        <w:t xml:space="preserve"> han alentado, tolerado, o justificado, un proceso de globalización económica</w:t>
      </w:r>
      <w:r>
        <w:rPr>
          <w:rFonts w:ascii="Times New Roman" w:hAnsi="Times New Roman" w:cs="Times New Roman"/>
          <w:b/>
          <w:color w:val="auto"/>
        </w:rPr>
        <w:t xml:space="preserve">… </w:t>
      </w:r>
      <w:r w:rsidRPr="00841382">
        <w:rPr>
          <w:rFonts w:ascii="Times New Roman" w:hAnsi="Times New Roman" w:cs="Times New Roman"/>
          <w:b/>
          <w:color w:val="auto"/>
        </w:rPr>
        <w:t>que han hecho de China la “f</w:t>
      </w:r>
      <w:r>
        <w:rPr>
          <w:rFonts w:ascii="Times New Roman" w:hAnsi="Times New Roman" w:cs="Times New Roman"/>
          <w:b/>
          <w:color w:val="auto"/>
        </w:rPr>
        <w:t>ábrica del mundo” y, casi, la Primera</w:t>
      </w:r>
      <w:r w:rsidRPr="00841382">
        <w:rPr>
          <w:rFonts w:ascii="Times New Roman" w:hAnsi="Times New Roman" w:cs="Times New Roman"/>
          <w:b/>
          <w:color w:val="auto"/>
        </w:rPr>
        <w:t xml:space="preserve"> Potencia Económica.</w:t>
      </w:r>
    </w:p>
    <w:p w:rsidR="00737DC2"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t xml:space="preserve">Y lo que queda por venir: India, </w:t>
      </w:r>
      <w:r w:rsidRPr="00841382">
        <w:rPr>
          <w:rFonts w:ascii="Times New Roman" w:hAnsi="Times New Roman" w:cs="Times New Roman"/>
          <w:b/>
          <w:color w:val="auto"/>
        </w:rPr>
        <w:t xml:space="preserve">Vietnam, Indonesia, </w:t>
      </w:r>
      <w:r>
        <w:rPr>
          <w:rFonts w:ascii="Times New Roman" w:hAnsi="Times New Roman" w:cs="Times New Roman"/>
          <w:b/>
          <w:color w:val="auto"/>
        </w:rPr>
        <w:t>Sudáfrica, Turquía, Egipto, México… hasta que lleguen los países africanos (y la que rondaré morena).</w:t>
      </w:r>
    </w:p>
    <w:p w:rsidR="00737DC2" w:rsidRPr="00CD5E2D"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t>A continuación les presento u</w:t>
      </w:r>
      <w:r w:rsidRPr="009525DE">
        <w:rPr>
          <w:rFonts w:ascii="Times New Roman" w:hAnsi="Times New Roman" w:cs="Times New Roman"/>
          <w:b/>
          <w:color w:val="auto"/>
        </w:rPr>
        <w:t xml:space="preserve">n </w:t>
      </w:r>
      <w:r>
        <w:rPr>
          <w:rFonts w:ascii="Times New Roman" w:hAnsi="Times New Roman" w:cs="Times New Roman"/>
          <w:b/>
          <w:color w:val="auto"/>
        </w:rPr>
        <w:t>“</w:t>
      </w:r>
      <w:r w:rsidRPr="009525DE">
        <w:rPr>
          <w:rFonts w:ascii="Times New Roman" w:hAnsi="Times New Roman" w:cs="Times New Roman"/>
          <w:b/>
          <w:color w:val="auto"/>
        </w:rPr>
        <w:t>quiz show</w:t>
      </w:r>
      <w:r>
        <w:rPr>
          <w:rFonts w:ascii="Times New Roman" w:hAnsi="Times New Roman" w:cs="Times New Roman"/>
          <w:b/>
          <w:color w:val="auto"/>
        </w:rPr>
        <w:t>” sobre</w:t>
      </w:r>
      <w:r w:rsidRPr="009525DE">
        <w:rPr>
          <w:rFonts w:ascii="Times New Roman" w:hAnsi="Times New Roman" w:cs="Times New Roman"/>
          <w:b/>
          <w:color w:val="auto"/>
        </w:rPr>
        <w:t xml:space="preserve"> la globali</w:t>
      </w:r>
      <w:r>
        <w:rPr>
          <w:rFonts w:ascii="Times New Roman" w:hAnsi="Times New Roman" w:cs="Times New Roman"/>
          <w:b/>
          <w:color w:val="auto"/>
        </w:rPr>
        <w:t>zación: Pero, m</w:t>
      </w:r>
      <w:r w:rsidRPr="007C7413">
        <w:rPr>
          <w:rFonts w:ascii="Times New Roman" w:hAnsi="Times New Roman" w:cs="Times New Roman"/>
          <w:b/>
          <w:color w:val="auto"/>
        </w:rPr>
        <w:t>antener esa economía de casino</w:t>
      </w:r>
      <w:r>
        <w:rPr>
          <w:rFonts w:ascii="Times New Roman" w:hAnsi="Times New Roman" w:cs="Times New Roman"/>
          <w:b/>
          <w:color w:val="auto"/>
        </w:rPr>
        <w:t xml:space="preserve">… </w:t>
      </w:r>
      <w:r w:rsidRPr="007C7413">
        <w:rPr>
          <w:rFonts w:ascii="Times New Roman" w:hAnsi="Times New Roman" w:cs="Times New Roman"/>
          <w:b/>
          <w:color w:val="auto"/>
        </w:rPr>
        <w:t>tie</w:t>
      </w:r>
      <w:r>
        <w:rPr>
          <w:rFonts w:ascii="Times New Roman" w:hAnsi="Times New Roman" w:cs="Times New Roman"/>
          <w:b/>
          <w:color w:val="auto"/>
        </w:rPr>
        <w:t xml:space="preserve">ne un costo social insoportable en Occidente… como muestran las </w:t>
      </w:r>
      <w:r w:rsidRPr="00CD5E2D">
        <w:rPr>
          <w:rFonts w:ascii="Times New Roman" w:hAnsi="Times New Roman" w:cs="Times New Roman"/>
          <w:b/>
          <w:color w:val="auto"/>
        </w:rPr>
        <w:t>fotos de las colas del hambre, en algunos países avanzados (ahora, en vías de subdesarrollo)</w:t>
      </w:r>
      <w:r w:rsidRPr="00CD5E2D">
        <w:rPr>
          <w:rFonts w:ascii="Times New Roman" w:hAnsi="Times New Roman" w:cs="Times New Roman"/>
          <w:b/>
          <w:color w:val="auto"/>
        </w:rPr>
        <w:tab/>
      </w:r>
    </w:p>
    <w:p w:rsidR="00737DC2"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t>Pasen y vean… (</w:t>
      </w:r>
      <w:proofErr w:type="gramStart"/>
      <w:r>
        <w:rPr>
          <w:rFonts w:ascii="Times New Roman" w:hAnsi="Times New Roman" w:cs="Times New Roman"/>
          <w:b/>
          <w:color w:val="auto"/>
        </w:rPr>
        <w:t>una</w:t>
      </w:r>
      <w:proofErr w:type="gramEnd"/>
      <w:r>
        <w:rPr>
          <w:rFonts w:ascii="Times New Roman" w:hAnsi="Times New Roman" w:cs="Times New Roman"/>
          <w:b/>
          <w:color w:val="auto"/>
        </w:rPr>
        <w:t xml:space="preserve"> imagen vale más que mil palabras)</w:t>
      </w:r>
    </w:p>
    <w:p w:rsidR="00737DC2" w:rsidRDefault="00737DC2" w:rsidP="00737DC2">
      <w:pPr>
        <w:pStyle w:val="Default"/>
        <w:spacing w:after="140"/>
        <w:jc w:val="both"/>
        <w:rPr>
          <w:rFonts w:ascii="Times New Roman" w:hAnsi="Times New Roman" w:cs="Times New Roman"/>
          <w:b/>
          <w:color w:val="auto"/>
        </w:rPr>
      </w:pPr>
    </w:p>
    <w:p w:rsidR="00737DC2" w:rsidRDefault="00737DC2" w:rsidP="00737DC2">
      <w:pPr>
        <w:pStyle w:val="Default"/>
        <w:spacing w:after="140"/>
        <w:jc w:val="both"/>
        <w:rPr>
          <w:rFonts w:ascii="Times New Roman" w:hAnsi="Times New Roman" w:cs="Times New Roman"/>
          <w:b/>
          <w:color w:val="auto"/>
        </w:rPr>
      </w:pPr>
    </w:p>
    <w:p w:rsidR="00737DC2" w:rsidRDefault="00737DC2" w:rsidP="00737DC2">
      <w:pPr>
        <w:pStyle w:val="Default"/>
        <w:spacing w:after="140"/>
        <w:jc w:val="both"/>
        <w:rPr>
          <w:rFonts w:ascii="Times New Roman" w:hAnsi="Times New Roman" w:cs="Times New Roman"/>
          <w:b/>
          <w:color w:val="auto"/>
        </w:rPr>
      </w:pPr>
      <w:r w:rsidRPr="009525DE">
        <w:rPr>
          <w:rFonts w:ascii="Times New Roman" w:hAnsi="Times New Roman" w:cs="Times New Roman"/>
          <w:b/>
          <w:color w:val="auto"/>
        </w:rPr>
        <w:lastRenderedPageBreak/>
        <w:t xml:space="preserve">- Un </w:t>
      </w:r>
      <w:r>
        <w:rPr>
          <w:rFonts w:ascii="Times New Roman" w:hAnsi="Times New Roman" w:cs="Times New Roman"/>
          <w:b/>
          <w:color w:val="auto"/>
        </w:rPr>
        <w:t>“</w:t>
      </w:r>
      <w:r w:rsidRPr="009525DE">
        <w:rPr>
          <w:rFonts w:ascii="Times New Roman" w:hAnsi="Times New Roman" w:cs="Times New Roman"/>
          <w:b/>
          <w:color w:val="auto"/>
        </w:rPr>
        <w:t>quiz show</w:t>
      </w:r>
      <w:r>
        <w:rPr>
          <w:rFonts w:ascii="Times New Roman" w:hAnsi="Times New Roman" w:cs="Times New Roman"/>
          <w:b/>
          <w:color w:val="auto"/>
        </w:rPr>
        <w:t>” sobre</w:t>
      </w:r>
      <w:r w:rsidRPr="009525DE">
        <w:rPr>
          <w:rFonts w:ascii="Times New Roman" w:hAnsi="Times New Roman" w:cs="Times New Roman"/>
          <w:b/>
          <w:color w:val="auto"/>
        </w:rPr>
        <w:t xml:space="preserve"> la globali</w:t>
      </w:r>
      <w:r>
        <w:rPr>
          <w:rFonts w:ascii="Times New Roman" w:hAnsi="Times New Roman" w:cs="Times New Roman"/>
          <w:b/>
          <w:color w:val="auto"/>
        </w:rPr>
        <w:t>zación (preguntas desde el spea</w:t>
      </w:r>
      <w:r w:rsidRPr="009525DE">
        <w:rPr>
          <w:rFonts w:ascii="Times New Roman" w:hAnsi="Times New Roman" w:cs="Times New Roman"/>
          <w:b/>
          <w:color w:val="auto"/>
        </w:rPr>
        <w:t>ker</w:t>
      </w:r>
      <w:r>
        <w:rPr>
          <w:rFonts w:ascii="Times New Roman" w:hAnsi="Times New Roman" w:cs="Times New Roman"/>
          <w:b/>
          <w:color w:val="auto"/>
        </w:rPr>
        <w:t>s’corner para WSJ)</w:t>
      </w:r>
    </w:p>
    <w:p w:rsidR="00737DC2" w:rsidRPr="00F51E8D" w:rsidRDefault="00737DC2" w:rsidP="00737DC2">
      <w:pPr>
        <w:pStyle w:val="Default"/>
        <w:spacing w:after="140"/>
        <w:jc w:val="both"/>
        <w:rPr>
          <w:rFonts w:ascii="Times New Roman" w:hAnsi="Times New Roman" w:cs="Times New Roman"/>
          <w:b/>
          <w:color w:val="auto"/>
        </w:rPr>
      </w:pPr>
      <w:proofErr w:type="gramStart"/>
      <w:r>
        <w:rPr>
          <w:rFonts w:ascii="Times New Roman" w:hAnsi="Times New Roman" w:cs="Times New Roman"/>
          <w:b/>
          <w:color w:val="auto"/>
        </w:rPr>
        <w:t>¿</w:t>
      </w:r>
      <w:proofErr w:type="gramEnd"/>
      <w:r>
        <w:rPr>
          <w:rFonts w:ascii="Times New Roman" w:hAnsi="Times New Roman" w:cs="Times New Roman"/>
          <w:b/>
          <w:color w:val="auto"/>
        </w:rPr>
        <w:t xml:space="preserve">Para </w:t>
      </w:r>
      <w:r w:rsidRPr="00F51E8D">
        <w:rPr>
          <w:rFonts w:ascii="Times New Roman" w:hAnsi="Times New Roman" w:cs="Times New Roman"/>
          <w:b/>
          <w:color w:val="auto"/>
        </w:rPr>
        <w:t>mantener una economía de casino</w:t>
      </w:r>
      <w:r>
        <w:rPr>
          <w:rFonts w:ascii="Times New Roman" w:hAnsi="Times New Roman" w:cs="Times New Roman"/>
          <w:b/>
          <w:color w:val="auto"/>
        </w:rPr>
        <w:t>,</w:t>
      </w:r>
      <w:r w:rsidRPr="00F51E8D">
        <w:rPr>
          <w:rFonts w:ascii="Times New Roman" w:hAnsi="Times New Roman" w:cs="Times New Roman"/>
          <w:b/>
          <w:color w:val="auto"/>
        </w:rPr>
        <w:t xml:space="preserve"> contra toda lógica…</w:t>
      </w:r>
    </w:p>
    <w:p w:rsidR="00737DC2" w:rsidRDefault="00737DC2" w:rsidP="00737DC2">
      <w:r w:rsidRPr="00E63817">
        <w:rPr>
          <w:noProof/>
          <w:lang w:val="en-GB" w:eastAsia="zh-CN"/>
        </w:rPr>
        <w:drawing>
          <wp:inline distT="0" distB="0" distL="0" distR="0">
            <wp:extent cx="5731510" cy="2608572"/>
            <wp:effectExtent l="0" t="0" r="2540" b="1905"/>
            <wp:docPr id="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1510" cy="2608572"/>
                    </a:xfrm>
                    <a:prstGeom prst="rect">
                      <a:avLst/>
                    </a:prstGeom>
                  </pic:spPr>
                </pic:pic>
              </a:graphicData>
            </a:graphic>
          </wp:inline>
        </w:drawing>
      </w:r>
    </w:p>
    <w:p w:rsidR="00737DC2" w:rsidRPr="00F51E8D" w:rsidRDefault="00737DC2" w:rsidP="00737DC2">
      <w:pPr>
        <w:pStyle w:val="Default"/>
        <w:spacing w:after="140"/>
        <w:jc w:val="both"/>
        <w:rPr>
          <w:rFonts w:ascii="Times New Roman" w:hAnsi="Times New Roman" w:cs="Times New Roman"/>
          <w:b/>
          <w:color w:val="FF0000"/>
        </w:rPr>
      </w:pPr>
      <w:r>
        <w:rPr>
          <w:rFonts w:ascii="Times New Roman" w:hAnsi="Times New Roman" w:cs="Times New Roman"/>
          <w:b/>
          <w:color w:val="auto"/>
        </w:rPr>
        <w:t>… que potencie (dope), la exuberancia irracional de los mercados…</w:t>
      </w:r>
    </w:p>
    <w:p w:rsidR="00737DC2" w:rsidRDefault="00737DC2" w:rsidP="00737DC2">
      <w:r w:rsidRPr="00E63817">
        <w:rPr>
          <w:noProof/>
          <w:lang w:val="en-GB" w:eastAsia="zh-CN"/>
        </w:rPr>
        <w:drawing>
          <wp:inline distT="0" distB="0" distL="0" distR="0">
            <wp:extent cx="5731510" cy="2427931"/>
            <wp:effectExtent l="0" t="0" r="2540" b="0"/>
            <wp:docPr id="3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31510" cy="2427931"/>
                    </a:xfrm>
                    <a:prstGeom prst="rect">
                      <a:avLst/>
                    </a:prstGeom>
                  </pic:spPr>
                </pic:pic>
              </a:graphicData>
            </a:graphic>
          </wp:inline>
        </w:drawing>
      </w:r>
    </w:p>
    <w:p w:rsidR="00737DC2" w:rsidRPr="00974058" w:rsidRDefault="00737DC2" w:rsidP="00737DC2">
      <w:pPr>
        <w:pStyle w:val="Default"/>
        <w:spacing w:after="140"/>
        <w:jc w:val="both"/>
        <w:rPr>
          <w:rFonts w:ascii="Times New Roman" w:hAnsi="Times New Roman" w:cs="Times New Roman"/>
          <w:b/>
          <w:color w:val="auto"/>
        </w:rPr>
      </w:pPr>
      <w:r w:rsidRPr="00974058">
        <w:rPr>
          <w:rFonts w:ascii="Times New Roman" w:hAnsi="Times New Roman" w:cs="Times New Roman"/>
          <w:b/>
          <w:color w:val="auto"/>
        </w:rPr>
        <w:t>… han alentado, tolerado, o justificado</w:t>
      </w:r>
      <w:r>
        <w:rPr>
          <w:rFonts w:ascii="Times New Roman" w:hAnsi="Times New Roman" w:cs="Times New Roman"/>
          <w:b/>
          <w:color w:val="auto"/>
        </w:rPr>
        <w:t>,</w:t>
      </w:r>
      <w:r w:rsidRPr="00974058">
        <w:rPr>
          <w:rFonts w:ascii="Times New Roman" w:hAnsi="Times New Roman" w:cs="Times New Roman"/>
          <w:b/>
          <w:color w:val="auto"/>
        </w:rPr>
        <w:t xml:space="preserve"> un proceso de globalización económica</w:t>
      </w:r>
      <w:r>
        <w:rPr>
          <w:rFonts w:ascii="Times New Roman" w:hAnsi="Times New Roman" w:cs="Times New Roman"/>
          <w:b/>
          <w:color w:val="auto"/>
        </w:rPr>
        <w:t>…</w:t>
      </w:r>
    </w:p>
    <w:p w:rsidR="00737DC2" w:rsidRDefault="00737DC2" w:rsidP="00737DC2">
      <w:r w:rsidRPr="00E63817">
        <w:rPr>
          <w:noProof/>
          <w:lang w:val="en-GB" w:eastAsia="zh-CN"/>
        </w:rPr>
        <w:drawing>
          <wp:inline distT="0" distB="0" distL="0" distR="0">
            <wp:extent cx="5731510" cy="2429156"/>
            <wp:effectExtent l="0" t="0" r="2540" b="9525"/>
            <wp:docPr id="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2429156"/>
                    </a:xfrm>
                    <a:prstGeom prst="rect">
                      <a:avLst/>
                    </a:prstGeom>
                  </pic:spPr>
                </pic:pic>
              </a:graphicData>
            </a:graphic>
          </wp:inline>
        </w:drawing>
      </w:r>
    </w:p>
    <w:p w:rsidR="00737DC2" w:rsidRPr="00974058" w:rsidRDefault="00737DC2" w:rsidP="00737DC2">
      <w:pPr>
        <w:pStyle w:val="Default"/>
        <w:spacing w:after="140"/>
        <w:jc w:val="both"/>
        <w:rPr>
          <w:rFonts w:ascii="Times New Roman" w:hAnsi="Times New Roman" w:cs="Times New Roman"/>
          <w:b/>
          <w:color w:val="auto"/>
        </w:rPr>
      </w:pPr>
      <w:r w:rsidRPr="00974058">
        <w:rPr>
          <w:rFonts w:ascii="Times New Roman" w:hAnsi="Times New Roman" w:cs="Times New Roman"/>
          <w:b/>
          <w:color w:val="auto"/>
        </w:rPr>
        <w:lastRenderedPageBreak/>
        <w:t>…</w:t>
      </w:r>
      <w:r>
        <w:rPr>
          <w:rFonts w:ascii="Times New Roman" w:hAnsi="Times New Roman" w:cs="Times New Roman"/>
          <w:b/>
          <w:color w:val="auto"/>
        </w:rPr>
        <w:t xml:space="preserve"> que han hecho de China </w:t>
      </w:r>
      <w:r w:rsidRPr="00974058">
        <w:rPr>
          <w:rFonts w:ascii="Times New Roman" w:hAnsi="Times New Roman" w:cs="Times New Roman"/>
          <w:b/>
          <w:color w:val="auto"/>
        </w:rPr>
        <w:t xml:space="preserve">la </w:t>
      </w:r>
      <w:r>
        <w:rPr>
          <w:rFonts w:ascii="Times New Roman" w:hAnsi="Times New Roman" w:cs="Times New Roman"/>
          <w:b/>
          <w:color w:val="auto"/>
        </w:rPr>
        <w:t>“</w:t>
      </w:r>
      <w:r w:rsidRPr="00974058">
        <w:rPr>
          <w:rFonts w:ascii="Times New Roman" w:hAnsi="Times New Roman" w:cs="Times New Roman"/>
          <w:b/>
          <w:color w:val="auto"/>
        </w:rPr>
        <w:t>fábrica del mundo</w:t>
      </w:r>
      <w:r>
        <w:rPr>
          <w:rFonts w:ascii="Times New Roman" w:hAnsi="Times New Roman" w:cs="Times New Roman"/>
          <w:b/>
          <w:color w:val="auto"/>
        </w:rPr>
        <w:t>” y, casi, la 1ª Potencia Económica</w:t>
      </w:r>
    </w:p>
    <w:p w:rsidR="00737DC2" w:rsidRDefault="00737DC2" w:rsidP="00737DC2">
      <w:r w:rsidRPr="00E63817">
        <w:rPr>
          <w:noProof/>
          <w:lang w:val="en-GB" w:eastAsia="zh-CN"/>
        </w:rPr>
        <w:drawing>
          <wp:inline distT="0" distB="0" distL="0" distR="0">
            <wp:extent cx="5734050" cy="2787650"/>
            <wp:effectExtent l="0" t="0" r="0" b="0"/>
            <wp:docPr id="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2786415"/>
                    </a:xfrm>
                    <a:prstGeom prst="rect">
                      <a:avLst/>
                    </a:prstGeom>
                  </pic:spPr>
                </pic:pic>
              </a:graphicData>
            </a:graphic>
          </wp:inline>
        </w:drawing>
      </w:r>
    </w:p>
    <w:p w:rsidR="00737DC2" w:rsidRDefault="00737DC2" w:rsidP="00737DC2">
      <w:r w:rsidRPr="00E63817">
        <w:rPr>
          <w:noProof/>
          <w:lang w:val="en-GB" w:eastAsia="zh-CN"/>
        </w:rPr>
        <w:drawing>
          <wp:inline distT="0" distB="0" distL="0" distR="0">
            <wp:extent cx="5731510" cy="2756758"/>
            <wp:effectExtent l="0" t="0" r="2540" b="5715"/>
            <wp:docPr id="1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2756758"/>
                    </a:xfrm>
                    <a:prstGeom prst="rect">
                      <a:avLst/>
                    </a:prstGeom>
                  </pic:spPr>
                </pic:pic>
              </a:graphicData>
            </a:graphic>
          </wp:inline>
        </w:drawing>
      </w:r>
    </w:p>
    <w:p w:rsidR="00737DC2" w:rsidRDefault="00737DC2" w:rsidP="00737DC2">
      <w:r w:rsidRPr="00E63817">
        <w:rPr>
          <w:noProof/>
          <w:lang w:val="en-GB" w:eastAsia="zh-CN"/>
        </w:rPr>
        <w:drawing>
          <wp:inline distT="0" distB="0" distL="0" distR="0">
            <wp:extent cx="5731510" cy="2693075"/>
            <wp:effectExtent l="0" t="0" r="2540" b="0"/>
            <wp:docPr id="12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2693075"/>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lastRenderedPageBreak/>
        <w:t>Pero, m</w:t>
      </w:r>
      <w:r w:rsidRPr="007C7413">
        <w:rPr>
          <w:rFonts w:ascii="Times New Roman" w:hAnsi="Times New Roman" w:cs="Times New Roman"/>
          <w:b/>
          <w:color w:val="auto"/>
        </w:rPr>
        <w:t>antener esa economía de casino</w:t>
      </w:r>
      <w:r>
        <w:rPr>
          <w:rFonts w:ascii="Times New Roman" w:hAnsi="Times New Roman" w:cs="Times New Roman"/>
          <w:b/>
          <w:color w:val="auto"/>
        </w:rPr>
        <w:t xml:space="preserve">, </w:t>
      </w:r>
      <w:r w:rsidRPr="007C7413">
        <w:rPr>
          <w:rFonts w:ascii="Times New Roman" w:hAnsi="Times New Roman" w:cs="Times New Roman"/>
          <w:b/>
          <w:color w:val="auto"/>
        </w:rPr>
        <w:t>tie</w:t>
      </w:r>
      <w:r>
        <w:rPr>
          <w:rFonts w:ascii="Times New Roman" w:hAnsi="Times New Roman" w:cs="Times New Roman"/>
          <w:b/>
          <w:color w:val="auto"/>
        </w:rPr>
        <w:t>ne un costo social insoportable en Occidente</w:t>
      </w:r>
    </w:p>
    <w:p w:rsidR="00737DC2" w:rsidRDefault="00737DC2" w:rsidP="00737DC2">
      <w:pPr>
        <w:pStyle w:val="Default"/>
        <w:tabs>
          <w:tab w:val="right" w:pos="9026"/>
        </w:tabs>
        <w:spacing w:after="140"/>
        <w:jc w:val="both"/>
        <w:rPr>
          <w:rFonts w:ascii="Times New Roman" w:hAnsi="Times New Roman" w:cs="Times New Roman"/>
          <w:color w:val="auto"/>
        </w:rPr>
      </w:pPr>
      <w:r>
        <w:rPr>
          <w:rFonts w:ascii="Times New Roman" w:hAnsi="Times New Roman" w:cs="Times New Roman"/>
          <w:color w:val="auto"/>
        </w:rPr>
        <w:t>Fotos de las colas del hambre, en algunos países avanzados (ahora, en vías de subdesarrollo)</w:t>
      </w:r>
      <w:r>
        <w:rPr>
          <w:rFonts w:ascii="Times New Roman" w:hAnsi="Times New Roman" w:cs="Times New Roman"/>
          <w:color w:val="auto"/>
        </w:rPr>
        <w:tab/>
      </w:r>
    </w:p>
    <w:p w:rsidR="00737DC2" w:rsidRDefault="00737DC2" w:rsidP="00737DC2">
      <w:r w:rsidRPr="00E63817">
        <w:rPr>
          <w:noProof/>
          <w:lang w:val="en-GB" w:eastAsia="zh-CN"/>
        </w:rPr>
        <w:drawing>
          <wp:inline distT="0" distB="0" distL="0" distR="0">
            <wp:extent cx="5731510" cy="3465849"/>
            <wp:effectExtent l="0" t="0" r="2540" b="1270"/>
            <wp:docPr id="12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3465849"/>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EEUU (abril 2020)</w:t>
      </w:r>
    </w:p>
    <w:p w:rsidR="00737DC2" w:rsidRDefault="00737DC2" w:rsidP="00737DC2">
      <w:r w:rsidRPr="00E63817">
        <w:rPr>
          <w:noProof/>
          <w:lang w:val="en-GB" w:eastAsia="zh-CN"/>
        </w:rPr>
        <w:drawing>
          <wp:inline distT="0" distB="0" distL="0" distR="0">
            <wp:extent cx="5731510" cy="3348892"/>
            <wp:effectExtent l="0" t="0" r="2540" b="4445"/>
            <wp:docPr id="12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3348892"/>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 pobreza en EEUU (19/9/21)</w:t>
      </w:r>
    </w:p>
    <w:p w:rsidR="00737DC2" w:rsidRDefault="00737DC2" w:rsidP="00737DC2"/>
    <w:p w:rsidR="00737DC2" w:rsidRDefault="00737DC2" w:rsidP="00737DC2"/>
    <w:p w:rsidR="00737DC2" w:rsidRDefault="00737DC2" w:rsidP="00737DC2">
      <w:r w:rsidRPr="00272985">
        <w:rPr>
          <w:noProof/>
          <w:lang w:val="en-GB" w:eastAsia="zh-CN"/>
        </w:rPr>
        <w:lastRenderedPageBreak/>
        <w:drawing>
          <wp:inline distT="0" distB="0" distL="0" distR="0">
            <wp:extent cx="5731510" cy="3857135"/>
            <wp:effectExtent l="0" t="0" r="2540" b="0"/>
            <wp:docPr id="14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3857135"/>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shd w:val="clear" w:color="auto" w:fill="FFFFFF"/>
        </w:rPr>
      </w:pPr>
      <w:r w:rsidRPr="008532CB">
        <w:rPr>
          <w:rFonts w:ascii="Times New Roman" w:hAnsi="Times New Roman" w:cs="Times New Roman"/>
          <w:color w:val="auto"/>
          <w:shd w:val="clear" w:color="auto" w:fill="FFFFFF"/>
        </w:rPr>
        <w:t>Cola en un banco de alimentos para recibir el paquete semanal en Santa Ana (California). (24/4/22)</w:t>
      </w:r>
    </w:p>
    <w:p w:rsidR="00737DC2" w:rsidRDefault="00737DC2" w:rsidP="00737DC2">
      <w:r w:rsidRPr="00272985">
        <w:rPr>
          <w:noProof/>
          <w:lang w:val="en-GB" w:eastAsia="zh-CN"/>
        </w:rPr>
        <w:drawing>
          <wp:inline distT="0" distB="0" distL="0" distR="0">
            <wp:extent cx="5731510" cy="3516673"/>
            <wp:effectExtent l="0" t="0" r="2540" b="7620"/>
            <wp:docPr id="14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3516673"/>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Alemania (19/3/18)</w:t>
      </w:r>
    </w:p>
    <w:p w:rsidR="00737DC2" w:rsidRDefault="00737DC2" w:rsidP="00737DC2"/>
    <w:p w:rsidR="00737DC2" w:rsidRDefault="00737DC2" w:rsidP="00737DC2">
      <w:r w:rsidRPr="00272985">
        <w:rPr>
          <w:noProof/>
          <w:lang w:val="en-GB" w:eastAsia="zh-CN"/>
        </w:rPr>
        <w:lastRenderedPageBreak/>
        <w:drawing>
          <wp:inline distT="0" distB="0" distL="0" distR="0">
            <wp:extent cx="5731510" cy="3812434"/>
            <wp:effectExtent l="0" t="0" r="2540" b="0"/>
            <wp:docPr id="14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3812434"/>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 pobreza en Alemania (1/11/18)</w:t>
      </w:r>
    </w:p>
    <w:p w:rsidR="00737DC2" w:rsidRDefault="00737DC2" w:rsidP="00737DC2">
      <w:r w:rsidRPr="00272985">
        <w:rPr>
          <w:noProof/>
          <w:lang w:val="en-GB" w:eastAsia="zh-CN"/>
        </w:rPr>
        <w:drawing>
          <wp:inline distT="0" distB="0" distL="0" distR="0">
            <wp:extent cx="5731510" cy="3679556"/>
            <wp:effectExtent l="0" t="0" r="2540" b="0"/>
            <wp:docPr id="14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3679556"/>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Alemania (29/6/22)</w:t>
      </w:r>
    </w:p>
    <w:p w:rsidR="00737DC2" w:rsidRDefault="00737DC2" w:rsidP="00737DC2"/>
    <w:p w:rsidR="00737DC2" w:rsidRDefault="00737DC2" w:rsidP="00737DC2"/>
    <w:p w:rsidR="00737DC2" w:rsidRDefault="00737DC2" w:rsidP="00737DC2">
      <w:r w:rsidRPr="00272985">
        <w:rPr>
          <w:noProof/>
          <w:lang w:val="en-GB" w:eastAsia="zh-CN"/>
        </w:rPr>
        <w:lastRenderedPageBreak/>
        <w:drawing>
          <wp:inline distT="0" distB="0" distL="0" distR="0">
            <wp:extent cx="5731510" cy="3346443"/>
            <wp:effectExtent l="0" t="0" r="2540" b="6985"/>
            <wp:docPr id="14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3346443"/>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 pobreza en Reino Unido (27/8/19)</w:t>
      </w:r>
    </w:p>
    <w:p w:rsidR="00737DC2" w:rsidRDefault="00737DC2" w:rsidP="00737DC2">
      <w:r w:rsidRPr="00272985">
        <w:rPr>
          <w:noProof/>
          <w:lang w:val="en-GB" w:eastAsia="zh-CN"/>
        </w:rPr>
        <w:drawing>
          <wp:inline distT="0" distB="0" distL="0" distR="0">
            <wp:extent cx="5731510" cy="3589542"/>
            <wp:effectExtent l="0" t="0" r="2540" b="0"/>
            <wp:docPr id="15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731510" cy="3589542"/>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Londres (18/9/22)</w:t>
      </w:r>
    </w:p>
    <w:p w:rsidR="00737DC2" w:rsidRDefault="00737DC2" w:rsidP="00737DC2"/>
    <w:p w:rsidR="00737DC2" w:rsidRDefault="00737DC2" w:rsidP="00737DC2"/>
    <w:p w:rsidR="00737DC2" w:rsidRDefault="00737DC2" w:rsidP="00737DC2"/>
    <w:p w:rsidR="00737DC2" w:rsidRDefault="00737DC2" w:rsidP="00737DC2">
      <w:r w:rsidRPr="00272985">
        <w:rPr>
          <w:noProof/>
          <w:lang w:val="en-GB" w:eastAsia="zh-CN"/>
        </w:rPr>
        <w:lastRenderedPageBreak/>
        <w:drawing>
          <wp:inline distT="0" distB="0" distL="0" distR="0">
            <wp:extent cx="5731510" cy="3861421"/>
            <wp:effectExtent l="0" t="0" r="2540" b="6350"/>
            <wp:docPr id="15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31510" cy="3861421"/>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Milán (28/3/21)</w:t>
      </w:r>
    </w:p>
    <w:p w:rsidR="00737DC2" w:rsidRDefault="00737DC2" w:rsidP="00737DC2">
      <w:r w:rsidRPr="00272985">
        <w:rPr>
          <w:noProof/>
          <w:lang w:val="en-GB" w:eastAsia="zh-CN"/>
        </w:rPr>
        <w:drawing>
          <wp:inline distT="0" distB="0" distL="0" distR="0">
            <wp:extent cx="5731510" cy="3418699"/>
            <wp:effectExtent l="0" t="0" r="2540" b="0"/>
            <wp:docPr id="16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3418699"/>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Milán (18/9/22)</w:t>
      </w:r>
    </w:p>
    <w:p w:rsidR="00737DC2" w:rsidRDefault="00737DC2" w:rsidP="00737DC2"/>
    <w:p w:rsidR="00737DC2" w:rsidRDefault="00737DC2" w:rsidP="00737DC2"/>
    <w:p w:rsidR="00737DC2" w:rsidRDefault="00737DC2" w:rsidP="00737DC2">
      <w:r w:rsidRPr="00272985">
        <w:rPr>
          <w:noProof/>
          <w:lang w:val="en-GB" w:eastAsia="zh-CN"/>
        </w:rPr>
        <w:lastRenderedPageBreak/>
        <w:drawing>
          <wp:inline distT="0" distB="0" distL="0" distR="0">
            <wp:extent cx="5734050" cy="4495800"/>
            <wp:effectExtent l="0" t="0" r="0" b="0"/>
            <wp:docPr id="17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731510" cy="4493809"/>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Francia (11/2/21)</w:t>
      </w:r>
    </w:p>
    <w:p w:rsidR="00737DC2" w:rsidRDefault="00737DC2" w:rsidP="00737DC2">
      <w:r w:rsidRPr="006A73FA">
        <w:rPr>
          <w:noProof/>
          <w:lang w:val="en-GB" w:eastAsia="zh-CN"/>
        </w:rPr>
        <w:drawing>
          <wp:inline distT="0" distB="0" distL="0" distR="0">
            <wp:extent cx="5731510" cy="3295618"/>
            <wp:effectExtent l="0" t="0" r="2540" b="635"/>
            <wp:docPr id="17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731510" cy="3295618"/>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París (12/2/21)</w:t>
      </w:r>
    </w:p>
    <w:p w:rsidR="00737DC2" w:rsidRDefault="00737DC2" w:rsidP="00737DC2"/>
    <w:p w:rsidR="00737DC2" w:rsidRDefault="00737DC2" w:rsidP="00737DC2">
      <w:r w:rsidRPr="006A73FA">
        <w:rPr>
          <w:noProof/>
          <w:lang w:val="en-GB" w:eastAsia="zh-CN"/>
        </w:rPr>
        <w:lastRenderedPageBreak/>
        <w:drawing>
          <wp:inline distT="0" distB="0" distL="0" distR="0">
            <wp:extent cx="5731510" cy="3230710"/>
            <wp:effectExtent l="0" t="0" r="2540" b="8255"/>
            <wp:docPr id="17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5731510" cy="3230710"/>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España (21/10/22)</w:t>
      </w:r>
    </w:p>
    <w:p w:rsidR="00737DC2" w:rsidRDefault="00737DC2" w:rsidP="00737DC2">
      <w:r w:rsidRPr="006A73FA">
        <w:rPr>
          <w:noProof/>
          <w:lang w:val="en-GB" w:eastAsia="zh-CN"/>
        </w:rPr>
        <w:drawing>
          <wp:inline distT="0" distB="0" distL="0" distR="0">
            <wp:extent cx="5731510" cy="3215402"/>
            <wp:effectExtent l="0" t="0" r="2540" b="4445"/>
            <wp:docPr id="17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5731510" cy="3215402"/>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España (21/10/22)</w:t>
      </w:r>
    </w:p>
    <w:p w:rsidR="00737DC2" w:rsidRPr="00025C49" w:rsidRDefault="00737DC2" w:rsidP="00737DC2">
      <w:pPr>
        <w:pStyle w:val="Default"/>
        <w:spacing w:after="140"/>
        <w:jc w:val="both"/>
        <w:rPr>
          <w:rFonts w:ascii="Times New Roman" w:hAnsi="Times New Roman" w:cs="Times New Roman"/>
          <w:b/>
          <w:color w:val="auto"/>
        </w:rPr>
      </w:pPr>
      <w:proofErr w:type="gramStart"/>
      <w:r w:rsidRPr="00025C49">
        <w:rPr>
          <w:rFonts w:ascii="Times New Roman" w:hAnsi="Times New Roman" w:cs="Times New Roman"/>
          <w:b/>
          <w:color w:val="auto"/>
        </w:rPr>
        <w:t>¿</w:t>
      </w:r>
      <w:proofErr w:type="gramEnd"/>
      <w:r w:rsidRPr="00025C49">
        <w:rPr>
          <w:rFonts w:ascii="Times New Roman" w:hAnsi="Times New Roman" w:cs="Times New Roman"/>
          <w:b/>
          <w:color w:val="auto"/>
        </w:rPr>
        <w:t xml:space="preserve">Qué les dirán, ahora, los “amos del universo” (Wall Street + Silicon Valley + Davos) a estos desesperados, angustiados, desgraciados, miserables… </w:t>
      </w:r>
      <w:r>
        <w:rPr>
          <w:rFonts w:ascii="Times New Roman" w:hAnsi="Times New Roman" w:cs="Times New Roman"/>
          <w:b/>
          <w:color w:val="auto"/>
        </w:rPr>
        <w:t>“</w:t>
      </w:r>
      <w:r w:rsidRPr="00025C49">
        <w:rPr>
          <w:rFonts w:ascii="Times New Roman" w:hAnsi="Times New Roman" w:cs="Times New Roman"/>
          <w:b/>
          <w:color w:val="auto"/>
        </w:rPr>
        <w:t>hijos de un dios menor</w:t>
      </w:r>
      <w:r>
        <w:rPr>
          <w:rFonts w:ascii="Times New Roman" w:hAnsi="Times New Roman" w:cs="Times New Roman"/>
          <w:b/>
          <w:color w:val="auto"/>
        </w:rPr>
        <w:t>”, que están en las colas del hambre</w:t>
      </w:r>
      <w:proofErr w:type="gramStart"/>
      <w:r w:rsidRPr="00025C49">
        <w:rPr>
          <w:rFonts w:ascii="Times New Roman" w:hAnsi="Times New Roman" w:cs="Times New Roman"/>
          <w:b/>
          <w:color w:val="auto"/>
        </w:rPr>
        <w:t>?</w:t>
      </w:r>
      <w:proofErr w:type="gramEnd"/>
      <w:r w:rsidRPr="00025C49">
        <w:rPr>
          <w:rFonts w:ascii="Times New Roman" w:hAnsi="Times New Roman" w:cs="Times New Roman"/>
          <w:b/>
          <w:color w:val="auto"/>
        </w:rPr>
        <w:t xml:space="preserve"> ¿</w:t>
      </w:r>
      <w:proofErr w:type="gramStart"/>
      <w:r w:rsidRPr="00025C49">
        <w:rPr>
          <w:rFonts w:ascii="Times New Roman" w:hAnsi="Times New Roman" w:cs="Times New Roman"/>
          <w:b/>
          <w:color w:val="auto"/>
        </w:rPr>
        <w:t>qué</w:t>
      </w:r>
      <w:proofErr w:type="gramEnd"/>
      <w:r w:rsidRPr="00025C49">
        <w:rPr>
          <w:rFonts w:ascii="Times New Roman" w:hAnsi="Times New Roman" w:cs="Times New Roman"/>
          <w:b/>
          <w:color w:val="auto"/>
        </w:rPr>
        <w:t xml:space="preserve"> lo importante es “estar conectados”? ¿</w:t>
      </w:r>
      <w:proofErr w:type="gramStart"/>
      <w:r w:rsidRPr="00025C49">
        <w:rPr>
          <w:rFonts w:ascii="Times New Roman" w:hAnsi="Times New Roman" w:cs="Times New Roman"/>
          <w:b/>
          <w:color w:val="auto"/>
        </w:rPr>
        <w:t>qué</w:t>
      </w:r>
      <w:proofErr w:type="gramEnd"/>
      <w:r w:rsidRPr="00025C49">
        <w:rPr>
          <w:rFonts w:ascii="Times New Roman" w:hAnsi="Times New Roman" w:cs="Times New Roman"/>
          <w:b/>
          <w:color w:val="auto"/>
        </w:rPr>
        <w:t xml:space="preserve"> su miseria solo es un efecto no deseado, un daño colateral, una externalidad negativa, del terraplanismo? ¿</w:t>
      </w:r>
      <w:proofErr w:type="gramStart"/>
      <w:r w:rsidRPr="00025C49">
        <w:rPr>
          <w:rFonts w:ascii="Times New Roman" w:hAnsi="Times New Roman" w:cs="Times New Roman"/>
          <w:b/>
          <w:color w:val="auto"/>
        </w:rPr>
        <w:t>qué</w:t>
      </w:r>
      <w:proofErr w:type="gramEnd"/>
      <w:r w:rsidRPr="00025C49">
        <w:rPr>
          <w:rFonts w:ascii="Times New Roman" w:hAnsi="Times New Roman" w:cs="Times New Roman"/>
          <w:b/>
          <w:color w:val="auto"/>
        </w:rPr>
        <w:t xml:space="preserve"> busquen su comida (virtual) en el metaverso?</w:t>
      </w:r>
    </w:p>
    <w:p w:rsidR="00737DC2" w:rsidRPr="00025C49" w:rsidRDefault="00737DC2" w:rsidP="00737DC2">
      <w:pPr>
        <w:pStyle w:val="Default"/>
        <w:spacing w:after="140"/>
        <w:jc w:val="both"/>
        <w:rPr>
          <w:rFonts w:ascii="Times New Roman" w:hAnsi="Times New Roman" w:cs="Times New Roman"/>
          <w:b/>
          <w:color w:val="auto"/>
        </w:rPr>
      </w:pPr>
      <w:r w:rsidRPr="00025C49">
        <w:rPr>
          <w:rFonts w:ascii="Times New Roman" w:hAnsi="Times New Roman" w:cs="Times New Roman"/>
          <w:b/>
          <w:color w:val="auto"/>
        </w:rPr>
        <w:t>¿La “factoría de ficciones” logrará convencer a los “colistas” qué el hambre es una percepción, qué la tristeza es retroactiva, o q</w:t>
      </w:r>
      <w:r>
        <w:rPr>
          <w:rFonts w:ascii="Times New Roman" w:hAnsi="Times New Roman" w:cs="Times New Roman"/>
          <w:b/>
          <w:color w:val="auto"/>
        </w:rPr>
        <w:t>ué la aflicción es proactiva? ¿</w:t>
      </w:r>
      <w:proofErr w:type="gramStart"/>
      <w:r>
        <w:rPr>
          <w:rFonts w:ascii="Times New Roman" w:hAnsi="Times New Roman" w:cs="Times New Roman"/>
          <w:b/>
          <w:color w:val="auto"/>
        </w:rPr>
        <w:t>l</w:t>
      </w:r>
      <w:r w:rsidRPr="00025C49">
        <w:rPr>
          <w:rFonts w:ascii="Times New Roman" w:hAnsi="Times New Roman" w:cs="Times New Roman"/>
          <w:b/>
          <w:color w:val="auto"/>
        </w:rPr>
        <w:t>e</w:t>
      </w:r>
      <w:proofErr w:type="gramEnd"/>
      <w:r w:rsidRPr="00025C49">
        <w:rPr>
          <w:rFonts w:ascii="Times New Roman" w:hAnsi="Times New Roman" w:cs="Times New Roman"/>
          <w:b/>
          <w:color w:val="auto"/>
        </w:rPr>
        <w:t xml:space="preserve"> </w:t>
      </w:r>
      <w:r w:rsidRPr="00025C49">
        <w:rPr>
          <w:rFonts w:ascii="Times New Roman" w:hAnsi="Times New Roman" w:cs="Times New Roman"/>
          <w:b/>
          <w:color w:val="auto"/>
        </w:rPr>
        <w:lastRenderedPageBreak/>
        <w:t>propondrán que desayunen blockchain, tokenicen el almuerzo, o den a los niños un NFT para merendar?</w:t>
      </w:r>
    </w:p>
    <w:p w:rsidR="00737DC2" w:rsidRPr="00025C49"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t xml:space="preserve">Cuándo hay cada </w:t>
      </w:r>
      <w:r w:rsidRPr="00025C49">
        <w:rPr>
          <w:rFonts w:ascii="Times New Roman" w:hAnsi="Times New Roman" w:cs="Times New Roman"/>
          <w:b/>
          <w:color w:val="auto"/>
        </w:rPr>
        <w:t>más pobres con trabajo (contratos basura con despido de viernes a lunes, empleos temporales, precarios, de usar y tirar, contrato de cero horas…), ¿les dirán que trabajar en Amazon es guay (meando en una botella para no perder tiempo en el reparto)? ¿</w:t>
      </w:r>
      <w:proofErr w:type="gramStart"/>
      <w:r w:rsidRPr="00025C49">
        <w:rPr>
          <w:rFonts w:ascii="Times New Roman" w:hAnsi="Times New Roman" w:cs="Times New Roman"/>
          <w:b/>
          <w:color w:val="auto"/>
        </w:rPr>
        <w:t>qué</w:t>
      </w:r>
      <w:proofErr w:type="gramEnd"/>
      <w:r w:rsidRPr="00025C49">
        <w:rPr>
          <w:rFonts w:ascii="Times New Roman" w:hAnsi="Times New Roman" w:cs="Times New Roman"/>
          <w:b/>
          <w:color w:val="auto"/>
        </w:rPr>
        <w:t xml:space="preserve"> ser rider de Deliveroo es una actividad que ofrece libertad y autonomía  (ayudando a mantener la forma física)? ¿</w:t>
      </w:r>
      <w:proofErr w:type="gramStart"/>
      <w:r w:rsidRPr="00025C49">
        <w:rPr>
          <w:rFonts w:ascii="Times New Roman" w:hAnsi="Times New Roman" w:cs="Times New Roman"/>
          <w:b/>
          <w:color w:val="auto"/>
        </w:rPr>
        <w:t>qué</w:t>
      </w:r>
      <w:proofErr w:type="gramEnd"/>
      <w:r w:rsidRPr="00025C49">
        <w:rPr>
          <w:rFonts w:ascii="Times New Roman" w:hAnsi="Times New Roman" w:cs="Times New Roman"/>
          <w:b/>
          <w:color w:val="auto"/>
        </w:rPr>
        <w:t xml:space="preserve"> ser chofer de Uber es una forma de emprendimiento empresarial (que no hace competencia desleal a los taxis)? ¿</w:t>
      </w:r>
      <w:proofErr w:type="gramStart"/>
      <w:r w:rsidRPr="00025C49">
        <w:rPr>
          <w:rFonts w:ascii="Times New Roman" w:hAnsi="Times New Roman" w:cs="Times New Roman"/>
          <w:b/>
          <w:color w:val="auto"/>
        </w:rPr>
        <w:t>qué</w:t>
      </w:r>
      <w:proofErr w:type="gramEnd"/>
      <w:r w:rsidRPr="00025C49">
        <w:rPr>
          <w:rFonts w:ascii="Times New Roman" w:hAnsi="Times New Roman" w:cs="Times New Roman"/>
          <w:b/>
          <w:color w:val="auto"/>
        </w:rPr>
        <w:t xml:space="preserve"> la vida es un gaming?</w:t>
      </w:r>
    </w:p>
    <w:p w:rsidR="00737DC2" w:rsidRDefault="00737DC2" w:rsidP="00737DC2">
      <w:pPr>
        <w:pStyle w:val="Default"/>
        <w:spacing w:after="140"/>
        <w:jc w:val="both"/>
        <w:rPr>
          <w:rFonts w:ascii="Times New Roman" w:hAnsi="Times New Roman" w:cs="Times New Roman"/>
          <w:b/>
          <w:color w:val="auto"/>
        </w:rPr>
      </w:pPr>
      <w:r w:rsidRPr="00025C49">
        <w:rPr>
          <w:rFonts w:ascii="Times New Roman" w:hAnsi="Times New Roman" w:cs="Times New Roman"/>
          <w:b/>
          <w:color w:val="auto"/>
        </w:rPr>
        <w:t>Aunque los ciudadanos (aturdidos) no se atrevan a protestar (aún), hay fechorías que no pueden pasar inadvertidas. Hay disparates económicos injustificables, atropellos sociales indefendibles, o atrocidades morales inadmisibles.</w:t>
      </w:r>
    </w:p>
    <w:p w:rsidR="00737DC2" w:rsidRPr="003855E0"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Ni siquiera el griterío destemplado de los analistas bursátiles (CNBC News, Bloomberg News) ha logrado encender la llama del entusiasmo entre una ciudadanía que hace ya tiempo descree de sus gobiernos, grandes empresas y bancos sistémicos, un conglomerado de intereses sin alma y corsarios sin principios…</w:t>
      </w:r>
    </w:p>
    <w:p w:rsidR="00737DC2" w:rsidRPr="003855E0"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Cada vez les resulta más difícil a los “global players” escapar de su enrevesado laberinto. Cuando un escándalo sepulta al anterior, una barbaridad desplaza a la precedente. Cuando el rosario de fracasos se sucede a ritmo de vértigo, ya no alcanza con recurrir a las mentiras habituales, a las artimañas más frecuentadas, ya no quedan apuestas seguras, o trucos vencedores. Basta repasar el prontuario de episodios, entre desmesurados y terribles, que se han perpetrado desde 2008 en adelante (aunque el huevo de la serpiente se haya puesto en 1980) para confirmar la inaudita intensidad del daño económico, social, y moral provocado.</w:t>
      </w:r>
    </w:p>
    <w:p w:rsidR="00737DC2" w:rsidRPr="003855E0"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Entonces, la fórmula es muy sencilla: reconocer la evidencia, decir la verdad… hacer autocrítica, pedir perdón, y rectificar (enmendar) las actuaciones. Pero para unos personajes (codiciosos, mezquinos, arrogantes, fatuos, miopes, cortoplacistas) sin escrúpulos, ni límites morales a los que atender, ese tipo de labor no resultan tan sencilla.</w:t>
      </w:r>
    </w:p>
    <w:p w:rsidR="00737DC2" w:rsidRPr="003855E0"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¿Seguirá el establishment lamentando su mala suerte con los efectos no deseados, los daños colaterales, o las externalidades negativas, del modelo? ¿Seguirá la sociedad inerte y pasmada ante el avance de lo que considera irremediable? ¿Estarán todos tan aclimatados al fracaso, que no se resignan a un cambio de régimen?</w:t>
      </w:r>
    </w:p>
    <w:p w:rsidR="00737DC2" w:rsidRPr="003855E0"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Aún a riesgo de ser tildado de diletante, pregunto ¿por qué nadie -de los grandes bonetes, vacas sagradas, académicos de la Ivy League, o gurús mediáticos- con sentido de la medida ha denunciado ese estúpido modelo económico que empobrece a los trabajadores de los países ricos, para hacer ricos a los trabajadores de los países pobres? ¿Será por qué cómo lo pagan bien, a callar mientras dure? ¿Hasta dónde están dispuestos a ser parte de la farsa?</w:t>
      </w:r>
    </w:p>
    <w:p w:rsidR="00737DC2" w:rsidRPr="003855E0"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 xml:space="preserve">Así y todo, entre señales inconfundibles de decadencia ética, no </w:t>
      </w:r>
      <w:proofErr w:type="gramStart"/>
      <w:r w:rsidRPr="003855E0">
        <w:rPr>
          <w:rFonts w:ascii="Times New Roman" w:hAnsi="Times New Roman" w:cs="Times New Roman"/>
          <w:b/>
          <w:color w:val="auto"/>
        </w:rPr>
        <w:t>podrán</w:t>
      </w:r>
      <w:proofErr w:type="gramEnd"/>
      <w:r w:rsidRPr="003855E0">
        <w:rPr>
          <w:rFonts w:ascii="Times New Roman" w:hAnsi="Times New Roman" w:cs="Times New Roman"/>
          <w:b/>
          <w:color w:val="auto"/>
        </w:rPr>
        <w:t xml:space="preserve"> negar (al final de día) que aunque la memoria quizá sea una escupidera donde cada cual arroja lo que no puede tragar, el presente resulta vomitivo. No podrán negar, que en este concurso de patinazos, de cuentas insolventes, el endeudamiento ilimitado no da más de sí. </w:t>
      </w:r>
    </w:p>
    <w:p w:rsidR="00737DC2" w:rsidRDefault="00737DC2" w:rsidP="00737DC2">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Aunque supongo que cuando se hace lo que se hace por pura avaricia, codicia, vanidad, e indiferencia, lo más oportuno ante el desastre, es hacer de ciegos voluntarios, callar, o fingir.</w:t>
      </w:r>
      <w:r>
        <w:rPr>
          <w:rFonts w:ascii="Times New Roman" w:hAnsi="Times New Roman" w:cs="Times New Roman"/>
          <w:b/>
          <w:color w:val="auto"/>
        </w:rPr>
        <w:t xml:space="preserve"> P</w:t>
      </w:r>
      <w:r w:rsidRPr="00E55E95">
        <w:rPr>
          <w:rFonts w:ascii="Times New Roman" w:hAnsi="Times New Roman" w:cs="Times New Roman"/>
          <w:b/>
          <w:color w:val="auto"/>
        </w:rPr>
        <w:t>edir c</w:t>
      </w:r>
      <w:r>
        <w:rPr>
          <w:rFonts w:ascii="Times New Roman" w:hAnsi="Times New Roman" w:cs="Times New Roman"/>
          <w:b/>
          <w:color w:val="auto"/>
        </w:rPr>
        <w:t xml:space="preserve">oherencia a estos ladronazos, </w:t>
      </w:r>
      <w:r w:rsidRPr="00E55E95">
        <w:rPr>
          <w:rFonts w:ascii="Times New Roman" w:hAnsi="Times New Roman" w:cs="Times New Roman"/>
          <w:b/>
          <w:color w:val="auto"/>
        </w:rPr>
        <w:t>es como predicar en el desierto a la arena…</w:t>
      </w:r>
    </w:p>
    <w:p w:rsidR="00737DC2" w:rsidRDefault="00737DC2" w:rsidP="00737DC2">
      <w:pPr>
        <w:pStyle w:val="Default"/>
        <w:spacing w:after="140"/>
        <w:jc w:val="both"/>
        <w:rPr>
          <w:rFonts w:ascii="Times New Roman" w:hAnsi="Times New Roman" w:cs="Times New Roman"/>
          <w:b/>
          <w:color w:val="auto"/>
        </w:rPr>
      </w:pPr>
      <w:r>
        <w:rPr>
          <w:rFonts w:ascii="Times New Roman" w:hAnsi="Times New Roman" w:cs="Times New Roman"/>
          <w:b/>
          <w:color w:val="auto"/>
        </w:rPr>
        <w:lastRenderedPageBreak/>
        <w:t>Anexo II: El mapa de los perdedores de una economía bipolar</w:t>
      </w:r>
    </w:p>
    <w:p w:rsidR="00737DC2" w:rsidRPr="00D61DF6" w:rsidRDefault="00737DC2" w:rsidP="00737DC2">
      <w:pPr>
        <w:pStyle w:val="Default"/>
        <w:spacing w:after="140"/>
        <w:jc w:val="both"/>
        <w:rPr>
          <w:rFonts w:ascii="Times New Roman" w:hAnsi="Times New Roman" w:cs="Times New Roman"/>
          <w:b/>
          <w:color w:val="auto"/>
        </w:rPr>
      </w:pPr>
      <w:r w:rsidRPr="00D61DF6">
        <w:rPr>
          <w:rFonts w:ascii="Times New Roman" w:hAnsi="Times New Roman" w:cs="Times New Roman"/>
          <w:b/>
          <w:color w:val="auto"/>
        </w:rPr>
        <w:t>- El precio de un mercado sin ley (y el “rosario” de fracasos, de una economía distópica)</w:t>
      </w:r>
    </w:p>
    <w:p w:rsidR="00737DC2" w:rsidRDefault="00737DC2" w:rsidP="00737DC2">
      <w:pPr>
        <w:pStyle w:val="Default"/>
        <w:spacing w:after="140"/>
        <w:jc w:val="both"/>
        <w:rPr>
          <w:rFonts w:ascii="Times New Roman" w:hAnsi="Times New Roman" w:cs="Times New Roman"/>
          <w:b/>
          <w:color w:val="FF0000"/>
        </w:rPr>
      </w:pPr>
      <w:r>
        <w:rPr>
          <w:noProof/>
          <w:lang w:val="en-GB" w:eastAsia="zh-CN"/>
        </w:rPr>
        <w:drawing>
          <wp:inline distT="0" distB="0" distL="0" distR="0">
            <wp:extent cx="5734050" cy="3067050"/>
            <wp:effectExtent l="0" t="0" r="0" b="0"/>
            <wp:docPr id="194" name="Imagen 143" descr="https://phantom-expansion.unidadeditorial.es/c706dd7cb89abbe9ae38b5af4cb4a150/crop/0x63/799x596/resize/828/f/jpg/assets/multimedia/imagenes/2022/11/22/16691355247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c706dd7cb89abbe9ae38b5af4cb4a150/crop/0x63/799x596/resize/828/f/jpg/assets/multimedia/imagenes/2022/11/22/16691355247757.jpg"/>
                    <pic:cNvPicPr>
                      <a:picLocks noChangeAspect="1" noChangeArrowheads="1"/>
                    </pic:cNvPicPr>
                  </pic:nvPicPr>
                  <pic:blipFill>
                    <a:blip r:embed="rId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65691"/>
                    </a:xfrm>
                    <a:prstGeom prst="rect">
                      <a:avLst/>
                    </a:prstGeom>
                    <a:noFill/>
                    <a:ln>
                      <a:noFill/>
                    </a:ln>
                  </pic:spPr>
                </pic:pic>
              </a:graphicData>
            </a:graphic>
          </wp:inline>
        </w:drawing>
      </w:r>
    </w:p>
    <w:p w:rsidR="00737DC2" w:rsidRPr="004176FE" w:rsidRDefault="00737DC2" w:rsidP="00737DC2">
      <w:pPr>
        <w:spacing w:line="240" w:lineRule="auto"/>
        <w:jc w:val="both"/>
        <w:rPr>
          <w:rFonts w:ascii="Times New Roman" w:hAnsi="Times New Roman" w:cs="Times New Roman"/>
          <w:sz w:val="20"/>
          <w:szCs w:val="20"/>
        </w:rPr>
      </w:pPr>
      <w:r w:rsidRPr="004176FE">
        <w:rPr>
          <w:rFonts w:ascii="Times New Roman" w:hAnsi="Times New Roman" w:cs="Times New Roman"/>
          <w:sz w:val="20"/>
          <w:szCs w:val="20"/>
        </w:rPr>
        <w:t xml:space="preserve">Representación de Musa en el Atlas Catalán de 1375, considerado uno de los primeros libros de mapas de la historia. Su nombre era Musa I de Malí (1280-1337), más conocido como Mansa Musa, un rey africano con todo el oro del mundo bajo su control. Su fortuna ascendía a unos 400.000 millones de dólares (ajustados por inflación). Aunque el 1% de la población actual acumule tanta riqueza como el resto, ninguno de los miembros de ese selectivo club ha conseguido superar al considerado el hombre más rico de la historia. </w:t>
      </w:r>
    </w:p>
    <w:p w:rsidR="00737DC2" w:rsidRPr="00401966" w:rsidRDefault="00737DC2" w:rsidP="00737DC2">
      <w:pPr>
        <w:pStyle w:val="Default"/>
        <w:spacing w:after="140"/>
        <w:jc w:val="both"/>
        <w:rPr>
          <w:rFonts w:ascii="Times New Roman" w:hAnsi="Times New Roman" w:cs="Times New Roman"/>
          <w:b/>
          <w:color w:val="auto"/>
        </w:rPr>
      </w:pPr>
      <w:r w:rsidRPr="00401966">
        <w:rPr>
          <w:rFonts w:ascii="Times New Roman" w:hAnsi="Times New Roman" w:cs="Times New Roman"/>
          <w:b/>
          <w:color w:val="auto"/>
        </w:rPr>
        <w:t>Arie di bravura: “Testigo de cargo” (presentación de pruebas, y razones para no fiarse)</w:t>
      </w:r>
    </w:p>
    <w:p w:rsidR="00737DC2" w:rsidRPr="003D031A" w:rsidRDefault="00737DC2" w:rsidP="00737DC2">
      <w:pPr>
        <w:pStyle w:val="Default"/>
        <w:spacing w:after="140"/>
        <w:jc w:val="both"/>
        <w:rPr>
          <w:rFonts w:ascii="Times New Roman" w:hAnsi="Times New Roman" w:cs="Times New Roman"/>
          <w:color w:val="auto"/>
        </w:rPr>
      </w:pPr>
      <w:r w:rsidRPr="003D031A">
        <w:rPr>
          <w:rFonts w:ascii="Times New Roman" w:hAnsi="Times New Roman" w:cs="Times New Roman"/>
          <w:color w:val="auto"/>
        </w:rPr>
        <w:t>Tras el glamur de lujosas sedes y carísima indumentaria, predominan la codicia, la avaricia, la mediocridad, la vileza, la ineficiencia, la superficialidad y, sobre todo, la traición.</w:t>
      </w:r>
    </w:p>
    <w:p w:rsidR="00737DC2" w:rsidRPr="003D031A" w:rsidRDefault="00737DC2" w:rsidP="00737DC2">
      <w:pPr>
        <w:pStyle w:val="Default"/>
        <w:spacing w:after="140"/>
        <w:jc w:val="both"/>
        <w:rPr>
          <w:rFonts w:ascii="Times New Roman" w:hAnsi="Times New Roman" w:cs="Times New Roman"/>
          <w:color w:val="auto"/>
        </w:rPr>
      </w:pPr>
      <w:r w:rsidRPr="003D031A">
        <w:rPr>
          <w:rFonts w:ascii="Times New Roman" w:hAnsi="Times New Roman" w:cs="Times New Roman"/>
          <w:color w:val="auto"/>
        </w:rPr>
        <w:t xml:space="preserve">Cuando a los “mercados” (Wall Street) no les alcance con la expansión cuantitativa ilimitada (el helicóptero monetario) de los bancos centrales, para seguir fabricando burbujas… </w:t>
      </w:r>
    </w:p>
    <w:p w:rsidR="00737DC2" w:rsidRPr="003D031A" w:rsidRDefault="00737DC2" w:rsidP="00737DC2">
      <w:pPr>
        <w:pStyle w:val="Default"/>
        <w:spacing w:after="140"/>
        <w:jc w:val="both"/>
        <w:rPr>
          <w:rFonts w:ascii="Times New Roman" w:hAnsi="Times New Roman" w:cs="Times New Roman"/>
          <w:color w:val="auto"/>
        </w:rPr>
      </w:pPr>
      <w:r w:rsidRPr="003D031A">
        <w:rPr>
          <w:rFonts w:ascii="Times New Roman" w:hAnsi="Times New Roman" w:cs="Times New Roman"/>
          <w:color w:val="auto"/>
        </w:rPr>
        <w:t>Cuando la fábrica del mundo (China) entre en luna menguante y deje de abastecer a la factoría de ficciones (Silicon Valley), para seguir arreando a la manada…</w:t>
      </w:r>
    </w:p>
    <w:p w:rsidR="00737DC2" w:rsidRPr="003D031A" w:rsidRDefault="00737DC2" w:rsidP="00737DC2">
      <w:pPr>
        <w:pStyle w:val="Default"/>
        <w:spacing w:after="140"/>
        <w:jc w:val="both"/>
        <w:rPr>
          <w:rFonts w:ascii="Times New Roman" w:hAnsi="Times New Roman" w:cs="Times New Roman"/>
          <w:color w:val="auto"/>
        </w:rPr>
      </w:pPr>
      <w:r w:rsidRPr="003D031A">
        <w:rPr>
          <w:rFonts w:ascii="Times New Roman" w:hAnsi="Times New Roman" w:cs="Times New Roman"/>
          <w:color w:val="auto"/>
        </w:rPr>
        <w:t>Después del “soma” (Huxley) de los móviles, las redes sociales, las plataformas, los gadgets, el entretenimiento, la desinformación, y la manipulación… llegará la “bota” (Orwell) representada por el Partido Comunista de China, al que se encomendarán y postrarán.</w:t>
      </w:r>
    </w:p>
    <w:p w:rsidR="00737DC2" w:rsidRPr="003D031A" w:rsidRDefault="00737DC2" w:rsidP="00737DC2">
      <w:pPr>
        <w:pStyle w:val="Default"/>
        <w:spacing w:after="140"/>
        <w:jc w:val="both"/>
        <w:rPr>
          <w:rFonts w:ascii="Times New Roman" w:hAnsi="Times New Roman" w:cs="Times New Roman"/>
          <w:color w:val="auto"/>
        </w:rPr>
      </w:pPr>
      <w:r w:rsidRPr="003D031A">
        <w:rPr>
          <w:rFonts w:ascii="Times New Roman" w:hAnsi="Times New Roman" w:cs="Times New Roman"/>
          <w:color w:val="auto"/>
        </w:rPr>
        <w:t>Cuando se agote el “Mundo Feliz” (de Silicon Valley), tendrá que venir el “Gran Hermano” chino, para salvar el culo de los “amos del universo” (Wall Street).</w:t>
      </w:r>
    </w:p>
    <w:p w:rsidR="00737DC2" w:rsidRPr="003D031A" w:rsidRDefault="00737DC2" w:rsidP="00737DC2">
      <w:pPr>
        <w:pStyle w:val="Default"/>
        <w:spacing w:after="140"/>
        <w:jc w:val="both"/>
        <w:rPr>
          <w:rFonts w:ascii="Times New Roman" w:hAnsi="Times New Roman" w:cs="Times New Roman"/>
          <w:color w:val="auto"/>
        </w:rPr>
      </w:pPr>
      <w:r w:rsidRPr="003D031A">
        <w:rPr>
          <w:rFonts w:ascii="Times New Roman" w:hAnsi="Times New Roman" w:cs="Times New Roman"/>
          <w:color w:val="auto"/>
        </w:rPr>
        <w:t>Habrá que pasar del gran engaño de los productos de baratija, o de los chismes adictivos, a una dictadura que imponga el producto, protegiendo a los mercaderes.</w:t>
      </w:r>
    </w:p>
    <w:p w:rsidR="00737DC2" w:rsidRPr="00801423"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Frente al</w:t>
      </w:r>
      <w:r w:rsidRPr="00845315">
        <w:rPr>
          <w:rFonts w:ascii="Times New Roman" w:hAnsi="Times New Roman" w:cs="Times New Roman"/>
          <w:color w:val="auto"/>
        </w:rPr>
        <w:t xml:space="preserve"> estruendoso fracaso económico y social</w:t>
      </w:r>
      <w:r>
        <w:rPr>
          <w:rFonts w:ascii="Times New Roman" w:hAnsi="Times New Roman" w:cs="Times New Roman"/>
          <w:color w:val="auto"/>
        </w:rPr>
        <w:t xml:space="preserve"> de </w:t>
      </w:r>
      <w:r w:rsidRPr="000D5BE1">
        <w:rPr>
          <w:rFonts w:ascii="Times New Roman" w:hAnsi="Times New Roman" w:cs="Times New Roman"/>
          <w:color w:val="auto"/>
        </w:rPr>
        <w:t>un</w:t>
      </w:r>
      <w:r>
        <w:rPr>
          <w:rFonts w:ascii="Times New Roman" w:hAnsi="Times New Roman" w:cs="Times New Roman"/>
          <w:color w:val="auto"/>
        </w:rPr>
        <w:t>os</w:t>
      </w:r>
      <w:r w:rsidRPr="000D5BE1">
        <w:rPr>
          <w:rFonts w:ascii="Times New Roman" w:hAnsi="Times New Roman" w:cs="Times New Roman"/>
          <w:color w:val="auto"/>
        </w:rPr>
        <w:t xml:space="preserve"> inagotable</w:t>
      </w:r>
      <w:r>
        <w:rPr>
          <w:rFonts w:ascii="Times New Roman" w:hAnsi="Times New Roman" w:cs="Times New Roman"/>
          <w:color w:val="auto"/>
        </w:rPr>
        <w:t>s</w:t>
      </w:r>
      <w:r w:rsidRPr="000D5BE1">
        <w:rPr>
          <w:rFonts w:ascii="Times New Roman" w:hAnsi="Times New Roman" w:cs="Times New Roman"/>
          <w:color w:val="auto"/>
        </w:rPr>
        <w:t xml:space="preserve"> oportunista</w:t>
      </w:r>
      <w:r>
        <w:rPr>
          <w:rFonts w:ascii="Times New Roman" w:hAnsi="Times New Roman" w:cs="Times New Roman"/>
          <w:color w:val="auto"/>
        </w:rPr>
        <w:t>s, el</w:t>
      </w:r>
      <w:r w:rsidRPr="00845315">
        <w:rPr>
          <w:rFonts w:ascii="Times New Roman" w:hAnsi="Times New Roman" w:cs="Times New Roman"/>
          <w:color w:val="auto"/>
        </w:rPr>
        <w:t xml:space="preserve"> silencio cómplice</w:t>
      </w:r>
      <w:r>
        <w:rPr>
          <w:rFonts w:ascii="Times New Roman" w:hAnsi="Times New Roman" w:cs="Times New Roman"/>
          <w:color w:val="auto"/>
        </w:rPr>
        <w:t xml:space="preserve"> de muchos académicos y líderes de opinión, contorsionistas</w:t>
      </w:r>
      <w:r w:rsidRPr="00845315">
        <w:rPr>
          <w:rFonts w:ascii="Times New Roman" w:hAnsi="Times New Roman" w:cs="Times New Roman"/>
          <w:color w:val="auto"/>
        </w:rPr>
        <w:t>,</w:t>
      </w:r>
      <w:r>
        <w:rPr>
          <w:rFonts w:ascii="Times New Roman" w:hAnsi="Times New Roman" w:cs="Times New Roman"/>
          <w:color w:val="auto"/>
        </w:rPr>
        <w:t xml:space="preserve"> o las </w:t>
      </w:r>
      <w:r w:rsidRPr="000D5BE1">
        <w:rPr>
          <w:rFonts w:ascii="Times New Roman" w:hAnsi="Times New Roman" w:cs="Times New Roman"/>
          <w:color w:val="auto"/>
        </w:rPr>
        <w:t>loas y elogios de la parroquia</w:t>
      </w:r>
      <w:r>
        <w:rPr>
          <w:rFonts w:ascii="Times New Roman" w:hAnsi="Times New Roman" w:cs="Times New Roman"/>
          <w:color w:val="auto"/>
        </w:rPr>
        <w:t xml:space="preserve"> de tragasables,</w:t>
      </w:r>
      <w:r w:rsidRPr="00845315">
        <w:rPr>
          <w:rFonts w:ascii="Times New Roman" w:hAnsi="Times New Roman" w:cs="Times New Roman"/>
          <w:color w:val="auto"/>
        </w:rPr>
        <w:t xml:space="preserve"> cuando no las operaciones directas de asociación y encubrimiento</w:t>
      </w:r>
      <w:r>
        <w:rPr>
          <w:rFonts w:ascii="Times New Roman" w:hAnsi="Times New Roman" w:cs="Times New Roman"/>
          <w:color w:val="auto"/>
        </w:rPr>
        <w:t xml:space="preserve"> de los políticos de plastilina… solo puedo certificar</w:t>
      </w:r>
      <w:r w:rsidRPr="00845315">
        <w:rPr>
          <w:rFonts w:ascii="Times New Roman" w:hAnsi="Times New Roman" w:cs="Times New Roman"/>
          <w:color w:val="auto"/>
        </w:rPr>
        <w:t xml:space="preserve"> una trágica tar</w:t>
      </w:r>
      <w:r>
        <w:rPr>
          <w:rFonts w:ascii="Times New Roman" w:hAnsi="Times New Roman" w:cs="Times New Roman"/>
          <w:color w:val="auto"/>
        </w:rPr>
        <w:t>a de cierto falso- liberalismo occidental</w:t>
      </w:r>
      <w:r w:rsidRPr="00845315">
        <w:rPr>
          <w:rFonts w:ascii="Times New Roman" w:hAnsi="Times New Roman" w:cs="Times New Roman"/>
          <w:color w:val="auto"/>
        </w:rPr>
        <w:t>, que no aprende de sus errores históricos.</w:t>
      </w:r>
    </w:p>
    <w:p w:rsidR="00737DC2" w:rsidRPr="00591676" w:rsidRDefault="00737DC2" w:rsidP="00737DC2">
      <w:pPr>
        <w:rPr>
          <w:rFonts w:ascii="Times New Roman" w:hAnsi="Times New Roman" w:cs="Times New Roman"/>
          <w:sz w:val="24"/>
          <w:szCs w:val="24"/>
        </w:rPr>
      </w:pPr>
      <w:r>
        <w:rPr>
          <w:rFonts w:ascii="Times New Roman" w:hAnsi="Times New Roman" w:cs="Times New Roman"/>
          <w:sz w:val="24"/>
          <w:szCs w:val="24"/>
        </w:rPr>
        <w:t>Como decía César Vidal: “</w:t>
      </w:r>
      <w:r w:rsidRPr="00591676">
        <w:rPr>
          <w:rFonts w:ascii="Times New Roman" w:hAnsi="Times New Roman" w:cs="Times New Roman"/>
          <w:sz w:val="24"/>
          <w:szCs w:val="24"/>
        </w:rPr>
        <w:t>sin ánimo de ser exhaustivos los hechos son los siguientes</w:t>
      </w:r>
      <w:r>
        <w:rPr>
          <w:rFonts w:ascii="Times New Roman" w:hAnsi="Times New Roman" w:cs="Times New Roman"/>
          <w:sz w:val="24"/>
          <w:szCs w:val="24"/>
        </w:rPr>
        <w:t>”</w:t>
      </w:r>
      <w:r w:rsidRPr="00591676">
        <w:rPr>
          <w:rFonts w:ascii="Times New Roman" w:hAnsi="Times New Roman" w:cs="Times New Roman"/>
          <w:sz w:val="24"/>
          <w:szCs w:val="24"/>
        </w:rPr>
        <w:t>...</w:t>
      </w:r>
    </w:p>
    <w:p w:rsidR="00737DC2" w:rsidRPr="00B33D9F"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lastRenderedPageBreak/>
        <w:t xml:space="preserve">Un </w:t>
      </w:r>
      <w:r w:rsidRPr="00845315">
        <w:rPr>
          <w:rFonts w:ascii="Times New Roman" w:hAnsi="Times New Roman" w:cs="Times New Roman"/>
          <w:color w:val="auto"/>
        </w:rPr>
        <w:t>universo infinito de exclusión, miseria, drogadicción, falta de educación y carencia de futuro.</w:t>
      </w:r>
      <w:r w:rsidRPr="00B33D9F">
        <w:rPr>
          <w:rFonts w:ascii="Times New Roman" w:hAnsi="Times New Roman" w:cs="Times New Roman"/>
          <w:color w:val="auto"/>
        </w:rPr>
        <w:t>La distribución desigual de la riqueza en los países del Primer Mundo ha aumentado la distancia que separa a las personas ricas de los grupos más desfavorecidos</w:t>
      </w:r>
      <w:r>
        <w:rPr>
          <w:rFonts w:ascii="Times New Roman" w:hAnsi="Times New Roman" w:cs="Times New Roman"/>
          <w:color w:val="auto"/>
        </w:rPr>
        <w:t>.</w:t>
      </w:r>
    </w:p>
    <w:p w:rsidR="00737DC2" w:rsidRPr="004176FE" w:rsidRDefault="00737DC2" w:rsidP="00737DC2">
      <w:pPr>
        <w:pStyle w:val="Default"/>
        <w:spacing w:after="140"/>
        <w:jc w:val="both"/>
        <w:rPr>
          <w:rFonts w:ascii="Times New Roman" w:hAnsi="Times New Roman" w:cs="Times New Roman"/>
          <w:b/>
          <w:color w:val="auto"/>
        </w:rPr>
      </w:pPr>
      <w:r w:rsidRPr="004176FE">
        <w:rPr>
          <w:rFonts w:ascii="Times New Roman" w:hAnsi="Times New Roman" w:cs="Times New Roman"/>
          <w:b/>
          <w:color w:val="auto"/>
        </w:rPr>
        <w:t>Cuarto Mundo: pobreza en los países desarrollados</w:t>
      </w:r>
    </w:p>
    <w:p w:rsidR="00737DC2" w:rsidRPr="00B33D9F"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El crecimiento económico de los países desarrollados ha dado origen a lo que se conoce como Cuarto Mundo, un término que engloba a todas aquellas personas que residen en los países más avanzados, pero se encuentran excluidas o en riesgo de exclusión social. Esta situación se produce cuando la riqueza se distribuye de manera desigual y la línea que separa a ricos de pobres se convierte en abismo. </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El término “Cuarto Mundo”</w:t>
      </w:r>
      <w:r w:rsidRPr="00B33D9F">
        <w:rPr>
          <w:rFonts w:ascii="Times New Roman" w:hAnsi="Times New Roman" w:cs="Times New Roman"/>
          <w:color w:val="auto"/>
        </w:rPr>
        <w:t xml:space="preserve"> fue utilizado por primera vez en los años 70 para designar a aquellas personas que viven en situaciones realmente precarias. Su creador fue el padre Joseph Wresinski, criado en un ambiente muy alejado de la opulencia y que fundó en 1957 la primera asociación contra la exclusión de los más pobres. “El Cuarto Mundo es un pueblo formado por hombres, mujeres y niños que, generación tras generación, se ven excluidos de los derechos fundamentales de los que goza el resto de la sociedad. Se ven excluidos de los progresos sociales y de la participación en la vida asociativa, política, religiosa, cultural, sindical… de sus sociedades. No se cuenta con ellos como interlocutores sino, como mucho, como meros beneficiarios de ayudas”. </w:t>
      </w:r>
    </w:p>
    <w:p w:rsidR="00737DC2" w:rsidRPr="00B33D9F"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Uno de cada cinco niños de países desarrollados vive en la pobreza, y uno de cada ocho sufre inseguridad alimentaria, reveló el Fondo de la ONU para </w:t>
      </w:r>
      <w:r>
        <w:rPr>
          <w:rFonts w:ascii="Times New Roman" w:hAnsi="Times New Roman" w:cs="Times New Roman"/>
          <w:color w:val="auto"/>
        </w:rPr>
        <w:t>la Infancia (UNICEF - 2017).</w:t>
      </w:r>
    </w:p>
    <w:p w:rsidR="00737DC2" w:rsidRPr="00B33D9F"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Las cifras están incluidas en un nuevo informe que señala que hasta las economías más fuertes del mundo tienen dificultades para alcanzar las metas para niños y jóvenes que abarcan los 17 Objetivos </w:t>
      </w:r>
      <w:r>
        <w:rPr>
          <w:rFonts w:ascii="Times New Roman" w:hAnsi="Times New Roman" w:cs="Times New Roman"/>
          <w:color w:val="auto"/>
        </w:rPr>
        <w:t>de Desarrollo Sostenible (ODS).</w:t>
      </w:r>
    </w:p>
    <w:p w:rsidR="00737DC2" w:rsidRPr="00B33D9F"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La violencia, la pobreza, los prejuicios y el bajo nivel de educación, son las principales amenazas</w:t>
      </w:r>
      <w:r>
        <w:rPr>
          <w:rFonts w:ascii="Times New Roman" w:hAnsi="Times New Roman" w:cs="Times New Roman"/>
          <w:color w:val="auto"/>
        </w:rPr>
        <w:t xml:space="preserve"> para el futuro de los menores.</w:t>
      </w:r>
    </w:p>
    <w:p w:rsidR="00737DC2" w:rsidRPr="00B33D9F"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w:t>
      </w:r>
      <w:r w:rsidRPr="00B33D9F">
        <w:rPr>
          <w:rFonts w:ascii="Times New Roman" w:hAnsi="Times New Roman" w:cs="Times New Roman"/>
          <w:color w:val="auto"/>
        </w:rPr>
        <w:t>Esto es un llamado de atención para 41 países de la Unión Europea y de la OCDE sobre la situación de sus niños. Es claro que hasta los países más ricos, están lejo</w:t>
      </w:r>
      <w:r>
        <w:rPr>
          <w:rFonts w:ascii="Times New Roman" w:hAnsi="Times New Roman" w:cs="Times New Roman"/>
          <w:color w:val="auto"/>
        </w:rPr>
        <w:t>s de alcanzar los ODS para 2030”</w:t>
      </w:r>
      <w:r w:rsidRPr="00B33D9F">
        <w:rPr>
          <w:rFonts w:ascii="Times New Roman" w:hAnsi="Times New Roman" w:cs="Times New Roman"/>
          <w:color w:val="auto"/>
        </w:rPr>
        <w:t>, aseguró José Cuesta, jefe de la oficina de investigación económica y social de UN</w:t>
      </w:r>
      <w:r>
        <w:rPr>
          <w:rFonts w:ascii="Times New Roman" w:hAnsi="Times New Roman" w:cs="Times New Roman"/>
          <w:color w:val="auto"/>
        </w:rPr>
        <w:t>ICEF.</w:t>
      </w:r>
    </w:p>
    <w:p w:rsidR="00737DC2" w:rsidRPr="00B33D9F"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El informe de UNICEF exhorta a los Estados a invertir más en salud, educación y protección para sus niños, así como a tener en cuenta el bienestar de los menores, especialmente de aquellos en situaciones más vulnerables, como parte de sus planes de </w:t>
      </w:r>
      <w:r>
        <w:rPr>
          <w:rFonts w:ascii="Times New Roman" w:hAnsi="Times New Roman" w:cs="Times New Roman"/>
          <w:color w:val="auto"/>
        </w:rPr>
        <w:t>desarrollo.</w:t>
      </w:r>
    </w:p>
    <w:p w:rsidR="00737DC2" w:rsidRPr="00B33D9F"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“El mensaje más importante es que tener una buena economía, no ayuda por si sola a los niños a salir de la pobreza y de malas condiciones. Los cambios en políticas públicas y la habilidad para abordar situaciones de crisis o conflicto son factores importantes</w:t>
      </w:r>
      <w:r>
        <w:rPr>
          <w:rFonts w:ascii="Times New Roman" w:hAnsi="Times New Roman" w:cs="Times New Roman"/>
          <w:color w:val="auto"/>
        </w:rPr>
        <w:t xml:space="preserve"> en esta lucha”, agregó Cuesta.</w:t>
      </w:r>
    </w:p>
    <w:p w:rsidR="00737DC2" w:rsidRDefault="00737DC2" w:rsidP="00737DC2">
      <w:pPr>
        <w:pStyle w:val="Default"/>
        <w:spacing w:after="140"/>
        <w:jc w:val="both"/>
        <w:rPr>
          <w:rFonts w:ascii="Times New Roman" w:hAnsi="Times New Roman" w:cs="Times New Roman"/>
          <w:color w:val="auto"/>
        </w:rPr>
      </w:pPr>
      <w:r w:rsidRPr="00B33D9F">
        <w:rPr>
          <w:rFonts w:ascii="Times New Roman" w:hAnsi="Times New Roman" w:cs="Times New Roman"/>
          <w:color w:val="auto"/>
        </w:rPr>
        <w:t>Entre otros datos, el informe destaca las grandes desigualdades que existen en las naciones que hicieron parte del estudio y revela la presencia de otros problemas que aquejan a la niñez y la juventud en naciones desarrolladas tales como los abusos sexuales, el suicidio y la desigualdad de género.</w:t>
      </w:r>
    </w:p>
    <w:p w:rsidR="00737DC2" w:rsidRDefault="00737DC2" w:rsidP="00737DC2">
      <w:pPr>
        <w:spacing w:line="240" w:lineRule="auto"/>
        <w:jc w:val="both"/>
        <w:rPr>
          <w:rFonts w:ascii="Times New Roman" w:hAnsi="Times New Roman" w:cs="Times New Roman"/>
          <w:sz w:val="24"/>
          <w:szCs w:val="24"/>
        </w:rPr>
      </w:pPr>
      <w:r w:rsidRPr="007D55EB">
        <w:rPr>
          <w:rFonts w:ascii="Times New Roman" w:hAnsi="Times New Roman" w:cs="Times New Roman"/>
          <w:sz w:val="24"/>
          <w:szCs w:val="24"/>
        </w:rPr>
        <w:t>La riqueza de una pequ</w:t>
      </w:r>
      <w:r>
        <w:rPr>
          <w:rFonts w:ascii="Times New Roman" w:hAnsi="Times New Roman" w:cs="Times New Roman"/>
          <w:sz w:val="24"/>
          <w:szCs w:val="24"/>
        </w:rPr>
        <w:t>eña élite mundial formada por 2.</w:t>
      </w:r>
      <w:r w:rsidRPr="007D55EB">
        <w:rPr>
          <w:rFonts w:ascii="Times New Roman" w:hAnsi="Times New Roman" w:cs="Times New Roman"/>
          <w:sz w:val="24"/>
          <w:szCs w:val="24"/>
        </w:rPr>
        <w:t xml:space="preserve">755 milmillonarios ha crecido más durante la pandemia de COVID-19 que en el conjunto de los últimos 14 años. Se trata del mayor incremento anual jamás registrado. Y se ha dado en todos los continentes. Este incremento es el resultado del aumento desorbitado de los precios de los mercados de valores, </w:t>
      </w:r>
      <w:r w:rsidRPr="007D55EB">
        <w:rPr>
          <w:rFonts w:ascii="Times New Roman" w:hAnsi="Times New Roman" w:cs="Times New Roman"/>
          <w:sz w:val="24"/>
          <w:szCs w:val="24"/>
        </w:rPr>
        <w:lastRenderedPageBreak/>
        <w:t>el apogeo de las entidades no reguladas y el auge del poder monopolístico y la privatización, junto a la erosión de las normativas, los tipos impositivos a las personas físicas y las empresas, los derechos laborales y los salarios. Desde el inicio de la pandemia, ha surgido un nuevo milmillonario en el mundo cada 26 horas.</w:t>
      </w:r>
      <w:r>
        <w:rPr>
          <w:rFonts w:ascii="Times New Roman" w:hAnsi="Times New Roman" w:cs="Times New Roman"/>
          <w:sz w:val="24"/>
          <w:szCs w:val="24"/>
        </w:rPr>
        <w:t xml:space="preserve"> (OXFAM)</w:t>
      </w:r>
    </w:p>
    <w:p w:rsidR="00737DC2" w:rsidRDefault="00737DC2" w:rsidP="00737DC2">
      <w:pPr>
        <w:spacing w:line="240" w:lineRule="auto"/>
        <w:jc w:val="both"/>
        <w:rPr>
          <w:rFonts w:ascii="Times New Roman" w:hAnsi="Times New Roman" w:cs="Times New Roman"/>
          <w:sz w:val="24"/>
          <w:szCs w:val="24"/>
        </w:rPr>
      </w:pPr>
      <w:r w:rsidRPr="007D55EB">
        <w:rPr>
          <w:rFonts w:ascii="Times New Roman" w:hAnsi="Times New Roman" w:cs="Times New Roman"/>
          <w:sz w:val="24"/>
          <w:szCs w:val="24"/>
        </w:rPr>
        <w:t>Desde la década de los ochenta, donde abundaron los programas de desregulación y liberalización, se ha duplicado la brecha entre los ingresos del trabajo y el capital que percibe el 50% más pobre de la población y el 10% más rico. Según el Informe sobre la Desigualdad en el Mundo 2022 elaborado por el World Inequality Lab, dicho incremento no ha sido</w:t>
      </w:r>
      <w:r>
        <w:rPr>
          <w:rFonts w:ascii="Times New Roman" w:hAnsi="Times New Roman" w:cs="Times New Roman"/>
          <w:sz w:val="24"/>
          <w:szCs w:val="24"/>
        </w:rPr>
        <w:t xml:space="preserve"> uniforme, lo que confirma que “</w:t>
      </w:r>
      <w:r w:rsidRPr="007D55EB">
        <w:rPr>
          <w:rFonts w:ascii="Times New Roman" w:hAnsi="Times New Roman" w:cs="Times New Roman"/>
          <w:sz w:val="24"/>
          <w:szCs w:val="24"/>
        </w:rPr>
        <w:t>la desigualdad no es inevi</w:t>
      </w:r>
      <w:r>
        <w:rPr>
          <w:rFonts w:ascii="Times New Roman" w:hAnsi="Times New Roman" w:cs="Times New Roman"/>
          <w:sz w:val="24"/>
          <w:szCs w:val="24"/>
        </w:rPr>
        <w:t>table, es una elección política”</w:t>
      </w:r>
      <w:r w:rsidRPr="007D55EB">
        <w:rPr>
          <w:rFonts w:ascii="Times New Roman" w:hAnsi="Times New Roman" w:cs="Times New Roman"/>
          <w:sz w:val="24"/>
          <w:szCs w:val="24"/>
        </w:rPr>
        <w:t xml:space="preserve"> y denota que el mundo sigue siendo particularmente desigual en la actualidad.</w:t>
      </w:r>
    </w:p>
    <w:p w:rsidR="00737DC2" w:rsidRDefault="00737DC2" w:rsidP="00737DC2">
      <w:pPr>
        <w:spacing w:line="240" w:lineRule="auto"/>
        <w:jc w:val="both"/>
        <w:rPr>
          <w:rFonts w:ascii="Times New Roman" w:hAnsi="Times New Roman" w:cs="Times New Roman"/>
          <w:sz w:val="24"/>
          <w:szCs w:val="24"/>
        </w:rPr>
      </w:pPr>
      <w:r w:rsidRPr="007D55EB">
        <w:rPr>
          <w:rFonts w:ascii="Times New Roman" w:hAnsi="Times New Roman" w:cs="Times New Roman"/>
          <w:sz w:val="24"/>
          <w:szCs w:val="24"/>
        </w:rPr>
        <w:t>Por otro lado, mientras los países se volvían más ricos, los gobiernos se hacían cada vez más pobres. Así, la participación del patrimonio en manos de los actores públicos de los países ricos se ha reducido hasta tal punto que la totalidad de la riqueza está en manos privadas. Además, esta tendencia se ha visto magnificada a consecuencia de la crisis derivada de la pandemia, con los gobiernos pidiendo prestado el equivalente al 10-20% del PIB.</w:t>
      </w:r>
    </w:p>
    <w:p w:rsidR="00737DC2" w:rsidRDefault="00737DC2" w:rsidP="00737DC2">
      <w:pPr>
        <w:spacing w:line="240" w:lineRule="auto"/>
        <w:jc w:val="both"/>
        <w:rPr>
          <w:rFonts w:ascii="Times New Roman" w:hAnsi="Times New Roman" w:cs="Times New Roman"/>
          <w:sz w:val="24"/>
          <w:szCs w:val="24"/>
        </w:rPr>
      </w:pPr>
      <w:r w:rsidRPr="007A73AB">
        <w:rPr>
          <w:rFonts w:ascii="Times New Roman" w:hAnsi="Times New Roman" w:cs="Times New Roman"/>
          <w:noProof/>
          <w:sz w:val="24"/>
          <w:szCs w:val="24"/>
          <w:lang w:val="en-GB" w:eastAsia="zh-CN"/>
        </w:rPr>
        <w:drawing>
          <wp:inline distT="0" distB="0" distL="0" distR="0">
            <wp:extent cx="5733802" cy="2679700"/>
            <wp:effectExtent l="0" t="0" r="635" b="635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731510" cy="2678629"/>
                    </a:xfrm>
                    <a:prstGeom prst="rect">
                      <a:avLst/>
                    </a:prstGeom>
                  </pic:spPr>
                </pic:pic>
              </a:graphicData>
            </a:graphic>
          </wp:inline>
        </w:drawing>
      </w:r>
    </w:p>
    <w:p w:rsidR="00737DC2" w:rsidRPr="007D55EB" w:rsidRDefault="00737DC2" w:rsidP="00737DC2">
      <w:pPr>
        <w:spacing w:line="240" w:lineRule="auto"/>
        <w:jc w:val="both"/>
        <w:rPr>
          <w:rFonts w:ascii="Times New Roman" w:hAnsi="Times New Roman" w:cs="Times New Roman"/>
          <w:sz w:val="24"/>
          <w:szCs w:val="24"/>
        </w:rPr>
      </w:pPr>
      <w:r w:rsidRPr="007A73AB">
        <w:rPr>
          <w:rFonts w:ascii="Times New Roman" w:hAnsi="Times New Roman" w:cs="Times New Roman"/>
          <w:noProof/>
          <w:sz w:val="24"/>
          <w:szCs w:val="24"/>
          <w:lang w:val="en-GB" w:eastAsia="zh-CN"/>
        </w:rPr>
        <w:drawing>
          <wp:inline distT="0" distB="0" distL="0" distR="0">
            <wp:extent cx="5726465" cy="2933700"/>
            <wp:effectExtent l="0" t="0" r="762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731510" cy="2936285"/>
                    </a:xfrm>
                    <a:prstGeom prst="rect">
                      <a:avLst/>
                    </a:prstGeom>
                  </pic:spPr>
                </pic:pic>
              </a:graphicData>
            </a:graphic>
          </wp:inline>
        </w:drawing>
      </w:r>
    </w:p>
    <w:p w:rsidR="00737DC2" w:rsidRDefault="00737DC2" w:rsidP="00737DC2">
      <w:pPr>
        <w:pStyle w:val="Default"/>
        <w:spacing w:after="140"/>
        <w:jc w:val="both"/>
        <w:rPr>
          <w:rFonts w:ascii="Times New Roman" w:hAnsi="Times New Roman" w:cs="Times New Roman"/>
          <w:b/>
          <w:color w:val="auto"/>
        </w:rPr>
      </w:pPr>
      <w:r w:rsidRPr="004176FE">
        <w:rPr>
          <w:rFonts w:ascii="Times New Roman" w:hAnsi="Times New Roman" w:cs="Times New Roman"/>
          <w:b/>
          <w:color w:val="auto"/>
        </w:rPr>
        <w:lastRenderedPageBreak/>
        <w:t>Dos crisis económicas de alcance mundial: 2008 (financiera) y</w:t>
      </w:r>
      <w:r>
        <w:rPr>
          <w:rFonts w:ascii="Times New Roman" w:hAnsi="Times New Roman" w:cs="Times New Roman"/>
          <w:b/>
          <w:color w:val="auto"/>
        </w:rPr>
        <w:t xml:space="preserve"> 2020 (sanitaria)</w:t>
      </w:r>
    </w:p>
    <w:p w:rsidR="00737DC2" w:rsidRPr="00306897" w:rsidRDefault="00737DC2" w:rsidP="00737DC2">
      <w:pPr>
        <w:pStyle w:val="Default"/>
        <w:spacing w:after="140"/>
        <w:jc w:val="both"/>
        <w:rPr>
          <w:rFonts w:ascii="Times New Roman" w:hAnsi="Times New Roman" w:cs="Times New Roman"/>
          <w:color w:val="auto"/>
          <w:u w:val="single"/>
        </w:rPr>
      </w:pPr>
      <w:r w:rsidRPr="00306897">
        <w:rPr>
          <w:rFonts w:ascii="Times New Roman" w:hAnsi="Times New Roman" w:cs="Times New Roman"/>
          <w:color w:val="auto"/>
          <w:u w:val="single"/>
        </w:rPr>
        <w:t>La crisis financiera “podría haberse evitado”, según el Congreso de EEUU (29/1/11)</w:t>
      </w:r>
    </w:p>
    <w:p w:rsidR="00737DC2" w:rsidRDefault="00737DC2" w:rsidP="00737DC2">
      <w:pPr>
        <w:pStyle w:val="Default"/>
        <w:spacing w:after="140"/>
        <w:jc w:val="both"/>
        <w:rPr>
          <w:rFonts w:ascii="Times New Roman" w:eastAsia="Times New Roman" w:hAnsi="Times New Roman" w:cs="Times New Roman"/>
          <w:lang w:eastAsia="es-ES"/>
        </w:rPr>
      </w:pPr>
      <w:r>
        <w:rPr>
          <w:rFonts w:ascii="Times New Roman" w:eastAsia="Times New Roman" w:hAnsi="Times New Roman" w:cs="Times New Roman"/>
          <w:lang w:eastAsia="es-ES"/>
        </w:rPr>
        <w:t>S</w:t>
      </w:r>
      <w:r w:rsidRPr="00636795">
        <w:rPr>
          <w:rFonts w:ascii="Times New Roman" w:eastAsia="Times New Roman" w:hAnsi="Times New Roman" w:cs="Times New Roman"/>
          <w:lang w:eastAsia="es-ES"/>
        </w:rPr>
        <w:t>etecientos testigos y millones de correos electrónicos sobre la crisis financiera del 2008 han sido la base sobre la que ha trabajado una comisión de diez congresistas de Estados Unidos con la misión de aclarar las causas de aquella catástrofe, cuyo toda</w:t>
      </w:r>
      <w:r>
        <w:rPr>
          <w:rFonts w:ascii="Times New Roman" w:eastAsia="Times New Roman" w:hAnsi="Times New Roman" w:cs="Times New Roman"/>
          <w:lang w:eastAsia="es-ES"/>
        </w:rPr>
        <w:t>vía retumba en todo el planeta.</w:t>
      </w:r>
    </w:p>
    <w:p w:rsidR="00737DC2" w:rsidRPr="00006DD1" w:rsidRDefault="00737DC2" w:rsidP="00737DC2">
      <w:pPr>
        <w:pStyle w:val="Default"/>
        <w:spacing w:after="140"/>
        <w:jc w:val="both"/>
        <w:rPr>
          <w:rFonts w:ascii="Times New Roman" w:hAnsi="Times New Roman" w:cs="Times New Roman"/>
          <w:color w:val="auto"/>
        </w:rPr>
      </w:pPr>
      <w:r w:rsidRPr="00636795">
        <w:rPr>
          <w:rFonts w:ascii="Times New Roman" w:eastAsia="Times New Roman" w:hAnsi="Times New Roman" w:cs="Times New Roman"/>
          <w:vanish/>
          <w:lang w:eastAsia="es-ES"/>
        </w:rPr>
        <w:t>Final del formulario</w:t>
      </w:r>
      <w:r w:rsidRPr="00636795">
        <w:rPr>
          <w:rFonts w:ascii="Times New Roman" w:eastAsia="Times New Roman" w:hAnsi="Times New Roman" w:cs="Times New Roman"/>
          <w:lang w:eastAsia="es-ES"/>
        </w:rPr>
        <w:t>Sus conclusiones, que acaban de ver la luz, no son, ni mucho menos, tranquilizadora. Consideran que los poderes públicos hubieran debido ver lo que se avecinaba. Y acusan directamente a los dos últimos presidentes de la Reserva Federal (Fed) estadounidense: Alan Greenspan y Ben Bernanke. Y lo que es peor, la comisión resalta que el sistema financiero de hoy no es muy diferente al que existía antes del estallido del drama.</w:t>
      </w:r>
    </w:p>
    <w:p w:rsidR="00737DC2" w:rsidRPr="00636795" w:rsidRDefault="00737DC2" w:rsidP="00737DC2">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401966">
        <w:rPr>
          <w:rFonts w:ascii="Times New Roman" w:eastAsia="Times New Roman" w:hAnsi="Times New Roman" w:cs="Times New Roman"/>
          <w:color w:val="FF0000"/>
          <w:sz w:val="24"/>
          <w:szCs w:val="24"/>
          <w:u w:val="single"/>
          <w:lang w:eastAsia="es-ES"/>
        </w:rPr>
        <w:t>“No fueron la madre naturaleza ni errores informáticos” los responsables de aquella crisis, dicen las actas presentadas por la comisión</w:t>
      </w:r>
      <w:r w:rsidRPr="00636795">
        <w:rPr>
          <w:rFonts w:ascii="Times New Roman" w:eastAsia="Times New Roman" w:hAnsi="Times New Roman" w:cs="Times New Roman"/>
          <w:color w:val="000000"/>
          <w:sz w:val="24"/>
          <w:szCs w:val="24"/>
          <w:lang w:eastAsia="es-ES"/>
        </w:rPr>
        <w:t>. Y reflejan que, tras la caída de Lehman Brothers, doce de las trece entidades financieras más importantes de Estados Unidos, es decir, todas excepto JP Morgan Chase, estuvieron durante dos semanas al borde del colapso. La culpa de aquello la tuvo el apetito desmesurado de los bancos por el riesgo y también la ineptitud de las agencias de calificación, que no vieron la intoxicación de activos que se estaba produciendo delante de sus narices.</w:t>
      </w:r>
    </w:p>
    <w:p w:rsidR="00737DC2" w:rsidRPr="00636795" w:rsidRDefault="00737DC2" w:rsidP="00737DC2">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636795">
        <w:rPr>
          <w:rFonts w:ascii="Times New Roman" w:eastAsia="Times New Roman" w:hAnsi="Times New Roman" w:cs="Times New Roman"/>
          <w:color w:val="000000"/>
          <w:sz w:val="24"/>
          <w:szCs w:val="24"/>
          <w:lang w:eastAsia="es-ES"/>
        </w:rPr>
        <w:t>Y el informe asegura, además, que eso no hubiera ocurrido si el entonces presidente de la Fed, Alan Greenspan, se hubiera percatado de lo que estaba ocurriendo y lo hubiera atajado como era su responsabilidad. Y acusa de esa misma falta de acción al actual presidente, Ben Bernanke, aunque a este le reconoce una actuación correcta tras el estallido de la crisis.</w:t>
      </w:r>
    </w:p>
    <w:p w:rsidR="00737DC2" w:rsidRPr="00636795" w:rsidRDefault="00737DC2" w:rsidP="00737DC2">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636795">
        <w:rPr>
          <w:rFonts w:ascii="Times New Roman" w:eastAsia="Times New Roman" w:hAnsi="Times New Roman" w:cs="Times New Roman"/>
          <w:color w:val="000000"/>
          <w:sz w:val="24"/>
          <w:szCs w:val="24"/>
          <w:lang w:eastAsia="es-ES"/>
        </w:rPr>
        <w:t>La comisión no se olvida de las responsabilidades políticas y cita al ex presidente George W. Bush, que dejó caer a Lehman Brothers, lo que estuvo a punto de acabar con el sistema económico mundial. Y no se olvida de su antecesor, Bill Clinton, durante cuyo mandato se impulsó la concesión de créditos hipotecarios incluso a aquellos que no podían devolverlos.</w:t>
      </w:r>
    </w:p>
    <w:p w:rsidR="00737DC2" w:rsidRPr="00401966" w:rsidRDefault="00737DC2" w:rsidP="00737DC2">
      <w:pPr>
        <w:pStyle w:val="Default"/>
        <w:spacing w:after="140"/>
        <w:jc w:val="both"/>
        <w:rPr>
          <w:rFonts w:ascii="Times New Roman" w:hAnsi="Times New Roman" w:cs="Times New Roman"/>
          <w:color w:val="FF0000"/>
          <w:u w:val="single"/>
        </w:rPr>
      </w:pPr>
      <w:r w:rsidRPr="00401966">
        <w:rPr>
          <w:rFonts w:ascii="Times New Roman" w:hAnsi="Times New Roman" w:cs="Times New Roman"/>
          <w:color w:val="FF0000"/>
          <w:u w:val="single"/>
        </w:rPr>
        <w:t>La crisis financiera que asoló la economía en 2008 “podría haberse evitado” si no se hubieran producido fallos generalizados en los reguladores, así como una mala gestión en las empresas y la irresponsable toma de riesgos de Wall Street, según reflejan las conclusiones de un informe elaborado por la Comisión Investigadora de la Crisis Financiera, formada por el Congreso de EEUU en 2009.</w:t>
      </w:r>
    </w:p>
    <w:p w:rsidR="00737DC2" w:rsidRDefault="00737DC2" w:rsidP="00737DC2">
      <w:pPr>
        <w:pStyle w:val="NormalWeb"/>
        <w:shd w:val="clear" w:color="auto" w:fill="FFFFFF"/>
        <w:jc w:val="both"/>
        <w:rPr>
          <w:color w:val="000000"/>
        </w:rPr>
      </w:pPr>
      <w:r>
        <w:rPr>
          <w:color w:val="000000"/>
        </w:rPr>
        <w:t>- ¿</w:t>
      </w:r>
      <w:r>
        <w:rPr>
          <w:color w:val="000000"/>
          <w:u w:val="single"/>
        </w:rPr>
        <w:t>Cuánto cuesta el rescate financiero de EEUU? La cantidad total casi asciende al PIB del país</w:t>
      </w:r>
      <w:r>
        <w:rPr>
          <w:color w:val="000000"/>
        </w:rPr>
        <w:t xml:space="preserve"> (Bloomberg - </w:t>
      </w:r>
      <w:r>
        <w:rPr>
          <w:b/>
          <w:color w:val="000000"/>
        </w:rPr>
        <w:t>1/4/2009</w:t>
      </w:r>
      <w:r>
        <w:rPr>
          <w:color w:val="000000"/>
        </w:rPr>
        <w:t>)</w:t>
      </w:r>
    </w:p>
    <w:p w:rsidR="00737DC2" w:rsidRDefault="00737DC2" w:rsidP="00737DC2">
      <w:pPr>
        <w:pStyle w:val="NormalWeb"/>
        <w:shd w:val="clear" w:color="auto" w:fill="FFFFFF"/>
        <w:jc w:val="both"/>
        <w:rPr>
          <w:b/>
          <w:color w:val="FF0000"/>
          <w:u w:val="single"/>
        </w:rPr>
      </w:pPr>
      <w:r>
        <w:rPr>
          <w:color w:val="000000"/>
        </w:rPr>
        <w:t xml:space="preserve">Un alto en el camino para hacer cuentas. Y es que entre tanto plan de estímulo, </w:t>
      </w:r>
      <w:r>
        <w:rPr>
          <w:b/>
          <w:color w:val="FF0000"/>
          <w:u w:val="single"/>
        </w:rPr>
        <w:t>el dinero empleado en la primera economía del mundo para hacer frente a la crisis parece incalculable para los mortales de a pie, pero no lo es. El Gobierno de EEUU y la Fed han gastado, prestado o garantizado un total de 12,8 billones de dólares, una cantidad que se acerca mucho al Producto Interior Bruto (PIB) del país.</w:t>
      </w:r>
    </w:p>
    <w:p w:rsidR="00737DC2" w:rsidRDefault="00737DC2" w:rsidP="00737DC2">
      <w:pPr>
        <w:pStyle w:val="NormalWeb"/>
        <w:shd w:val="clear" w:color="auto" w:fill="FFFFFF"/>
        <w:jc w:val="both"/>
        <w:rPr>
          <w:b/>
          <w:color w:val="FF0000"/>
          <w:u w:val="single"/>
        </w:rPr>
      </w:pPr>
      <w:r>
        <w:rPr>
          <w:b/>
          <w:color w:val="FF0000"/>
          <w:u w:val="single"/>
        </w:rPr>
        <w:t>El dinero asciende a 42.105 dólares por cada hombre, mujer y niño en Estados Unidos y 14 veces los 899.800 millones de dólares de efectivo en circulación. En 2008 el PIB del país fue de 14,2 billones de dólares…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Un informe confidencial del FMI revela la factura de las ayudas a la banca</w:t>
      </w:r>
      <w:r>
        <w:rPr>
          <w:rFonts w:ascii="Times New Roman" w:hAnsi="Times New Roman" w:cs="Times New Roman"/>
          <w:sz w:val="24"/>
          <w:szCs w:val="24"/>
        </w:rPr>
        <w:t xml:space="preserve"> (El País - </w:t>
      </w:r>
      <w:r>
        <w:rPr>
          <w:rFonts w:ascii="Times New Roman" w:hAnsi="Times New Roman" w:cs="Times New Roman"/>
          <w:b/>
          <w:sz w:val="24"/>
          <w:szCs w:val="24"/>
        </w:rPr>
        <w:t>30/5/10</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recursos movilizados para hacer frente a la crisis financiera superan el 25% del PIB en los países desarrollados, según se desprende de los informes confidenciales elaborados por el Fondo Monetario Internacional (FMI) y la Comisión Europea. </w:t>
      </w:r>
      <w:r>
        <w:rPr>
          <w:rFonts w:ascii="Times New Roman" w:hAnsi="Times New Roman" w:cs="Times New Roman"/>
          <w:color w:val="FF0000"/>
          <w:sz w:val="24"/>
          <w:szCs w:val="24"/>
          <w:u w:val="single"/>
        </w:rPr>
        <w:t>El trabajo del FMI ha sido encargado por el G-20 a la vista de los impresionantes recursos aportados o garantizados por los contribuyentes (superiores a los 9,6 billones de dólares) para salvar los bancos, aunque una parte de ellos no han sido utilizados.</w:t>
      </w:r>
      <w:r>
        <w:rPr>
          <w:rFonts w:ascii="Times New Roman" w:hAnsi="Times New Roman" w:cs="Times New Roman"/>
          <w:sz w:val="24"/>
          <w:szCs w:val="24"/>
        </w:rPr>
        <w:t xml:space="preserve"> El G-20 tiene previsto discutir en su reunión en Toronto a finales de junio “cómo el sector financiero podría hacer una justa y sustancial contribución para reparar el sistema bancario”.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impacto para el sector público de la crisis bancaria se concentra prácticamente en </w:t>
      </w:r>
      <w:r>
        <w:rPr>
          <w:rFonts w:ascii="Times New Roman" w:hAnsi="Times New Roman" w:cs="Times New Roman"/>
          <w:b/>
          <w:color w:val="FF0000"/>
          <w:sz w:val="24"/>
          <w:szCs w:val="24"/>
          <w:u w:val="single"/>
        </w:rPr>
        <w:t>los llamados países avanzados del G-20 (Australia, Canadá, Francia, Alemania, Italia, Japón, Corea, Reino Unido y Estados Unidos) con más de 9,5 billones</w:t>
      </w:r>
      <w:r>
        <w:rPr>
          <w:rFonts w:ascii="Times New Roman" w:hAnsi="Times New Roman" w:cs="Times New Roman"/>
          <w:sz w:val="24"/>
          <w:szCs w:val="24"/>
        </w:rPr>
        <w:t>. En los países emergentes del grupo sólo han consumido dinero de los ciudadanos Brasil (1,3% del PIB) y Rusia (9,6%). El resto de miembros del club (Argentina, China, India, Indonesia, México, Arabia Saudí, África del Sur y Turquía) no han gastado ni un céntimo…</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Un reciente informe de la Comisión Europea cifra en 4,1 billones de euros los recursos públicos comprometidos entre octubre de 2008 y marzo de 2010, por 19 Estados europeos, lo que representa el 32,6% del PIB de la UE…</w:t>
      </w:r>
    </w:p>
    <w:p w:rsidR="00737DC2" w:rsidRPr="00306897" w:rsidRDefault="00737DC2" w:rsidP="00737DC2">
      <w:pPr>
        <w:pStyle w:val="Default"/>
        <w:spacing w:after="140"/>
        <w:jc w:val="both"/>
        <w:rPr>
          <w:rFonts w:ascii="Times New Roman" w:hAnsi="Times New Roman" w:cs="Times New Roman"/>
          <w:color w:val="auto"/>
          <w:u w:val="single"/>
        </w:rPr>
      </w:pPr>
      <w:r w:rsidRPr="00306897">
        <w:rPr>
          <w:rFonts w:ascii="Times New Roman" w:hAnsi="Times New Roman" w:cs="Times New Roman"/>
          <w:color w:val="auto"/>
          <w:u w:val="single"/>
        </w:rPr>
        <w:t>La Comisión Lancet COVID-19 destaca “enormes fallos globales” en la respuesta a la pandemia de COVID-19 (</w:t>
      </w:r>
      <w:r w:rsidRPr="002108E1">
        <w:rPr>
          <w:rFonts w:ascii="Times New Roman" w:hAnsi="Times New Roman" w:cs="Times New Roman"/>
          <w:b/>
          <w:color w:val="auto"/>
          <w:u w:val="single"/>
        </w:rPr>
        <w:t>15/9/22</w:t>
      </w:r>
      <w:r w:rsidRPr="00306897">
        <w:rPr>
          <w:rFonts w:ascii="Times New Roman" w:hAnsi="Times New Roman" w:cs="Times New Roman"/>
          <w:color w:val="auto"/>
          <w:u w:val="single"/>
        </w:rPr>
        <w:t xml:space="preserve">) </w:t>
      </w:r>
    </w:p>
    <w:p w:rsidR="00737DC2" w:rsidRPr="001A3C35" w:rsidRDefault="00737DC2" w:rsidP="00737DC2">
      <w:pPr>
        <w:pStyle w:val="Default"/>
        <w:spacing w:after="140"/>
        <w:jc w:val="both"/>
        <w:rPr>
          <w:rFonts w:ascii="Times New Roman" w:hAnsi="Times New Roman" w:cs="Times New Roman"/>
          <w:color w:val="FF0000"/>
          <w:u w:val="single"/>
        </w:rPr>
      </w:pPr>
      <w:r w:rsidRPr="00AF04E2">
        <w:rPr>
          <w:rFonts w:ascii="Times New Roman" w:hAnsi="Times New Roman" w:cs="Times New Roman"/>
          <w:color w:val="auto"/>
        </w:rPr>
        <w:t xml:space="preserve">La Comisión Lancet sobre lecciones para el futuro de la pandemia COVID-19, de la que ISGlobal ha sido uno de los principales colaboradores, ha publicado su primer informe completo que sintetiza la evidencia recogida durante los dos primeros años de la pandemia, incluyendo los últimos análisis epidemiológicos y financieros. </w:t>
      </w:r>
      <w:r w:rsidRPr="001A3C35">
        <w:rPr>
          <w:rFonts w:ascii="Times New Roman" w:hAnsi="Times New Roman" w:cs="Times New Roman"/>
          <w:color w:val="FF0000"/>
          <w:u w:val="single"/>
        </w:rPr>
        <w:t>La Comisión examina de forma crítica la respuesta global a la pandemia, citando fallos generalizados de prevención, transparencia, racionalidad, prácticas de salud pública y cooperación operativa, y solidaridad internacional. El resultado ha sido una cifra estimada de 17,7 millones de muertes (estimación que incluye las que no se han notificado).</w:t>
      </w:r>
    </w:p>
    <w:p w:rsidR="00737DC2" w:rsidRPr="001A3C35" w:rsidRDefault="00737DC2" w:rsidP="00737DC2">
      <w:pPr>
        <w:pStyle w:val="Default"/>
        <w:spacing w:after="140"/>
        <w:jc w:val="both"/>
        <w:rPr>
          <w:rFonts w:ascii="Times New Roman" w:hAnsi="Times New Roman" w:cs="Times New Roman"/>
          <w:color w:val="FF0000"/>
          <w:u w:val="single"/>
        </w:rPr>
      </w:pPr>
      <w:r w:rsidRPr="001A3C35">
        <w:rPr>
          <w:rFonts w:ascii="Times New Roman" w:hAnsi="Times New Roman" w:cs="Times New Roman"/>
          <w:color w:val="FF0000"/>
          <w:u w:val="single"/>
        </w:rPr>
        <w:t>“El asombroso número de víctimas de los dos primeros años de la pandemia de COVID-19 es una profunda tragedia y un enorme fracaso social a múltiples niveles”, afirma el profesor Jeffrey Sachs, presidente de la Comisión, catedrático de la Universidad de Columbia (EEUU) y presidente de la Red de Soluciones para el Desarrollo Sostenible. El informe también concluye que la mayoría de los gobiernos nacionales no estaban preparados y fueron demasiado lentos en su respuesta, prestaron muy poca atención a los grupos más vulnerables, y no cooperaron entre sí. Además, se enfrentaron a los desafíos de la infodemia.</w:t>
      </w:r>
    </w:p>
    <w:p w:rsidR="00737DC2" w:rsidRPr="00AF04E2" w:rsidRDefault="00737DC2" w:rsidP="00737DC2">
      <w:pPr>
        <w:pStyle w:val="Default"/>
        <w:spacing w:after="140"/>
        <w:jc w:val="both"/>
        <w:rPr>
          <w:rFonts w:ascii="Times New Roman" w:hAnsi="Times New Roman" w:cs="Times New Roman"/>
          <w:color w:val="auto"/>
        </w:rPr>
      </w:pPr>
      <w:r w:rsidRPr="00AF04E2">
        <w:rPr>
          <w:rFonts w:ascii="Times New Roman" w:hAnsi="Times New Roman" w:cs="Times New Roman"/>
          <w:color w:val="auto"/>
        </w:rPr>
        <w:t>La Comisión es el resultado de dos años de trabajo de 28 de las principales personas expertas del mundo en políticas públicas, gobernanza internacional, epidemiología, vacunación, economía, finanzas internacionales, sostenibilidad y salud mental, y de consultas con más de 100 colaboradores en sus 12 grupos de trabajo mundiales. La directora científica de ISGlobal, Denise Naniche, fue miembro del grupo de trabajo de vacunas y terapias, mientras que Josep M. Antó, senior Researc Professor, fu</w:t>
      </w:r>
      <w:r>
        <w:rPr>
          <w:rFonts w:ascii="Times New Roman" w:hAnsi="Times New Roman" w:cs="Times New Roman"/>
          <w:color w:val="auto"/>
        </w:rPr>
        <w:t xml:space="preserve">e miembro del grupo de trabajo </w:t>
      </w:r>
      <w:r w:rsidRPr="00AF04E2">
        <w:rPr>
          <w:rFonts w:ascii="Times New Roman" w:hAnsi="Times New Roman" w:cs="Times New Roman"/>
          <w:color w:val="auto"/>
        </w:rPr>
        <w:t>sobre recuperación verde. Además, Jeffrey V Lazarus, jefe del grupo de investigación en sistemas de salud, fue miembro del grupo de trabajo de medidas de salud pública para acabar con la pandemia y es coautor d</w:t>
      </w:r>
      <w:r>
        <w:rPr>
          <w:rFonts w:ascii="Times New Roman" w:hAnsi="Times New Roman" w:cs="Times New Roman"/>
          <w:color w:val="auto"/>
        </w:rPr>
        <w:t>e este primer informe completo.</w:t>
      </w:r>
    </w:p>
    <w:p w:rsidR="00737DC2" w:rsidRPr="00AF04E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lastRenderedPageBreak/>
        <w:t>“</w:t>
      </w:r>
      <w:r w:rsidRPr="00AF04E2">
        <w:rPr>
          <w:rFonts w:ascii="Times New Roman" w:hAnsi="Times New Roman" w:cs="Times New Roman"/>
          <w:color w:val="auto"/>
        </w:rPr>
        <w:t>Nuestro informe es una llamada de atención para revigorizar las medidas de respuesta y ayudar a acabar con la pandemia com</w:t>
      </w:r>
      <w:r>
        <w:rPr>
          <w:rFonts w:ascii="Times New Roman" w:hAnsi="Times New Roman" w:cs="Times New Roman"/>
          <w:color w:val="auto"/>
        </w:rPr>
        <w:t>o amenaza para la salud pública”, afirma Jeffrey V Lazarus. “</w:t>
      </w:r>
      <w:r w:rsidRPr="00AF04E2">
        <w:rPr>
          <w:rFonts w:ascii="Times New Roman" w:hAnsi="Times New Roman" w:cs="Times New Roman"/>
          <w:color w:val="auto"/>
        </w:rPr>
        <w:t>Pedimos la colaboración de todos los países, incluida España, para poner en marcha un plan integral de respuesta a la pandemia y comunicarlo claramente a la pob</w:t>
      </w:r>
      <w:r>
        <w:rPr>
          <w:rFonts w:ascii="Times New Roman" w:hAnsi="Times New Roman" w:cs="Times New Roman"/>
          <w:color w:val="auto"/>
        </w:rPr>
        <w:t>lación”</w:t>
      </w:r>
      <w:r w:rsidRPr="00AF04E2">
        <w:rPr>
          <w:rFonts w:ascii="Times New Roman" w:hAnsi="Times New Roman" w:cs="Times New Roman"/>
          <w:color w:val="auto"/>
        </w:rPr>
        <w:t>, concluye.</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Los autores</w:t>
      </w:r>
      <w:r w:rsidRPr="00AF04E2">
        <w:rPr>
          <w:rFonts w:ascii="Times New Roman" w:hAnsi="Times New Roman" w:cs="Times New Roman"/>
          <w:color w:val="auto"/>
        </w:rPr>
        <w:t>, de renombre mundial, ofrecen medidas prácticas para garantizar que el COVID-19 deje de ser una amenaza para la salud pública. Las 11 recomendaciones incluyen una estrategia de vacunación plus, y acciones para fortalecer el multilateralismo y reforzar los sistemas nacionales de salud, así como planes de preparación para defenderse de futuras amenazas sanitarias mundiales y lograr un desarrollo sostenible.</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BCE, la Fed y el Banco de Japón elevan su balance en cuatro billones en tres meses</w:t>
      </w:r>
      <w:r>
        <w:rPr>
          <w:rFonts w:ascii="Times New Roman" w:hAnsi="Times New Roman" w:cs="Times New Roman"/>
          <w:sz w:val="24"/>
          <w:szCs w:val="24"/>
        </w:rPr>
        <w:t xml:space="preserve"> (Cinco Días - </w:t>
      </w:r>
      <w:r>
        <w:rPr>
          <w:rFonts w:ascii="Times New Roman" w:hAnsi="Times New Roman" w:cs="Times New Roman"/>
          <w:b/>
          <w:sz w:val="24"/>
          <w:szCs w:val="24"/>
        </w:rPr>
        <w:t>2/7/20</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Despliegan una batería de medidas para hacer frente a la pandemia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zh-CN"/>
        </w:rPr>
        <w:drawing>
          <wp:inline distT="0" distB="0" distL="0" distR="0">
            <wp:extent cx="5734050" cy="3086100"/>
            <wp:effectExtent l="0" t="0" r="0" b="0"/>
            <wp:docPr id="237" name="Imagen 237" descr="El BCE, la Fed y el Banco de Japón elevan su balance en cuatro billones en tres me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4" descr="El BCE, la Fed y el Banco de Japón elevan su balance en cuatro billones en tres meses"/>
                    <pic:cNvPicPr>
                      <a:picLocks noChangeAspect="1" noChangeArrowheads="1"/>
                    </pic:cNvPicPr>
                  </pic:nvPicPr>
                  <pic:blipFill>
                    <a:blip r:embed="rId2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086100"/>
                    </a:xfrm>
                    <a:prstGeom prst="rect">
                      <a:avLst/>
                    </a:prstGeom>
                    <a:noFill/>
                    <a:ln>
                      <a:noFill/>
                    </a:ln>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Si algo dejó claro la pasada crisis financiera es que cuanto más se dilate la aplicación de medidas más lenta puede ser la recuperación, por eso esta vez Gobiernos e instituciones se han afanado en poner en marcha iniciativas para paliar los efectos negativos de la pandemia.</w:t>
      </w:r>
      <w:r>
        <w:rPr>
          <w:rFonts w:ascii="Times New Roman" w:hAnsi="Times New Roman" w:cs="Times New Roman"/>
          <w:sz w:val="24"/>
          <w:szCs w:val="24"/>
        </w:rPr>
        <w:t xml:space="preserve"> Los bancos centrales son el mejor reflejo de esta corriente y desde el pasado mes de marzo han desplegado un abanico de propuestas para apoyar la recuperación. Un movimiento que se ha traducido en la inyección de dinero en el sistema para evitar problemas de liquidez y mantener bajo control los costes de financiación.</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política monetaria. Si el año pasado la idea que imperaba en el mercado era la normalización, en este 2020 las medidas no convencionales vuelven a tomar el relevo</w:t>
      </w:r>
      <w:r>
        <w:rPr>
          <w:rFonts w:ascii="Times New Roman" w:hAnsi="Times New Roman" w:cs="Times New Roman"/>
          <w:sz w:val="24"/>
          <w:szCs w:val="24"/>
        </w:rPr>
        <w:t xml:space="preserve">. </w:t>
      </w:r>
      <w:r>
        <w:rPr>
          <w:rFonts w:ascii="Times New Roman" w:hAnsi="Times New Roman" w:cs="Times New Roman"/>
          <w:b/>
          <w:color w:val="FF0000"/>
          <w:sz w:val="24"/>
          <w:szCs w:val="24"/>
          <w:u w:val="single"/>
        </w:rPr>
        <w:t xml:space="preserve">Desde el pasado mes de marzo, momento en el que la pandemia comenzó su expansión por Europa y EEUU, el balance de los tres grandes bancos centrales del planeta (el BCE, la Reserva Federal y el Banco de Japón) ha aumentado de manera conjunta en más de cuatro billones de euros, pasando de los 9,04 billones que tenían a cierre de febrero a los </w:t>
      </w:r>
      <w:r>
        <w:rPr>
          <w:rFonts w:ascii="Times New Roman" w:hAnsi="Times New Roman" w:cs="Times New Roman"/>
          <w:b/>
          <w:color w:val="FF0000"/>
          <w:sz w:val="24"/>
          <w:szCs w:val="24"/>
          <w:u w:val="single"/>
        </w:rPr>
        <w:lastRenderedPageBreak/>
        <w:t>13,35 billones actuales. El incremento de los balances sido una corriente progresiva desde 2008, pero la llegada de la crisis derivada del coronavirus ha provocado un incremento exponencial hasta niveles históricos.</w:t>
      </w:r>
    </w:p>
    <w:p w:rsidR="00737DC2" w:rsidRDefault="00737DC2" w:rsidP="00737DC2">
      <w:pPr>
        <w:spacing w:line="240" w:lineRule="auto"/>
        <w:jc w:val="both"/>
        <w:rPr>
          <w:rFonts w:ascii="Times New Roman" w:hAnsi="Times New Roman" w:cs="Times New Roman"/>
          <w:sz w:val="24"/>
          <w:szCs w:val="24"/>
          <w:u w:val="single"/>
        </w:rPr>
      </w:pPr>
      <w:r>
        <w:rPr>
          <w:rFonts w:ascii="Times New Roman" w:hAnsi="Times New Roman" w:cs="Times New Roman"/>
          <w:b/>
          <w:color w:val="FF0000"/>
          <w:sz w:val="24"/>
          <w:szCs w:val="24"/>
          <w:u w:val="single"/>
        </w:rPr>
        <w:t>El BCE, que en cuestión de meses ha pasado de estudiar una subida de los tipos a poner en marcha el programa de compras frente a la pandemia, ha elevado su balance un 31,9% (más de un billón), hasta los 6,2 billones de euros, el 52,8% del PIB de la zona euro</w:t>
      </w:r>
      <w:r>
        <w:rPr>
          <w:rFonts w:ascii="Times New Roman" w:hAnsi="Times New Roman" w:cs="Times New Roman"/>
          <w:sz w:val="24"/>
          <w:szCs w:val="24"/>
        </w:rPr>
        <w:t xml:space="preserve">. La institución que preside Christine Lagarde era reacia a la aplicación de nuevas medidas. Sin embargo, el incremento de las rentabilidades en el mercado de deuda, especialmente la de los países periféricos, revivió los fantasmas de 2011. El organismo rectificó y siguiendo los pasos de la Fed, puso en marcha una batería de medidas. </w:t>
      </w:r>
      <w:r>
        <w:rPr>
          <w:rFonts w:ascii="Times New Roman" w:hAnsi="Times New Roman" w:cs="Times New Roman"/>
          <w:sz w:val="24"/>
          <w:szCs w:val="24"/>
          <w:u w:val="single"/>
        </w:rPr>
        <w:t>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 xml:space="preserve">Como complemento a todo esto, el BCE puso en marcha el programa de compras de deuda. El plan, que en un principio estaba valorado en 750.00 millones de euros, fue ampliado en 600.000 millones, hasta los 1,36 billones. </w:t>
      </w:r>
      <w:r>
        <w:rPr>
          <w:rFonts w:ascii="Times New Roman" w:hAnsi="Times New Roman" w:cs="Times New Roman"/>
          <w:b/>
          <w:color w:val="FF0000"/>
          <w:sz w:val="24"/>
          <w:szCs w:val="24"/>
          <w:u w:val="single"/>
        </w:rPr>
        <w:t>Con todo ello el balance del organismo podría concluir 2020 en los 9 billones desde los 4,69 con los que comenzó el año.</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equivale al 32,6% del PIB de EEUU. Atendiendo a las declaraciones efectuadas por el secretario del Tesoro, Steven Mnuchin, la institución podría finalizar el año con un balance cercano a los ocho billones de euros, cifra no registrada hasta la fecha.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Japón y Reino Unido amplían las compras de activos</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Banco de Japón. La flexibilización monetaria es una de las características de las actuaciones del Banco Central de Japón, que mantiene los tipos de interés en el -0,1%</w:t>
      </w:r>
      <w:r>
        <w:rPr>
          <w:rFonts w:ascii="Times New Roman" w:hAnsi="Times New Roman" w:cs="Times New Roman"/>
          <w:sz w:val="24"/>
          <w:szCs w:val="24"/>
        </w:rPr>
        <w:t xml:space="preserve">.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w:t>
      </w:r>
      <w:r>
        <w:rPr>
          <w:rFonts w:ascii="Times New Roman" w:hAnsi="Times New Roman" w:cs="Times New Roman"/>
          <w:b/>
          <w:color w:val="FF0000"/>
          <w:sz w:val="24"/>
          <w:szCs w:val="24"/>
          <w:u w:val="single"/>
        </w:rPr>
        <w:t>Las medidas aplicadas desde comienzos de año han llevado a la institución a elevar su balance desde los 4,9 billones de euros hasta 5,4 billones de euros, con lo que se sitúa por encima del 115% del PIB.</w:t>
      </w:r>
    </w:p>
    <w:p w:rsidR="00737DC2" w:rsidRDefault="00737DC2" w:rsidP="00737DC2">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Banco de Inglaterra</w:t>
      </w:r>
      <w:r>
        <w:rPr>
          <w:rFonts w:ascii="Times New Roman" w:hAnsi="Times New Roman" w:cs="Times New Roman"/>
          <w:sz w:val="24"/>
          <w:szCs w:val="24"/>
        </w:rPr>
        <w:t xml:space="preserve">. La institución ha ampliado su programa de compra en 1.110 millones de euros, hasta los 832.500 millones. </w:t>
      </w:r>
      <w:r>
        <w:rPr>
          <w:rFonts w:ascii="Times New Roman" w:hAnsi="Times New Roman" w:cs="Times New Roman"/>
          <w:b/>
          <w:color w:val="FF0000"/>
          <w:sz w:val="24"/>
          <w:szCs w:val="24"/>
          <w:u w:val="single"/>
        </w:rPr>
        <w:t>El balance del Banco de Inglaterra no ha escapado a los repuntes. Esto, unido a la caída del PIB, ha provocado que en cuestión de tres meses el balance pasara de representar el 21,7% del PIB al 31,3% actual.</w:t>
      </w:r>
    </w:p>
    <w:p w:rsidR="00737DC2" w:rsidRPr="00306897" w:rsidRDefault="00737DC2" w:rsidP="00737DC2">
      <w:pPr>
        <w:pStyle w:val="Default"/>
        <w:spacing w:after="140"/>
        <w:jc w:val="both"/>
        <w:rPr>
          <w:rFonts w:ascii="Times New Roman" w:hAnsi="Times New Roman" w:cs="Times New Roman"/>
          <w:b/>
          <w:color w:val="auto"/>
        </w:rPr>
      </w:pPr>
      <w:r w:rsidRPr="00306897">
        <w:rPr>
          <w:rFonts w:ascii="Times New Roman" w:hAnsi="Times New Roman" w:cs="Times New Roman"/>
          <w:b/>
          <w:color w:val="auto"/>
        </w:rPr>
        <w:lastRenderedPageBreak/>
        <w:t>La Agenda 2030, el Pacto Verde, y otros Pueblos Potemkin</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w:t>
      </w:r>
      <w:r w:rsidRPr="00422E5B">
        <w:rPr>
          <w:rFonts w:ascii="Times New Roman" w:hAnsi="Times New Roman" w:cs="Times New Roman"/>
          <w:color w:val="auto"/>
        </w:rPr>
        <w:t>En política y economía, un pueblo Potemkin es cualquier construcción (literal o figurativa) cuyo único propósito es proporcionar una fachada externa a un país al que le va mal, haciendo que la gente crea que al país le va mejor. El término proviene de las historias de una aldea portátil falsa construida únicamente para impresionar a la emperatriz Catalina II por su antiguo amante Grigori Potemkin, du</w:t>
      </w:r>
      <w:r>
        <w:rPr>
          <w:rFonts w:ascii="Times New Roman" w:hAnsi="Times New Roman" w:cs="Times New Roman"/>
          <w:color w:val="auto"/>
        </w:rPr>
        <w:t>rante su viaje a Crimea en 1787)</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La Agenda 2030 o el Gran Reseteo son pactos del establishment</w:t>
      </w:r>
      <w:r w:rsidRPr="00845315">
        <w:rPr>
          <w:rFonts w:ascii="Times New Roman" w:hAnsi="Times New Roman" w:cs="Times New Roman"/>
          <w:color w:val="auto"/>
        </w:rPr>
        <w:t xml:space="preserve">, que difícilmente la opinión pública acepte de buen grado, aunque vengan con moño democrático y envueltos en el celofán de la prosperidad </w:t>
      </w:r>
      <w:r>
        <w:rPr>
          <w:rFonts w:ascii="Times New Roman" w:hAnsi="Times New Roman" w:cs="Times New Roman"/>
          <w:color w:val="auto"/>
        </w:rPr>
        <w:t xml:space="preserve">prometida. Aunque </w:t>
      </w:r>
      <w:r w:rsidRPr="00845315">
        <w:rPr>
          <w:rFonts w:ascii="Times New Roman" w:hAnsi="Times New Roman" w:cs="Times New Roman"/>
          <w:color w:val="auto"/>
        </w:rPr>
        <w:t>nunca se sabe, en realidad, cómo reaccionará un inconsciente colectivo que suele ser voluble y, en consecuencia, una clase dirigente oportunista que actúa, como el fútbol, en la dinámica de lo impensado</w:t>
      </w:r>
      <w:r>
        <w:rPr>
          <w:rFonts w:ascii="Times New Roman" w:hAnsi="Times New Roman" w:cs="Times New Roman"/>
          <w:color w:val="auto"/>
        </w:rPr>
        <w:t>.</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Para mantener esa fachada de hipocresía los “amos del universo” están (o estaban, y estarán) dispuestos a olvidar l</w:t>
      </w:r>
      <w:r w:rsidRPr="00845315">
        <w:rPr>
          <w:rFonts w:ascii="Times New Roman" w:hAnsi="Times New Roman" w:cs="Times New Roman"/>
          <w:color w:val="auto"/>
        </w:rPr>
        <w:t xml:space="preserve">a realidad del gulag en Rusia, los crímenes </w:t>
      </w:r>
      <w:r>
        <w:rPr>
          <w:rFonts w:ascii="Times New Roman" w:hAnsi="Times New Roman" w:cs="Times New Roman"/>
          <w:color w:val="auto"/>
        </w:rPr>
        <w:t>de Mao, las matanzas de Camboya, u otras malhadadas experiencias, sin exigir que se asuman responsabilidades legales, o morales, sobre esos, o similares casos.</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 xml:space="preserve">Algunos estudiosos podrán preguntarse si esos “grandes logros” de los globalistas, terraplanistas, librecambistas, o simplemente “ventajeros”, </w:t>
      </w:r>
      <w:r w:rsidRPr="00845315">
        <w:rPr>
          <w:rFonts w:ascii="Times New Roman" w:hAnsi="Times New Roman" w:cs="Times New Roman"/>
          <w:color w:val="auto"/>
        </w:rPr>
        <w:t xml:space="preserve">se inscriben en la historia de la liberación de los </w:t>
      </w:r>
      <w:r>
        <w:rPr>
          <w:rFonts w:ascii="Times New Roman" w:hAnsi="Times New Roman" w:cs="Times New Roman"/>
          <w:color w:val="auto"/>
        </w:rPr>
        <w:t>hombres o en la de la opresión</w:t>
      </w:r>
      <w:r w:rsidRPr="00845315">
        <w:rPr>
          <w:rFonts w:ascii="Times New Roman" w:hAnsi="Times New Roman" w:cs="Times New Roman"/>
          <w:color w:val="auto"/>
        </w:rPr>
        <w:t xml:space="preserve">. </w:t>
      </w:r>
    </w:p>
    <w:p w:rsidR="00737DC2" w:rsidRPr="00306897" w:rsidRDefault="00737DC2" w:rsidP="00737DC2">
      <w:pPr>
        <w:spacing w:line="240" w:lineRule="auto"/>
        <w:jc w:val="both"/>
        <w:rPr>
          <w:rFonts w:ascii="Times New Roman" w:hAnsi="Times New Roman" w:cs="Times New Roman"/>
          <w:sz w:val="24"/>
          <w:szCs w:val="24"/>
          <w:u w:val="single"/>
        </w:rPr>
      </w:pPr>
      <w:r w:rsidRPr="00306897">
        <w:rPr>
          <w:rFonts w:ascii="Times New Roman" w:hAnsi="Times New Roman" w:cs="Times New Roman"/>
          <w:sz w:val="24"/>
          <w:szCs w:val="24"/>
          <w:u w:val="single"/>
        </w:rPr>
        <w:t>La Unión Europea, atrapada entre la pandemia y la guerra, se hace trampas en el solitario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(Febrero 2022) El “mensaje” de la Comisión Europea al Foro Económico Mundial (Davos), Greenpeace, Greta Thunberg, y otros “zumbados” de la “tierra plana”: “Europa acabará muerta, pero resiliente” (“la valentía es una virtud de subtenientes” - Conrad).</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La “realpolitik” de la Unión Europea (gestada, parida, y arropada, por la Cancillería Federal Alemana), se demuestra absurda, tramposa y opaca, cual es norma de la casa.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 ni en el económico, ni en el social, ni en el diplomático,… Todo son titubeos y zigzagueos, manotazos de un zombi perdido en las tinieblas de un film de serie B.</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guerra de Putin carente de razón alguna que justifique la sumisión de un país y la anexión de un territorio por la fuerza de las armas, levanta una polvareda cegadora, la Unión Europea permanece paralizada, conteniendo el aliento, incapacitada voluntariamente para enfrentarse a una multitud de acontecimientos desfavorables.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eficaz o sensata desde la Unión Europea. La Comisión eco-feminista, progre, globalista, multilateral, virtual, pragmática, pacifista, dialogante, consensual, resiliente… ha demostrado ser el artefacto más inservible de la reciente historia europea, una colección de </w:t>
      </w:r>
      <w:r>
        <w:rPr>
          <w:rFonts w:ascii="Times New Roman" w:hAnsi="Times New Roman" w:cs="Times New Roman"/>
          <w:sz w:val="24"/>
          <w:szCs w:val="24"/>
        </w:rPr>
        <w:lastRenderedPageBreak/>
        <w:t>pazguatos resentidos, gandules excelsos, ignorantes revenidos, incapaces de hilvanar una sola respuesta a la descomunal tormenta que todo lo arrasa.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Solo falta que la presidenta de la Comisión Europea Ursula von der Leyen (política, y médica alemana), en una constatación perfecta de la inutilidad, salga en “Euronews”, para anunciar que la Unión Europea: “está un peldaño más cerca de tocar fondo”.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El mal del malvado siempre tiene un porqué que le beneficia a él y eso lo diferencia del mal del idiota, que es capaz de reventarlo todo sin beneficio para sí mismo. Y mientras, los europeos, continúan esperando que alguien les cuente una verdad incómoda.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¿Es incongruente apostar por aprovisionamientos de países tan inestables (como Ucrania) o tan dictatoriales (como Rusia, o China), cuando la UE se niega a volver a la energía nuclear y los hidrocarburos, o a explotar mediante fracking unas reservas europeas que se suponen importantes, o cuando resuelve abandonar (o desalentar) las actividades agrícolas propias que le permitirían alcanzar la soberanía alimentaria? Por supuesto. Y por eso merecen el repudio.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¿Eso es realpolitik? La que no evita guerras, y reconoce un mundo que no nos conviene, pero que sí le interesa a terceros países. Los mercaderes europeos aceptan el camino de los otros.</w:t>
      </w:r>
    </w:p>
    <w:p w:rsidR="00737DC2" w:rsidRPr="00306897" w:rsidRDefault="00737DC2" w:rsidP="00737DC2">
      <w:pPr>
        <w:pStyle w:val="NormalWeb"/>
        <w:jc w:val="both"/>
        <w:textAlignment w:val="baseline"/>
        <w:rPr>
          <w:u w:val="single"/>
        </w:rPr>
      </w:pPr>
      <w:r w:rsidRPr="00306897">
        <w:rPr>
          <w:u w:val="single"/>
        </w:rPr>
        <w:t>El populismo pedante de unos burócratas que fingen guiarnos a través de la oscuridad</w:t>
      </w:r>
    </w:p>
    <w:p w:rsidR="00737DC2" w:rsidRDefault="00737DC2" w:rsidP="00737DC2">
      <w:pPr>
        <w:pStyle w:val="NormalWeb"/>
        <w:jc w:val="both"/>
        <w:textAlignment w:val="baseline"/>
      </w:pPr>
      <w:r>
        <w:t>Complejo de inferioridad, cuando se trata de negociar (litigar, debatir, competir) con los EEUU o China… y fatua superioridad moral, cuando se trata de aplicar políticas (dogmas (paradigmas, mantras), que puedan afectar a los ciudadanos europeos. El oxímoron de los líderes europeos: ser buenos con los malos, y malos con los buenos. O sea.</w:t>
      </w:r>
    </w:p>
    <w:p w:rsidR="00737DC2" w:rsidRPr="00CE3602" w:rsidRDefault="00737DC2" w:rsidP="00737DC2">
      <w:pPr>
        <w:pStyle w:val="NormalWeb"/>
        <w:jc w:val="both"/>
        <w:textAlignment w:val="baseline"/>
        <w:rPr>
          <w:shd w:val="clear" w:color="auto" w:fill="FFFFFF"/>
        </w:rPr>
      </w:pPr>
      <w:r w:rsidRPr="00CE3602">
        <w:rPr>
          <w:rStyle w:val="Textoennegrita"/>
          <w:rFonts w:eastAsiaTheme="majorEastAsia"/>
          <w:b w:val="0"/>
          <w:shd w:val="clear" w:color="auto" w:fill="FFFFFF"/>
        </w:rPr>
        <w:t>Nadie da un euro por la Comisión Europea. El ilusionismo barato suministrado estos años desde Bruselas ya no sirve. Esos eslóganes estúpidos, esas poses pretenciosas, esas comparecencias huecas funcionaban en tiempos apacibles</w:t>
      </w:r>
      <w:r w:rsidRPr="00CE3602">
        <w:rPr>
          <w:shd w:val="clear" w:color="auto" w:fill="FFFFFF"/>
        </w:rPr>
        <w:t>, cuando la ciudanía consumía, y no había crisis. Ahora Europa reclama seriedad, y </w:t>
      </w:r>
      <w:hyperlink r:id="rId296" w:tgtFrame="_blank" w:history="1">
        <w:r w:rsidRPr="00CE3602">
          <w:rPr>
            <w:rStyle w:val="Hipervnculo"/>
            <w:rFonts w:eastAsiaTheme="majorEastAsia"/>
            <w:shd w:val="clear" w:color="auto" w:fill="FFFFFF"/>
          </w:rPr>
          <w:t xml:space="preserve">la población eleva la voz, </w:t>
        </w:r>
      </w:hyperlink>
      <w:r w:rsidRPr="00CE3602">
        <w:rPr>
          <w:shd w:val="clear" w:color="auto" w:fill="FFFFFF"/>
        </w:rPr>
        <w:t>quizás esta vez con acierto. Y aunque así no sea. </w:t>
      </w:r>
      <w:r w:rsidRPr="00CE3602">
        <w:rPr>
          <w:rStyle w:val="Textoennegrita"/>
          <w:rFonts w:eastAsiaTheme="majorEastAsia"/>
          <w:b w:val="0"/>
          <w:shd w:val="clear" w:color="auto" w:fill="FFFFFF"/>
        </w:rPr>
        <w:t>Algo ha mudado en el tuétano de una sociedad harta</w:t>
      </w:r>
      <w:r w:rsidRPr="00CE3602">
        <w:rPr>
          <w:shd w:val="clear" w:color="auto" w:fill="FFFFFF"/>
        </w:rPr>
        <w:t> del catecismo woke, las tontadas de género (todas y todes), la cultura de la cancelación, la verborragia ecologista, el dispendio desaforado, el gasto interminable, el engaño persistente, la deuda impagable, esa profusa ineptitud que ha colocado a Europa en el lugar postrero de la fila de la recuperación post pandemia.</w:t>
      </w:r>
    </w:p>
    <w:p w:rsidR="00737DC2" w:rsidRDefault="00737DC2" w:rsidP="00737DC2">
      <w:pPr>
        <w:pStyle w:val="NormalWeb"/>
        <w:jc w:val="both"/>
        <w:textAlignment w:val="baseline"/>
        <w:rPr>
          <w:shd w:val="clear" w:color="auto" w:fill="FFFFFF"/>
        </w:rPr>
      </w:pPr>
      <w:r>
        <w:rPr>
          <w:shd w:val="clear" w:color="auto" w:fill="FFFFFF"/>
        </w:rPr>
        <w:t>A la ciudadanía europea se le acabó la paciencia y a la Comisión Europea las trampas. Ni los que los nombraron para tan “anodino” cargo, se fían de ellos para continuar medrando.</w:t>
      </w:r>
    </w:p>
    <w:p w:rsidR="00737DC2" w:rsidRDefault="00737DC2" w:rsidP="00737DC2">
      <w:pPr>
        <w:pStyle w:val="NormalWeb"/>
        <w:jc w:val="both"/>
        <w:textAlignment w:val="baseline"/>
        <w:rPr>
          <w:shd w:val="clear" w:color="auto" w:fill="FFFFFF"/>
        </w:rPr>
      </w:pPr>
      <w:r>
        <w:rPr>
          <w:shd w:val="clear" w:color="auto" w:fill="FFFFFF"/>
        </w:rPr>
        <w:t>Diseñaron una Europa dividida entre funcionarios y empleados precarios en el sector servicios (que en muchos casos, deben aceptar el humillante papel de “falsos autónomos”). Renunciaron a la autonomía industrial, abandonaron la soberanía alimentaria, cancelaron las opciones energéticas independientes, abdicaron de una fuerza militar europea… ¿and now?</w:t>
      </w:r>
    </w:p>
    <w:p w:rsidR="00737DC2" w:rsidRPr="00306897" w:rsidRDefault="00737DC2" w:rsidP="00737DC2">
      <w:pPr>
        <w:spacing w:line="240" w:lineRule="auto"/>
        <w:jc w:val="both"/>
        <w:rPr>
          <w:rFonts w:ascii="Times New Roman" w:hAnsi="Times New Roman" w:cs="Times New Roman"/>
          <w:b/>
          <w:sz w:val="24"/>
          <w:szCs w:val="24"/>
        </w:rPr>
      </w:pPr>
      <w:r w:rsidRPr="00306897">
        <w:rPr>
          <w:rFonts w:ascii="Times New Roman" w:hAnsi="Times New Roman" w:cs="Times New Roman"/>
          <w:b/>
          <w:sz w:val="24"/>
          <w:szCs w:val="24"/>
        </w:rPr>
        <w:t>E</w:t>
      </w:r>
      <w:r>
        <w:rPr>
          <w:rFonts w:ascii="Times New Roman" w:hAnsi="Times New Roman" w:cs="Times New Roman"/>
          <w:b/>
          <w:sz w:val="24"/>
          <w:szCs w:val="24"/>
        </w:rPr>
        <w:t>l retorno de la inflación a los países avanzados</w:t>
      </w:r>
    </w:p>
    <w:p w:rsidR="00737DC2" w:rsidRDefault="00737DC2" w:rsidP="00737DC2">
      <w:pPr>
        <w:pStyle w:val="Default"/>
        <w:spacing w:after="140"/>
        <w:jc w:val="both"/>
        <w:rPr>
          <w:rFonts w:ascii="Times New Roman" w:hAnsi="Times New Roman" w:cs="Times New Roman"/>
          <w:color w:val="auto"/>
        </w:rPr>
      </w:pPr>
      <w:r w:rsidRPr="00686911">
        <w:rPr>
          <w:rFonts w:ascii="Times New Roman" w:hAnsi="Times New Roman" w:cs="Times New Roman"/>
          <w:color w:val="auto"/>
        </w:rPr>
        <w:t xml:space="preserve">La inflación ha regresado con más celeridad, ha aumentado con más fuerza y ha demostrado ser más obstinada y persistente de lo que creían posible los bancos centrales en un principio.  Después de dominar inicialmente los titulares en Estados Unidos, el problema se ha </w:t>
      </w:r>
      <w:r w:rsidRPr="00686911">
        <w:rPr>
          <w:rFonts w:ascii="Times New Roman" w:hAnsi="Times New Roman" w:cs="Times New Roman"/>
          <w:color w:val="auto"/>
        </w:rPr>
        <w:lastRenderedPageBreak/>
        <w:t xml:space="preserve">convertido en una pieza central de las discusiones sobre políticas en muchas economías avanzadas. </w:t>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crisis inflacionista, que resucitó en los ciudadanos norteamericanos o europeos un fantasma inédito durante décadas, todavía golpea a las familias con una fuerza similar a la que ha caracterizado el último año, pero se va alejando de los récords que empezó a coleccionar desde el inicio de la guerra de Ucrania.</w:t>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inflación de Estados Unidos batió en junio (2022) un nuevo récord en los últimos cuarenta años al situar su tasa interanual en el 9,1%, su mayor nivel desde noviembre de 1981.</w:t>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tasa de inflación interanual de la eurozona aumentó en siete décimas en octubre (2022) y se situó en el 10,6 %, lo que supuso un récord en la historia del área de la moneda única.</w:t>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inflación sigue subiendo, pero cada vez menos. Y, sobre todo, es distinta. El de la luz constituye solo un ejemplo de hasta qué punto la espiral de precios de la energía ya no es la única responsable -ni siquiera la principal- de que las familias americanas o europeas sean cada vez más pobres. Toda la economía ha sucumbido, con los alimentos, el transporte y los hoteles y restaurantes a la cabeza.</w:t>
      </w:r>
    </w:p>
    <w:p w:rsidR="00737DC2" w:rsidRPr="00EA27DC" w:rsidRDefault="00737DC2" w:rsidP="00737DC2">
      <w:pPr>
        <w:pStyle w:val="Default"/>
        <w:spacing w:after="140"/>
        <w:jc w:val="both"/>
        <w:rPr>
          <w:rFonts w:ascii="Times New Roman" w:hAnsi="Times New Roman" w:cs="Times New Roman"/>
          <w:color w:val="auto"/>
        </w:rPr>
      </w:pPr>
    </w:p>
    <w:p w:rsidR="00737DC2" w:rsidRPr="00EA27DC" w:rsidRDefault="00737DC2" w:rsidP="00737DC2">
      <w:pPr>
        <w:pStyle w:val="Default"/>
        <w:spacing w:after="140"/>
        <w:jc w:val="both"/>
        <w:rPr>
          <w:rFonts w:ascii="Times New Roman" w:hAnsi="Times New Roman" w:cs="Times New Roman"/>
          <w:color w:val="auto"/>
        </w:rPr>
      </w:pPr>
      <w:r w:rsidRPr="00EA27DC">
        <w:rPr>
          <w:noProof/>
          <w:color w:val="auto"/>
          <w:lang w:val="en-GB" w:eastAsia="zh-CN"/>
        </w:rPr>
        <w:drawing>
          <wp:inline distT="0" distB="0" distL="0" distR="0">
            <wp:extent cx="5731510" cy="1622125"/>
            <wp:effectExtent l="0" t="0" r="2540" b="0"/>
            <wp:docPr id="238" name="Imagen 238"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áfico – inflación histórica del IPC Estados Unidos - evolución de la inflación a largo plazo"/>
                    <pic:cNvPicPr>
                      <a:picLocks noChangeAspect="1" noChangeArrowheads="1"/>
                    </pic:cNvPicPr>
                  </pic:nvPicPr>
                  <pic:blipFill>
                    <a:blip r:embed="rId2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622125"/>
                    </a:xfrm>
                    <a:prstGeom prst="rect">
                      <a:avLst/>
                    </a:prstGeom>
                    <a:noFill/>
                    <a:ln>
                      <a:noFill/>
                    </a:ln>
                  </pic:spPr>
                </pic:pic>
              </a:graphicData>
            </a:graphic>
          </wp:inline>
        </w:drawing>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Inflación histórica en EEUU (Fuente: inflation.eu)</w:t>
      </w:r>
    </w:p>
    <w:p w:rsidR="00737DC2" w:rsidRPr="00EA27DC" w:rsidRDefault="00737DC2" w:rsidP="00737DC2">
      <w:pPr>
        <w:pStyle w:val="Default"/>
        <w:spacing w:after="140"/>
        <w:jc w:val="both"/>
        <w:rPr>
          <w:rFonts w:ascii="Times New Roman" w:hAnsi="Times New Roman" w:cs="Times New Roman"/>
          <w:color w:val="auto"/>
        </w:rPr>
      </w:pPr>
      <w:r w:rsidRPr="00EA27DC">
        <w:rPr>
          <w:noProof/>
          <w:color w:val="auto"/>
          <w:lang w:val="en-GB" w:eastAsia="zh-CN"/>
        </w:rPr>
        <w:drawing>
          <wp:inline distT="0" distB="0" distL="0" distR="0">
            <wp:extent cx="5731510" cy="1622125"/>
            <wp:effectExtent l="0" t="0" r="2540" b="0"/>
            <wp:docPr id="239" name="Imagen 239" descr="Gráfico – inflación histórica del IPCA Europa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 inflación histórica del IPCA Europa - evolución de la inflación a largo plazo"/>
                    <pic:cNvPicPr>
                      <a:picLocks noChangeAspect="1" noChangeArrowheads="1"/>
                    </pic:cNvPicPr>
                  </pic:nvPicPr>
                  <pic:blipFill>
                    <a:blip r:embed="rId2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622125"/>
                    </a:xfrm>
                    <a:prstGeom prst="rect">
                      <a:avLst/>
                    </a:prstGeom>
                    <a:noFill/>
                    <a:ln>
                      <a:noFill/>
                    </a:ln>
                  </pic:spPr>
                </pic:pic>
              </a:graphicData>
            </a:graphic>
          </wp:inline>
        </w:drawing>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Inflación histórica en Europa (Fuente: inflation.eu)</w:t>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De cara a los próximos meses, la fuerza de los acontecimientos ha ido resolviendo la gran incógnita que ha marcado este 2022: ¿cuándo dejará de subir la inflación? La moderación de agosto, septiembre y octubre dibuja una tendencia que, aunque con posibles oscilaciones por la volatilidad de los mercados energéticos, se mantendrá en 2023.</w:t>
      </w:r>
    </w:p>
    <w:p w:rsidR="00737DC2" w:rsidRPr="00EA27DC" w:rsidRDefault="00737DC2" w:rsidP="00737DC2">
      <w:pPr>
        <w:pStyle w:val="Default"/>
        <w:spacing w:after="140"/>
        <w:jc w:val="both"/>
        <w:rPr>
          <w:rFonts w:ascii="Times New Roman" w:hAnsi="Times New Roman" w:cs="Times New Roman"/>
          <w:color w:val="auto"/>
        </w:rPr>
      </w:pPr>
      <w:r w:rsidRPr="00EA27DC">
        <w:rPr>
          <w:rFonts w:ascii="Times New Roman" w:hAnsi="Times New Roman" w:cs="Times New Roman"/>
          <w:color w:val="auto"/>
        </w:rPr>
        <w:t xml:space="preserve">Todos los organismos internacionales prevén que el IPC se vaya moderando, hasta cerrar el año 2023 por debajo del 5%, ayudado por el enfriamiento económico ante las constantes subidas de los tipos de interés. Son cifras todavía altas, pero que darán un respiro a las familias siempre que vayan acompañadas de aumentos salariales. De momento, no se ha </w:t>
      </w:r>
      <w:r w:rsidRPr="00EA27DC">
        <w:rPr>
          <w:rFonts w:ascii="Times New Roman" w:hAnsi="Times New Roman" w:cs="Times New Roman"/>
          <w:color w:val="auto"/>
        </w:rPr>
        <w:lastRenderedPageBreak/>
        <w:t>producido una retroalimentación entre sueldos y precios: los temidos efectos de segunda ronda brillan por su ausencia.</w:t>
      </w:r>
    </w:p>
    <w:p w:rsidR="00737DC2" w:rsidRPr="00306897" w:rsidRDefault="00737DC2" w:rsidP="00737DC2">
      <w:pPr>
        <w:spacing w:line="240" w:lineRule="auto"/>
        <w:jc w:val="both"/>
        <w:rPr>
          <w:rFonts w:ascii="Times New Roman" w:hAnsi="Times New Roman" w:cs="Times New Roman"/>
          <w:b/>
          <w:sz w:val="24"/>
          <w:szCs w:val="24"/>
        </w:rPr>
      </w:pPr>
      <w:r w:rsidRPr="00306897">
        <w:rPr>
          <w:rFonts w:ascii="Times New Roman" w:hAnsi="Times New Roman" w:cs="Times New Roman"/>
          <w:b/>
          <w:sz w:val="24"/>
          <w:szCs w:val="24"/>
        </w:rPr>
        <w:t xml:space="preserve">La ampliación de la brecha social en los países ricos - Transmisión intergeneracional de las desventajas </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Haber detenido el ascensor social, es el mayor “pecado” (¿mortal?) de la globalización. </w:t>
      </w:r>
    </w:p>
    <w:p w:rsidR="00737DC2" w:rsidRPr="00306897" w:rsidRDefault="00737DC2" w:rsidP="00737DC2">
      <w:pPr>
        <w:spacing w:line="240" w:lineRule="auto"/>
        <w:jc w:val="both"/>
        <w:rPr>
          <w:rFonts w:ascii="Times New Roman" w:hAnsi="Times New Roman" w:cs="Times New Roman"/>
          <w:sz w:val="24"/>
          <w:szCs w:val="24"/>
          <w:u w:val="single"/>
        </w:rPr>
      </w:pPr>
      <w:r w:rsidRPr="00306897">
        <w:rPr>
          <w:rFonts w:ascii="Times New Roman" w:hAnsi="Times New Roman" w:cs="Times New Roman"/>
          <w:sz w:val="24"/>
          <w:szCs w:val="24"/>
          <w:u w:val="single"/>
        </w:rPr>
        <w:t xml:space="preserve">Heredarás mis deudas (cuando los hijos son más pobres que sus padres) </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nuevas generaciones, de los países desarrollados (también llamados, avanzados, o ricos) y que ahora están, en vías de subdesarrollo, han entrado caminando hacia atrás en el futuro… </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Una parte considerable de la juventud ha pasado a componer el sector de los “Ni-Ni-Ni”: entre las crisis (2008 y 2020), la economía disruptiva, y el anestésico de las redes sociales, “ni estudian, ni trabajan… ni piensan” (porque consideran que lo único importante es estar… “conectados”). No son los únicos, pero sí los más importantes, de cara al porvenir, a quienes se les han robado las posibilidades de trabajo, ingresos, y condiciones de vida.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Entre tanto, China, gracias a su gran fuerza de trabajo, se convirtió en una potencia manufacturera, lo que permitió a las empresas internacionales reducir sus costos de producción y entregar bienes más asequibles a los consumidores. Con el tiempo, los ingresos chinos aumentaron y la producción de bajo costo comenzó a trasladarse a otros lugares. Pero el progreso económico de China, en particular, por la creciente demanda de su enorme mercado interno, se ha podido mantener. En opinión de Charles Goodhart y Manoj Pradhan, el mundo debe la Gran Moderación, el período de menor volatilidad macroeconómica que duró desde la década de 1980 hasta 2007, en gran parte a la integración de China en la economía global. Estados Unidos cosechó grandes recompensas del ascenso de China durante este período.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Estados Unidos y la Unión Europea no lograron adaptarse a una economía global cambiante. Cuando millones de estadounidenses y europeos perdieron sus trabajos de fabricación, culparon al comercio, especialmente con China, a pesar de que la tecnología jugó un papel mucho más importante. La disminución de los ingresos de la clase media y el aumento de la desigualdad exacerbaron el descontento.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financiera de 2008 aceleró estas frustraciones. Más allá de resaltar el absoluto fracaso del gobierno norteamericano para mantener bajo control al sector financiero, la crisis mostró que la posición de Estados Unidos en la cima del orden jerárquico económico mundial ya no era inexpugnable. Mientras EEUU, que desencadenó la crisis financiera, sufrió una importante recesión, y la Unión Europea, que replicó la misma, bordeó la depresión, el crecimiento de China nunca cayó por debajo del 6%.</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En opinión de Andrew Sheng (miembro distinguido del Asia Global Institute de la Universidad de Hong Kong y miembro del Consejo Asesor del PNUMA sobre Finanzas Sostenibles, ex presidente de la Comisión de Valores y Futuros de Hong Kong), “le guste o no a EEUU, un orden multipolar ya está aquí en muchos sentidos. Como muestran estudios recientes del Belfer Center de Harvard, China está alcanzando rápidamente a los EEUU en términos de tecnología y capacidades militares, aunque EEUU todavía lidera en finanzas, investigación y desarrollo, educación y acceso al talento global.</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a diferencia del período de Guerra Fría entre EEUU y la URSS, las principales potencias mundiales, especialmente Estados Unidos y China, son pares económicos. Como </w:t>
      </w:r>
      <w:r>
        <w:rPr>
          <w:rFonts w:ascii="Times New Roman" w:hAnsi="Times New Roman" w:cs="Times New Roman"/>
          <w:sz w:val="24"/>
          <w:szCs w:val="24"/>
        </w:rPr>
        <w:lastRenderedPageBreak/>
        <w:t>mostró un estudio de RAND de 1988, el PIB de la Unión Soviética alcanzó un máximo del 60% del PIB de EEUU en 1977. Mientras que la Unión Soviética gastaba entre el 15% y el 17% del PIB en defensa, tres veces la proporción de EEUU, su ingreso per cápita ascendía a solo la mitad de los de Estados Unidos.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Por el contrario, China y Rusia, juntas representan alrededor del 77% del PIB de Estados Unidos en términos de dólares corrientes y el 137% en paridad de poder adquisitivo. Además, Estados Unidos está abrumado por la deuda, que ha aumentado a 29,2 billones de dólares. Con un 122% del PIB, la relación deuda / PIB de Estados Unidos ahora supera su pico de la Segunda Guerra Mundial del 119% del PIB”... (Joe Biden en un mundo multipolar - Project Syndicate - 27/12/21)</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La gran cuestión es intentar dar respuesta a la siguiente pregunta; ¿ha sido prudente facilitar un despliegue de poder tan exorbitante por parte de China, para cumplimentar el deseo de una mayor rentabilidad por parte de las grandes corporaciones norteamericanas y europeas?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Las grandes tecnologías y los defensores del libre mercado no piensan en ello: ¿qué tiene de malo la avaricia? ¿</w:t>
      </w:r>
      <w:proofErr w:type="gramStart"/>
      <w:r>
        <w:rPr>
          <w:rFonts w:ascii="Times New Roman" w:hAnsi="Times New Roman" w:cs="Times New Roman"/>
          <w:sz w:val="24"/>
          <w:szCs w:val="24"/>
        </w:rPr>
        <w:t>por</w:t>
      </w:r>
      <w:proofErr w:type="gramEnd"/>
      <w:r>
        <w:rPr>
          <w:rFonts w:ascii="Times New Roman" w:hAnsi="Times New Roman" w:cs="Times New Roman"/>
          <w:sz w:val="24"/>
          <w:szCs w:val="24"/>
        </w:rPr>
        <w:t xml:space="preserve"> qué alguien se va a resistir a las experiencias que satisfacen los deseos de los más fuertes? ¿</w:t>
      </w:r>
      <w:proofErr w:type="gramStart"/>
      <w:r>
        <w:rPr>
          <w:rFonts w:ascii="Times New Roman" w:hAnsi="Times New Roman" w:cs="Times New Roman"/>
          <w:sz w:val="24"/>
          <w:szCs w:val="24"/>
        </w:rPr>
        <w:t>quién</w:t>
      </w:r>
      <w:proofErr w:type="gramEnd"/>
      <w:r>
        <w:rPr>
          <w:rFonts w:ascii="Times New Roman" w:hAnsi="Times New Roman" w:cs="Times New Roman"/>
          <w:sz w:val="24"/>
          <w:szCs w:val="24"/>
        </w:rPr>
        <w:t xml:space="preserve"> puede sostener que existe un fallo de mercado cuando los jugadores globales ganan dinero sin restricciones ni limitaciones?</w:t>
      </w:r>
    </w:p>
    <w:p w:rsidR="00737DC2" w:rsidRDefault="00737DC2" w:rsidP="00737DC2">
      <w:pPr>
        <w:spacing w:line="240" w:lineRule="auto"/>
        <w:jc w:val="both"/>
        <w:rPr>
          <w:rFonts w:ascii="Times New Roman" w:hAnsi="Times New Roman" w:cs="Times New Roman"/>
          <w:sz w:val="24"/>
          <w:szCs w:val="24"/>
        </w:rPr>
      </w:pPr>
      <w:r w:rsidRPr="00C433B9">
        <w:rPr>
          <w:rFonts w:ascii="Times New Roman" w:hAnsi="Times New Roman" w:cs="Times New Roman"/>
          <w:sz w:val="24"/>
          <w:szCs w:val="24"/>
          <w:u w:val="single"/>
        </w:rPr>
        <w:t>Las generaciones subutilizadas</w:t>
      </w:r>
      <w:r>
        <w:rPr>
          <w:rFonts w:ascii="Times New Roman" w:hAnsi="Times New Roman" w:cs="Times New Roman"/>
          <w:sz w:val="24"/>
          <w:szCs w:val="24"/>
        </w:rPr>
        <w:t xml:space="preserve"> (Los datos utilizados corresponden a un Paper anterior</w:t>
      </w:r>
      <w:proofErr w:type="gramStart"/>
      <w:r>
        <w:rPr>
          <w:rFonts w:ascii="Times New Roman" w:hAnsi="Times New Roman" w:cs="Times New Roman"/>
          <w:sz w:val="24"/>
          <w:szCs w:val="24"/>
        </w:rPr>
        <w:t>:</w:t>
      </w:r>
      <w:r w:rsidRPr="002108E1">
        <w:rPr>
          <w:rFonts w:ascii="Times New Roman" w:hAnsi="Times New Roman" w:cs="Times New Roman"/>
          <w:b/>
          <w:sz w:val="24"/>
          <w:szCs w:val="24"/>
        </w:rPr>
        <w:t>“</w:t>
      </w:r>
      <w:proofErr w:type="gramEnd"/>
      <w:r w:rsidRPr="002108E1">
        <w:rPr>
          <w:rFonts w:ascii="Times New Roman" w:hAnsi="Times New Roman" w:cs="Times New Roman"/>
          <w:b/>
          <w:sz w:val="24"/>
          <w:szCs w:val="24"/>
        </w:rPr>
        <w:t>Trabajo juvenil (la gran asignatura pendiente de la UE)”</w:t>
      </w:r>
      <w:r>
        <w:rPr>
          <w:rFonts w:ascii="Times New Roman" w:hAnsi="Times New Roman" w:cs="Times New Roman"/>
          <w:sz w:val="24"/>
          <w:szCs w:val="24"/>
        </w:rPr>
        <w:t xml:space="preserve">, publicado el </w:t>
      </w:r>
      <w:r w:rsidRPr="002108E1">
        <w:rPr>
          <w:rFonts w:ascii="Times New Roman" w:hAnsi="Times New Roman" w:cs="Times New Roman"/>
          <w:b/>
          <w:sz w:val="24"/>
          <w:szCs w:val="24"/>
        </w:rPr>
        <w:t>15/11/20</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participación juvenil en la fuerza de trabajo ha disminuido considerablemente en los últimos 20 años pasando del 55 por ciento en 1997 al 45,7 por ciento en 2017.</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En los países de la OCDE, cerca del 18 por ciento de los jóvenes desempleados llevan un año o más sin trabajar.</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La proporción mundial de jóvenes que no están empleados y no cursan estudios ni reciben capacitación se estima en el 21,8 por ciento para el 2017. El 76,9 por ciento de estos jóvenes son mujeres.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Cuanto más tiempo estudian los jóvenes, menos tiempo transcurre hasta que encuentran un empleo. En promedio, el tiempo transcurrido entre el final de los estudios y el primer empleo es (I) 1,6 veces más largo para los jóvenes con estudios primarios que para aquellos que terminaron la secundaria, (II) 1,7  veces más largo para los jóvenes con estudios secundarios que para aquellos con estudios terciarios, y (III) 2,6 veces más larga para los jóvenes con estudios primarios que para aquellos con estudios terciarios.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Combinar trabajo y estudios reduce sustancialmente el tiempo de transición de la escuela al trabajo en todas las regiones. El promedio de duración, en 21  países, de la transición de los jóvenes que combinan trabajo y estudios es de 1,9 meses, comparado a 20,1 meses para los que no conciertan trabajo y estudios.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Los jóvenes tienen el doble de posibilidades de tener un empleo temporal que los adultos.</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empleo en el sector manufacturero ha disminuido en la mayoría de las regiones, pero sigue siendo un sector importante. Sin embargo, las habilidades demandadas están cambiando, con un creciente interés por trabajadores de alta y baja cualificación y un menor interés por trabajadores semi-cualificados. Esta tendencia hacia la polarización del empleo </w:t>
      </w:r>
      <w:r>
        <w:rPr>
          <w:rFonts w:ascii="Times New Roman" w:hAnsi="Times New Roman" w:cs="Times New Roman"/>
          <w:sz w:val="24"/>
          <w:szCs w:val="24"/>
        </w:rPr>
        <w:lastRenderedPageBreak/>
        <w:t xml:space="preserve">podría verse acentuada por las nuevas tecnologías y puede potencialmente exacerbar las desigualdades existentes.  </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relación de las tasas de desempleo jóvenes-adultos apenas ha cambiado a lo largo de la última década, reflejando las profundas y extensas desventajas de los jóvenes en el mercado de trabajo.</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crecimiento económico en los países desarrollados sigue estado desconectado del crecimiento del empleo, y la inestabilidad económica amenaza con tornar estructural el desempleo juvenil. Según informes de la OIT más de dos de cada cinco jóvenes de la población activa están desempleados o son trabajadores pobres, una dramática realidad que tiene un impacto en todas las sociedades del mundo.</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muchos de estos jóvenes, su presente y su futuro se encuentran en el subempleo o en la economía informal. Son los miembros involuntarios de las generaciones subutilizadas. </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competencias requeridas también están cambiando. Se constata una disminución en la demanda las competencias de nivel medio mientras que la de trabajadores altamente calificados y poco calificados está aumentando, lo cual contribuye con una mayor polarización del mercado de trabajo. La demanda por jóvenes muy calificados ha aumentado considerablemente en los países de altos ingresos, mientras el empleo de los jóvenes semi-cualificados se contrajo. Esta tendencia hacia la polarización del empleo podría acentuarse con las nuevas tecnologías y exacerbar las desigualdades existentes.</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número creciente de jóvenes en busca de trabajo y de jóvenes emprendedores se dirigen a la economía disruptiva -es decir, la economía de las plataformas y de las ocupaciones transitorias- donde encuentran nuevas y diversas formas de empleo, como el trabajo de colaboración horizontal por Internet, que pueden ofrecer flexibilidad y ampliar las oportunidades de generar un ingreso. Sin embargo, existen riesgos importantes como los bajos ingresos, la falta de garantía de continuidad del empleo o el ingreso, y la falta de acceso a las prestaciones sociales relacionadas con el trabajo.</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jóvenes con frecuencia comienzan su vida laboral en empleos temporales sabiendo que es posible que no lleguen nunca a obtener la “seguridad del empleo”. Para aumentar las probabilidades de pasar a un empleo estable y satisfactorio en las economías desarrolladas es esencial invertir más en la educación de calidad y en el desarrollo de competencias, ya que los antecedentes demuestran que cuanto mayor sea el tiempo que una persona joven estudia, más breve será su período de transición hacia el empleo.</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impacta (negativamente) sobre el crecimiento (producción, empleo, ingresos) y sin embargo nadie puede aclarar el momento concreto en el que esto ha ocurrido. La cosa es pensar qué pueden hacer los organismos de control, y nosotros mismos, para evitar la adicción y obligar a estas empresas a ser más responsables. Las tecnológicas son las nuevas tabacaleras y hay que hacer que se responsabilicen por su labor, aunque no sea tan beneficioso para su negocio.</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 xml:space="preserve">Aunque las nuevas tecnologías, la economía de plataformas digitales, asociativa, colaborativa disruptiva, hayan modificado la cultura del trabajo y el concepto de empleo continuo…  aunque nada es divertido todos los días, nada es fácil todos los días, a veces el trabajo es </w:t>
      </w:r>
      <w:r w:rsidRPr="007E2916">
        <w:rPr>
          <w:rFonts w:ascii="Times New Roman" w:hAnsi="Times New Roman" w:cs="Times New Roman"/>
          <w:sz w:val="24"/>
          <w:szCs w:val="24"/>
          <w:shd w:val="clear" w:color="auto" w:fill="FFFFFF"/>
        </w:rPr>
        <w:lastRenderedPageBreak/>
        <w:t>duro, a veces es frustrante, a veces es difícil y a veces no queremos hacer ese trabajo... Y eso está bien. Hay mucha gente que desea trabajar, intentando encontrar lo bonito y la pasión del trabajo todos los días, y nunca va a encontrar lo que está buscando, porque eso no existe.</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Pero si encontramos un trabajo en el que nos hagan sentirnos parte de algo más grande que nosotros mismos, donde sentimos que nuestros jefes y colegas nos apoyan para crecer, donde cuando cometes un error te dicen que vuelvas atrás y lo intentes otra vez, donde notamos que contribuimos, que somos un equipo, esto hará que las dificultades diarias sean menores y sentiremos la alegría del trabajo. Creo que todos tenemos derecho a amar nuestro trabajo. La mayoría de los trabajadores deberían poder decir que aman su trabajo, y es responsabilidad de los jefes hacer que esto pase.</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deja de asegurar el crecimiento y sin embargo nadie puede aclarar el momento concreto en el que esto ha ocurrido.</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¿Por qué algo que parecía tan normal en otras épocas (un trabajo para toda la vida), hoy parece imposible, utópico, poco productivo o no competitivo?</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¿Por qué los hijos están condenados (en la mayoría de los casos) a ser más pobres que sus padres?</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¿Cuándo se “jodió” la movilidad social? ¿Quién dejó “fuera de servicio” el ascensor generacional?</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¿Cómo se puede entrar caminando hacia atrás en el futuro?</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¿Hasta cuándo los jóvenes abducidos, anestesiados, sonámbulos, arreados como manada, seguirán aceptando alimentarse con la sopa boba de las redes sociales?</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¿Qué pasará con los zombis felices, el día que descubran que son unos siervos infelices?</w:t>
      </w:r>
    </w:p>
    <w:p w:rsidR="00737DC2" w:rsidRPr="007E2916"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¿Por cuánto tiempo más se podrá prolongar el regreso a la Edad Media?</w:t>
      </w:r>
    </w:p>
    <w:p w:rsidR="00737DC2"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Mientras la ola de descontento en los países avanzados, se extiende como una mancha de aceite, ante la desigualdad de oportunidades… ¿cuánta desigualdad es demasiada?</w:t>
      </w:r>
    </w:p>
    <w:p w:rsidR="00737DC2" w:rsidRDefault="00737DC2" w:rsidP="00737DC2">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¿Quién será el primero en decir que, “el Rey está desnudo”? ¿Dónde levantarán la primera guillotina “low cost”? ¿Cuál será el primer “Palacio de Invierno - Airbnb” que asaltarán los miserables? ¿Quedará algún lugar seguro donde puedan refugiarse los “amos del universo”?</w:t>
      </w:r>
    </w:p>
    <w:p w:rsidR="00737DC2" w:rsidRPr="008C22D9" w:rsidRDefault="00737DC2" w:rsidP="00737DC2">
      <w:pPr>
        <w:pStyle w:val="NormalWeb"/>
        <w:shd w:val="clear" w:color="auto" w:fill="FFFFFF"/>
        <w:spacing w:after="360"/>
        <w:jc w:val="both"/>
      </w:pPr>
      <w:r w:rsidRPr="008C22D9">
        <w:t>¿Cómo imaginan los jóvenes su vida cuando sólo han conocido crisis económicas? ¿Cómo explicar la sensación de incertidumbre y la manera de escapar de ella?</w:t>
      </w:r>
    </w:p>
    <w:p w:rsidR="00737DC2" w:rsidRDefault="00737DC2" w:rsidP="00737DC2">
      <w:pPr>
        <w:pStyle w:val="NormalWeb"/>
        <w:shd w:val="clear" w:color="auto" w:fill="FFFFFF"/>
        <w:spacing w:after="360"/>
        <w:jc w:val="both"/>
      </w:pPr>
      <w:r w:rsidRPr="008C22D9">
        <w:t>“Esta generación ha tenido la mala suerte de haber vivido dos grandes crisis en apenas 12 años. Será la mejor preparada y la primera que vivirá peor que sus padres. Debemos reflexionar sobre lo que</w:t>
      </w:r>
      <w:r>
        <w:t xml:space="preserve"> está sucediendo</w:t>
      </w:r>
      <w:r w:rsidRPr="008C22D9">
        <w:t>”</w:t>
      </w:r>
      <w:r>
        <w:t>…</w:t>
      </w:r>
      <w:r w:rsidRPr="008C22D9">
        <w:t xml:space="preserve"> “Somos invisibles para el resto de </w:t>
      </w:r>
      <w:r>
        <w:t>la sociedad”… “Mi vida está en “</w:t>
      </w:r>
      <w:r w:rsidRPr="008C22D9">
        <w:t>stand by</w:t>
      </w:r>
      <w:r>
        <w:t>”</w:t>
      </w:r>
      <w:r w:rsidRPr="008C22D9">
        <w:t>”</w:t>
      </w:r>
      <w:r>
        <w:t>… “</w:t>
      </w:r>
      <w:r w:rsidRPr="008C22D9">
        <w:t>El futuro es una sombra</w:t>
      </w:r>
      <w:r>
        <w:t xml:space="preserve">”… son algunas de las frases que se escuchan o leen, a diario.  </w:t>
      </w:r>
      <w:r w:rsidRPr="008C22D9">
        <w:t>Del paro a la salud mental, las preoc</w:t>
      </w:r>
      <w:r>
        <w:t>upaciones más recurrentes son</w:t>
      </w:r>
      <w:r w:rsidRPr="008C22D9">
        <w:t xml:space="preserve"> la incapacidad de encontrar un trabajo digno, independizarse o formar una familia.</w:t>
      </w:r>
    </w:p>
    <w:p w:rsidR="00737DC2" w:rsidRDefault="00737DC2" w:rsidP="00737DC2">
      <w:pPr>
        <w:pStyle w:val="NormalWeb"/>
        <w:shd w:val="clear" w:color="auto" w:fill="FFFFFF"/>
        <w:spacing w:after="360"/>
        <w:jc w:val="both"/>
      </w:pPr>
      <w:r>
        <w:lastRenderedPageBreak/>
        <w:t>¿Europa deja atrás a sus jóvenes? ¿Cómo han pasado a ser el grupo de edad con más pobres?</w:t>
      </w:r>
    </w:p>
    <w:p w:rsidR="00737DC2" w:rsidRPr="001E412D" w:rsidRDefault="00737DC2" w:rsidP="00737DC2">
      <w:pPr>
        <w:pStyle w:val="NormalWeb"/>
        <w:shd w:val="clear" w:color="auto" w:fill="FFFFFF"/>
        <w:spacing w:after="360"/>
        <w:jc w:val="both"/>
      </w:pPr>
      <w:r>
        <w:t>El 32% de la población española de entre 20 y 29 años está en riesgo de pobreza o exclusión social, frente el 16% de los mayores de 65 años. Entre las causas está el mercado de trabajo, precario desde hace décadas; entre sus consecuencias, que dos de cada tres jóvenes viva con sus padres.</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desafío del empleo juvenil no consiste sólo en crear empleos, sino también -e incluso más- en la calidad del trabajo y el empleo decente para los jóvenes…</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concluir esta </w:t>
      </w:r>
      <w:r w:rsidRPr="001E412D">
        <w:rPr>
          <w:rFonts w:ascii="Times New Roman" w:hAnsi="Times New Roman" w:cs="Times New Roman"/>
          <w:sz w:val="24"/>
          <w:szCs w:val="24"/>
          <w:shd w:val="clear" w:color="auto" w:fill="FFFFFF"/>
        </w:rPr>
        <w:t>presentación de pruebas,</w:t>
      </w:r>
      <w:r>
        <w:rPr>
          <w:rFonts w:ascii="Times New Roman" w:hAnsi="Times New Roman" w:cs="Times New Roman"/>
          <w:sz w:val="24"/>
          <w:szCs w:val="24"/>
          <w:shd w:val="clear" w:color="auto" w:fill="FFFFFF"/>
        </w:rPr>
        <w:t xml:space="preserve"> voy a abordar el segundo aspecto que me produce mayor desazón, intranquilidad, alarma, frustración, irritación, y desesperanza: el sepulcral silencio de muchos académicos de postín (miembros conspicuos de la Ivy League), la complicidad manifiesta de una larga lista de gurús mediáticos, y la actitud contemplativa, permisiva, relativista, tolerante, acrítica, o sospechosamente connivente, de los organismos internacionales (FMI, BM, ONU, OCDE)… Todo este conjunto de “socios del silencio”, “cooperadores necesarios”, o “flautistas de Hamelin”, aumentan las r</w:t>
      </w:r>
      <w:r w:rsidRPr="001E412D">
        <w:rPr>
          <w:rFonts w:ascii="Times New Roman" w:hAnsi="Times New Roman" w:cs="Times New Roman"/>
          <w:sz w:val="24"/>
          <w:szCs w:val="24"/>
          <w:shd w:val="clear" w:color="auto" w:fill="FFFFFF"/>
        </w:rPr>
        <w:t>azones para no fiarse</w:t>
      </w:r>
      <w:r>
        <w:rPr>
          <w:rFonts w:ascii="Times New Roman" w:hAnsi="Times New Roman" w:cs="Times New Roman"/>
          <w:sz w:val="24"/>
          <w:szCs w:val="24"/>
          <w:shd w:val="clear" w:color="auto" w:fill="FFFFFF"/>
        </w:rPr>
        <w:t xml:space="preserve"> del modelo de globalización económica.</w:t>
      </w:r>
    </w:p>
    <w:p w:rsidR="00737DC2" w:rsidRPr="00306897" w:rsidRDefault="00737DC2" w:rsidP="00737DC2">
      <w:pPr>
        <w:pStyle w:val="Default"/>
        <w:spacing w:after="140"/>
        <w:jc w:val="both"/>
        <w:rPr>
          <w:rFonts w:ascii="Times New Roman" w:hAnsi="Times New Roman" w:cs="Times New Roman"/>
          <w:b/>
          <w:color w:val="auto"/>
        </w:rPr>
      </w:pPr>
      <w:r w:rsidRPr="00306897">
        <w:rPr>
          <w:rFonts w:ascii="Times New Roman" w:hAnsi="Times New Roman" w:cs="Times New Roman"/>
          <w:b/>
          <w:color w:val="auto"/>
        </w:rPr>
        <w:t>Los grandes bonetes de la economía</w:t>
      </w:r>
      <w:r>
        <w:rPr>
          <w:rFonts w:ascii="Times New Roman" w:hAnsi="Times New Roman" w:cs="Times New Roman"/>
          <w:b/>
          <w:color w:val="auto"/>
        </w:rPr>
        <w:t xml:space="preserve"> (callados como momias egipcias)</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rPr>
        <w:t>Atravesando una</w:t>
      </w:r>
      <w:r w:rsidRPr="009B3F87">
        <w:rPr>
          <w:rFonts w:ascii="Times New Roman" w:hAnsi="Times New Roman" w:cs="Times New Roman"/>
          <w:color w:val="auto"/>
        </w:rPr>
        <w:t>etapa de meliflua docilidad</w:t>
      </w:r>
      <w:r>
        <w:rPr>
          <w:rFonts w:ascii="Times New Roman" w:hAnsi="Times New Roman" w:cs="Times New Roman"/>
          <w:color w:val="auto"/>
        </w:rPr>
        <w:t xml:space="preserve">, </w:t>
      </w:r>
      <w:r w:rsidRPr="009B3F87">
        <w:rPr>
          <w:rFonts w:ascii="Times New Roman" w:hAnsi="Times New Roman" w:cs="Times New Roman"/>
          <w:color w:val="auto"/>
        </w:rPr>
        <w:t>encogidos por la reverber</w:t>
      </w:r>
      <w:r>
        <w:rPr>
          <w:rFonts w:ascii="Times New Roman" w:hAnsi="Times New Roman" w:cs="Times New Roman"/>
          <w:color w:val="auto"/>
        </w:rPr>
        <w:t>ación mediática de la ideología woke,</w:t>
      </w:r>
      <w:r w:rsidRPr="009B3F87">
        <w:rPr>
          <w:rFonts w:ascii="Times New Roman" w:hAnsi="Times New Roman" w:cs="Times New Roman"/>
          <w:color w:val="auto"/>
        </w:rPr>
        <w:t xml:space="preserve"> y </w:t>
      </w:r>
      <w:r>
        <w:rPr>
          <w:rFonts w:ascii="Times New Roman" w:hAnsi="Times New Roman" w:cs="Times New Roman"/>
          <w:color w:val="auto"/>
        </w:rPr>
        <w:t xml:space="preserve">obsesionados con no hacer ruido, </w:t>
      </w:r>
      <w:r w:rsidRPr="009B3F87">
        <w:rPr>
          <w:rFonts w:ascii="Times New Roman" w:hAnsi="Times New Roman" w:cs="Times New Roman"/>
          <w:color w:val="auto"/>
        </w:rPr>
        <w:t>se ha</w:t>
      </w:r>
      <w:r>
        <w:rPr>
          <w:rFonts w:ascii="Times New Roman" w:hAnsi="Times New Roman" w:cs="Times New Roman"/>
          <w:color w:val="auto"/>
        </w:rPr>
        <w:t>n convertido en avatares</w:t>
      </w:r>
      <w:r w:rsidRPr="009B3F87">
        <w:rPr>
          <w:rFonts w:ascii="Times New Roman" w:hAnsi="Times New Roman" w:cs="Times New Roman"/>
          <w:color w:val="auto"/>
        </w:rPr>
        <w:t xml:space="preserve"> átono</w:t>
      </w:r>
      <w:r>
        <w:rPr>
          <w:rFonts w:ascii="Times New Roman" w:hAnsi="Times New Roman" w:cs="Times New Roman"/>
          <w:color w:val="auto"/>
        </w:rPr>
        <w:t>s</w:t>
      </w:r>
      <w:r w:rsidRPr="009B3F87">
        <w:rPr>
          <w:rFonts w:ascii="Times New Roman" w:hAnsi="Times New Roman" w:cs="Times New Roman"/>
          <w:color w:val="auto"/>
        </w:rPr>
        <w:t>, superfluo</w:t>
      </w:r>
      <w:r>
        <w:rPr>
          <w:rFonts w:ascii="Times New Roman" w:hAnsi="Times New Roman" w:cs="Times New Roman"/>
          <w:color w:val="auto"/>
        </w:rPr>
        <w:t>s</w:t>
      </w:r>
      <w:r w:rsidRPr="009B3F87">
        <w:rPr>
          <w:rFonts w:ascii="Times New Roman" w:hAnsi="Times New Roman" w:cs="Times New Roman"/>
          <w:color w:val="auto"/>
        </w:rPr>
        <w:t>, insignificante</w:t>
      </w:r>
      <w:r>
        <w:rPr>
          <w:rFonts w:ascii="Times New Roman" w:hAnsi="Times New Roman" w:cs="Times New Roman"/>
          <w:color w:val="auto"/>
        </w:rPr>
        <w:t>s</w:t>
      </w:r>
      <w:r w:rsidRPr="009B3F87">
        <w:rPr>
          <w:rFonts w:ascii="Times New Roman" w:hAnsi="Times New Roman" w:cs="Times New Roman"/>
          <w:color w:val="auto"/>
        </w:rPr>
        <w:t>, manejado</w:t>
      </w:r>
      <w:r>
        <w:rPr>
          <w:rFonts w:ascii="Times New Roman" w:hAnsi="Times New Roman" w:cs="Times New Roman"/>
          <w:color w:val="auto"/>
        </w:rPr>
        <w:t>s por los grandes de Wall Street y Silicon Valley,</w:t>
      </w:r>
      <w:r w:rsidRPr="009B3F87">
        <w:rPr>
          <w:rFonts w:ascii="Times New Roman" w:hAnsi="Times New Roman" w:cs="Times New Roman"/>
          <w:color w:val="auto"/>
        </w:rPr>
        <w:t xml:space="preserve"> y alejado</w:t>
      </w:r>
      <w:r>
        <w:rPr>
          <w:rFonts w:ascii="Times New Roman" w:hAnsi="Times New Roman" w:cs="Times New Roman"/>
          <w:color w:val="auto"/>
        </w:rPr>
        <w:t>s</w:t>
      </w:r>
      <w:r w:rsidRPr="009B3F87">
        <w:rPr>
          <w:rFonts w:ascii="Times New Roman" w:hAnsi="Times New Roman" w:cs="Times New Roman"/>
          <w:color w:val="auto"/>
        </w:rPr>
        <w:t xml:space="preserve"> del angustiado mundo de</w:t>
      </w:r>
      <w:r>
        <w:rPr>
          <w:rFonts w:ascii="Times New Roman" w:hAnsi="Times New Roman" w:cs="Times New Roman"/>
          <w:color w:val="auto"/>
        </w:rPr>
        <w:t xml:space="preserve"> los empresarios y trabajadores</w:t>
      </w:r>
      <w:r w:rsidRPr="009B3F87">
        <w:rPr>
          <w:rFonts w:ascii="Times New Roman" w:hAnsi="Times New Roman" w:cs="Times New Roman"/>
          <w:color w:val="auto"/>
        </w:rPr>
        <w:t xml:space="preserve"> que se la juegan cada día para levantar el cierre de su negocio</w:t>
      </w:r>
      <w:r>
        <w:rPr>
          <w:rFonts w:ascii="Times New Roman" w:hAnsi="Times New Roman" w:cs="Times New Roman"/>
          <w:color w:val="auto"/>
        </w:rPr>
        <w:t>, o para mantener el empleo</w:t>
      </w:r>
      <w:r w:rsidRPr="009B3F87">
        <w:rPr>
          <w:rFonts w:ascii="Times New Roman" w:hAnsi="Times New Roman" w:cs="Times New Roman"/>
          <w:color w:val="auto"/>
        </w:rPr>
        <w:t xml:space="preserve"> y que conforman ese o</w:t>
      </w:r>
      <w:r>
        <w:rPr>
          <w:rFonts w:ascii="Times New Roman" w:hAnsi="Times New Roman" w:cs="Times New Roman"/>
          <w:color w:val="auto"/>
        </w:rPr>
        <w:t>bjeto de saqueo al que</w:t>
      </w:r>
      <w:r w:rsidRPr="009B3F87">
        <w:rPr>
          <w:rFonts w:ascii="Times New Roman" w:hAnsi="Times New Roman" w:cs="Times New Roman"/>
          <w:color w:val="auto"/>
        </w:rPr>
        <w:t xml:space="preserve"> persigue con obstinación</w:t>
      </w:r>
      <w:r>
        <w:rPr>
          <w:rFonts w:ascii="Times New Roman" w:hAnsi="Times New Roman" w:cs="Times New Roman"/>
          <w:color w:val="auto"/>
        </w:rPr>
        <w:t xml:space="preserve"> el fisco</w:t>
      </w:r>
      <w:r w:rsidRPr="009B3F87">
        <w:rPr>
          <w:rFonts w:ascii="Times New Roman" w:hAnsi="Times New Roman" w:cs="Times New Roman"/>
          <w:color w:val="auto"/>
        </w:rPr>
        <w:t>.</w:t>
      </w:r>
    </w:p>
    <w:p w:rsidR="00737DC2" w:rsidRPr="00836A71"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 xml:space="preserve">Si ustedes (pacientes lectores) me permiten la metáfora, esta pandilla de agradadores, aplaudidores, masajistas, son cómo la orquesta del Titanic, que sigue tocando mientras la nave se hunde. Silencian el estrepitoso fracaso, no denuncian a los mayores trapisondistas, o apoyan torpemente la sucia trayectoria de comisionistas y mercaderes. </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 xml:space="preserve">Y aunque parezca, todavía, que esta pandilla de delincuentes y cómplices está </w:t>
      </w:r>
      <w:r w:rsidRPr="002045AC">
        <w:rPr>
          <w:rFonts w:ascii="Times New Roman" w:hAnsi="Times New Roman" w:cs="Times New Roman"/>
          <w:color w:val="auto"/>
        </w:rPr>
        <w:t>más viva que nu</w:t>
      </w:r>
      <w:r>
        <w:rPr>
          <w:rFonts w:ascii="Times New Roman" w:hAnsi="Times New Roman" w:cs="Times New Roman"/>
          <w:color w:val="auto"/>
        </w:rPr>
        <w:t xml:space="preserve">nca y con más poder que siempre… </w:t>
      </w:r>
      <w:r w:rsidRPr="00836A71">
        <w:rPr>
          <w:rFonts w:ascii="Times New Roman" w:hAnsi="Times New Roman" w:cs="Times New Roman"/>
          <w:color w:val="auto"/>
        </w:rPr>
        <w:t>todos, tarde o temprano, deberán responder por ello</w:t>
      </w:r>
      <w:r>
        <w:rPr>
          <w:rFonts w:ascii="Times New Roman" w:hAnsi="Times New Roman" w:cs="Times New Roman"/>
          <w:color w:val="auto"/>
        </w:rPr>
        <w:t>, ante los tribunales (si sus delitos no prescriben) o ante la historia (donde sus delitos son imprescriptibles).</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Por todo ello, y mucho más: Ni olvido, ni perdón, hay que organizar la resistencia (social, económica, y moral). Por lo menos dejar constancia de que en este Occidente</w:t>
      </w:r>
      <w:r w:rsidRPr="009B3F87">
        <w:rPr>
          <w:rFonts w:ascii="Times New Roman" w:hAnsi="Times New Roman" w:cs="Times New Roman"/>
          <w:color w:val="auto"/>
        </w:rPr>
        <w:t xml:space="preserve"> inerme y zombi, hay espíritus dispuestos a defender algo tan elemental como la libertad.</w:t>
      </w:r>
    </w:p>
    <w:p w:rsidR="00737DC2" w:rsidRDefault="00737DC2" w:rsidP="00737DC2">
      <w:pPr>
        <w:pStyle w:val="Default"/>
        <w:spacing w:after="140"/>
        <w:jc w:val="both"/>
        <w:rPr>
          <w:rFonts w:ascii="Times New Roman" w:hAnsi="Times New Roman" w:cs="Times New Roman"/>
          <w:color w:val="auto"/>
        </w:rPr>
      </w:pPr>
      <w:r>
        <w:rPr>
          <w:rFonts w:ascii="Times New Roman" w:hAnsi="Times New Roman" w:cs="Times New Roman"/>
          <w:color w:val="auto"/>
        </w:rPr>
        <w:t xml:space="preserve">De no hacer lo necesario, o al menos lo posible, por recuperar la libertad, la igualdad de oportunidades, y el crecimiento económico, algún “emprendedor” (listillo) de Wall Street o Silicon Valley (con el aplauso del Foro de Davos, of course) </w:t>
      </w:r>
      <w:r w:rsidRPr="000D5BE1">
        <w:rPr>
          <w:rFonts w:ascii="Times New Roman" w:hAnsi="Times New Roman" w:cs="Times New Roman"/>
          <w:color w:val="auto"/>
        </w:rPr>
        <w:t>estará pensando en promover una ruta turística por esos pueblos fantasmas</w:t>
      </w:r>
      <w:r>
        <w:rPr>
          <w:rFonts w:ascii="Times New Roman" w:hAnsi="Times New Roman" w:cs="Times New Roman"/>
          <w:color w:val="auto"/>
        </w:rPr>
        <w:t xml:space="preserve"> de EEUU o Europa,</w:t>
      </w:r>
      <w:r w:rsidRPr="000D5BE1">
        <w:rPr>
          <w:rFonts w:ascii="Times New Roman" w:hAnsi="Times New Roman" w:cs="Times New Roman"/>
          <w:color w:val="auto"/>
        </w:rPr>
        <w:t xml:space="preserve"> bajo el</w:t>
      </w:r>
      <w:r>
        <w:rPr>
          <w:rFonts w:ascii="Times New Roman" w:hAnsi="Times New Roman" w:cs="Times New Roman"/>
          <w:color w:val="auto"/>
        </w:rPr>
        <w:t xml:space="preserve"> lema “aquí vivían los trabajadores americanos (o europeos)</w:t>
      </w:r>
      <w:r w:rsidRPr="000D5BE1">
        <w:rPr>
          <w:rFonts w:ascii="Times New Roman" w:hAnsi="Times New Roman" w:cs="Times New Roman"/>
          <w:color w:val="auto"/>
        </w:rPr>
        <w:t xml:space="preserve"> hasta anteayer”.</w:t>
      </w:r>
    </w:p>
    <w:p w:rsidR="00737DC2" w:rsidRDefault="00737DC2" w:rsidP="00737DC2">
      <w:pPr>
        <w:spacing w:line="240" w:lineRule="auto"/>
        <w:jc w:val="both"/>
        <w:rPr>
          <w:rFonts w:ascii="Times New Roman" w:hAnsi="Times New Roman" w:cs="Times New Roman"/>
          <w:b/>
          <w:sz w:val="24"/>
          <w:szCs w:val="24"/>
        </w:rPr>
      </w:pPr>
      <w:r w:rsidRPr="00042DEC">
        <w:rPr>
          <w:rFonts w:ascii="Times New Roman" w:hAnsi="Times New Roman" w:cs="Times New Roman"/>
          <w:b/>
          <w:sz w:val="24"/>
          <w:szCs w:val="24"/>
        </w:rPr>
        <w:t>Nota: el balance no puede ser peor, al menos para los que a</w:t>
      </w:r>
      <w:r>
        <w:rPr>
          <w:rFonts w:ascii="Times New Roman" w:hAnsi="Times New Roman" w:cs="Times New Roman"/>
          <w:b/>
          <w:sz w:val="24"/>
          <w:szCs w:val="24"/>
        </w:rPr>
        <w:t xml:space="preserve">ún creemos, a pesar de sus fallos, en la democracia (soberanía nacional, división de poderes, seguridad jurídica, libertad de expresión, libertad de asociación, libertad de voto…), en la economía de mercado (interacción de la oferta y la demanda, </w:t>
      </w:r>
      <w:r w:rsidRPr="009D146B">
        <w:rPr>
          <w:rFonts w:ascii="Times New Roman" w:hAnsi="Times New Roman" w:cs="Times New Roman"/>
          <w:b/>
          <w:sz w:val="24"/>
          <w:szCs w:val="24"/>
        </w:rPr>
        <w:t>libre competencia e iniciativa de las empresas</w:t>
      </w:r>
      <w:r>
        <w:rPr>
          <w:rFonts w:ascii="Times New Roman" w:hAnsi="Times New Roman" w:cs="Times New Roman"/>
          <w:b/>
          <w:sz w:val="24"/>
          <w:szCs w:val="24"/>
        </w:rPr>
        <w:t xml:space="preserve">, crecimiento económico, empleo estable, distribución de la renta…), en el </w:t>
      </w:r>
      <w:r>
        <w:rPr>
          <w:rFonts w:ascii="Times New Roman" w:hAnsi="Times New Roman" w:cs="Times New Roman"/>
          <w:b/>
          <w:sz w:val="24"/>
          <w:szCs w:val="24"/>
        </w:rPr>
        <w:lastRenderedPageBreak/>
        <w:t>liberalismo (igualdad de los ciudadanos ante la ley, gobierno limitado, libertad personal, individualismo político, reparación de los daños…), sin trampas, ni privilegios.</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Un proceso de globalización económica, promovido principalmente por el sector financiero de los Estados Unidos (libre movimiento de capitales), pero también aprovechado por el sector manufacturero (librecambio), para reorientar la producción (y el crecimiento económico) hacia los países menos desarrollados (principalmente China), que pasaron a ser las “fábricas del mundo”, para terminar provocando una laminación de las clases medias de los países avanzados (ahora, en vías de subdesarrollo), en beneficio de las nuevas clases medias de los países emergentes. Un falso librecambio que ha  descapitalizado a los países avanzados (EEUU, UE, Japón), en beneficio de las empresas multinacionales (en general), y de China (en particular).</w:t>
      </w:r>
    </w:p>
    <w:p w:rsidR="00737DC2" w:rsidRPr="00FF4B1E"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Mayor déficit público, incremento de la deuda pública, bajo crecimiento, precariedad laboral, desempleo, crisis sistémicas, </w:t>
      </w:r>
      <w:r w:rsidRPr="00F66A89">
        <w:rPr>
          <w:rFonts w:ascii="Times New Roman" w:hAnsi="Times New Roman" w:cs="Times New Roman"/>
          <w:b/>
          <w:sz w:val="24"/>
          <w:szCs w:val="24"/>
        </w:rPr>
        <w:t>agudización de las desigualdades</w:t>
      </w:r>
      <w:r>
        <w:rPr>
          <w:rFonts w:ascii="Times New Roman" w:hAnsi="Times New Roman" w:cs="Times New Roman"/>
          <w:b/>
          <w:sz w:val="24"/>
          <w:szCs w:val="24"/>
        </w:rPr>
        <w:t xml:space="preserve">, pobreza, pérdida de confianza, populismo… </w:t>
      </w:r>
      <w:r w:rsidRPr="00FF4B1E">
        <w:rPr>
          <w:rFonts w:ascii="Times New Roman" w:hAnsi="Times New Roman" w:cs="Times New Roman"/>
          <w:b/>
          <w:sz w:val="24"/>
          <w:szCs w:val="24"/>
        </w:rPr>
        <w:t>¿Cuáles son las causales de semejan</w:t>
      </w:r>
      <w:r>
        <w:rPr>
          <w:rFonts w:ascii="Times New Roman" w:hAnsi="Times New Roman" w:cs="Times New Roman"/>
          <w:b/>
          <w:sz w:val="24"/>
          <w:szCs w:val="24"/>
        </w:rPr>
        <w:t>te acumulación de problemas? ¿</w:t>
      </w:r>
      <w:proofErr w:type="gramStart"/>
      <w:r>
        <w:rPr>
          <w:rFonts w:ascii="Times New Roman" w:hAnsi="Times New Roman" w:cs="Times New Roman"/>
          <w:b/>
          <w:sz w:val="24"/>
          <w:szCs w:val="24"/>
        </w:rPr>
        <w:t>h</w:t>
      </w:r>
      <w:r w:rsidRPr="00FF4B1E">
        <w:rPr>
          <w:rFonts w:ascii="Times New Roman" w:hAnsi="Times New Roman" w:cs="Times New Roman"/>
          <w:b/>
          <w:sz w:val="24"/>
          <w:szCs w:val="24"/>
        </w:rPr>
        <w:t>echos</w:t>
      </w:r>
      <w:proofErr w:type="gramEnd"/>
      <w:r w:rsidRPr="00FF4B1E">
        <w:rPr>
          <w:rFonts w:ascii="Times New Roman" w:hAnsi="Times New Roman" w:cs="Times New Roman"/>
          <w:b/>
          <w:sz w:val="24"/>
          <w:szCs w:val="24"/>
        </w:rPr>
        <w:t xml:space="preserve"> naturales?, ¿leyes irreversibles?, ¿enemigos ocultos?, ¿castigo divino?, ¿sínto</w:t>
      </w:r>
      <w:r>
        <w:rPr>
          <w:rFonts w:ascii="Times New Roman" w:hAnsi="Times New Roman" w:cs="Times New Roman"/>
          <w:b/>
          <w:sz w:val="24"/>
          <w:szCs w:val="24"/>
        </w:rPr>
        <w:t>mas de decadencia del sistema?</w:t>
      </w:r>
    </w:p>
    <w:p w:rsidR="00737DC2" w:rsidRPr="00FF4B1E" w:rsidRDefault="00737DC2" w:rsidP="00737DC2">
      <w:pPr>
        <w:spacing w:line="240" w:lineRule="auto"/>
        <w:jc w:val="both"/>
        <w:rPr>
          <w:rFonts w:ascii="Times New Roman" w:hAnsi="Times New Roman" w:cs="Times New Roman"/>
          <w:b/>
          <w:sz w:val="24"/>
          <w:szCs w:val="24"/>
        </w:rPr>
      </w:pPr>
      <w:r w:rsidRPr="00FF4B1E">
        <w:rPr>
          <w:rFonts w:ascii="Times New Roman" w:hAnsi="Times New Roman" w:cs="Times New Roman"/>
          <w:b/>
          <w:sz w:val="24"/>
          <w:szCs w:val="24"/>
        </w:rPr>
        <w:t>Algunos autores y estudiosos diagnostican: "la liberación del comercio" (Ravi Batra); "el comercio sin normas" (Tim Lang y Colin Hines); "el modelo global" (Hans-Peter Martin y Harald Schumann); "los mercados libres" (Lester Thurow); "el dualismo económico" (Michael Albert); "la competitividad (Robert B. Reich); "el poder de la tecnología" (Paul Kennedy); "la globalización" (Jean-Paul Fitoussi y Pierre Rosanvallon); "la mundialización" (Viviane Forrester); "la eliminación del trabajo humano en el proceso productivo" (Jeremy Rifkin); "la declinación de la confianza" (Francis Fukuyama); "un vasto movimiento de despolitización y de privatización" (C. Castoriadis); "la deflación competitiva" (Benjamin Coriat y Dominique Taddei); "el capitalismo salvaje" (Naum Minsburg); "la economía financiera" (Scavo); "la internacionalización de la vida económica" (Robert Heilbroner); "el comercio internacional"(Charles Hampden-Turner y Alfons Tronpenaards); "el fracaso del mercado" (Albert O. Hirschman); "un sistema de laissez-faire" (Bruce Ackerman); "la era de la competencia" (Grupo Lisboa); "la nueva era imperial" (Jean-Marie Guehenno); "la globalización y la privatización" (Alain Touraine); "el conflicto de olas" (Alvin y Heidi Toffler); "la cultura de la satisfacción" (John Kenneth Galbraith); "la economía simbólica" (Peter Drucker); "la muerte de la sociedad industrial" (Taichi Sakaiya).</w:t>
      </w:r>
    </w:p>
    <w:p w:rsidR="00737DC2" w:rsidRDefault="00737DC2" w:rsidP="00737DC2">
      <w:pPr>
        <w:spacing w:line="240" w:lineRule="auto"/>
        <w:jc w:val="both"/>
        <w:rPr>
          <w:rFonts w:ascii="Times New Roman" w:hAnsi="Times New Roman" w:cs="Times New Roman"/>
          <w:b/>
          <w:sz w:val="24"/>
          <w:szCs w:val="24"/>
        </w:rPr>
      </w:pPr>
      <w:r w:rsidRPr="00FF4B1E">
        <w:rPr>
          <w:rFonts w:ascii="Times New Roman" w:hAnsi="Times New Roman" w:cs="Times New Roman"/>
          <w:b/>
          <w:sz w:val="24"/>
          <w:szCs w:val="24"/>
        </w:rPr>
        <w:t>¿Y cuáles son los riesgos, qué es lo que puede ocurrir si todo sigue igual?</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resultado es que </w:t>
      </w:r>
      <w:r w:rsidRPr="00BE0929">
        <w:rPr>
          <w:rFonts w:ascii="Times New Roman" w:hAnsi="Times New Roman" w:cs="Times New Roman"/>
          <w:b/>
          <w:sz w:val="24"/>
          <w:szCs w:val="24"/>
        </w:rPr>
        <w:t>China acelera</w:t>
      </w:r>
      <w:r>
        <w:rPr>
          <w:rFonts w:ascii="Times New Roman" w:hAnsi="Times New Roman" w:cs="Times New Roman"/>
          <w:b/>
          <w:sz w:val="24"/>
          <w:szCs w:val="24"/>
        </w:rPr>
        <w:t>,</w:t>
      </w:r>
      <w:r w:rsidRPr="00BE0929">
        <w:rPr>
          <w:rFonts w:ascii="Times New Roman" w:hAnsi="Times New Roman" w:cs="Times New Roman"/>
          <w:b/>
          <w:sz w:val="24"/>
          <w:szCs w:val="24"/>
        </w:rPr>
        <w:t xml:space="preserve"> y se acerca al final de un largo camino:</w:t>
      </w:r>
      <w:r>
        <w:rPr>
          <w:rFonts w:ascii="Times New Roman" w:hAnsi="Times New Roman" w:cs="Times New Roman"/>
          <w:b/>
          <w:sz w:val="24"/>
          <w:szCs w:val="24"/>
        </w:rPr>
        <w:t xml:space="preserve"> alcanzar (algunos opinan, que</w:t>
      </w:r>
      <w:r w:rsidRPr="00BE0929">
        <w:rPr>
          <w:rFonts w:ascii="Times New Roman" w:hAnsi="Times New Roman" w:cs="Times New Roman"/>
          <w:b/>
          <w:sz w:val="24"/>
          <w:szCs w:val="24"/>
        </w:rPr>
        <w:t xml:space="preserve"> recuper</w:t>
      </w:r>
      <w:r>
        <w:rPr>
          <w:rFonts w:ascii="Times New Roman" w:hAnsi="Times New Roman" w:cs="Times New Roman"/>
          <w:b/>
          <w:sz w:val="24"/>
          <w:szCs w:val="24"/>
        </w:rPr>
        <w:t>ar) la primacía económica mundial.</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Estados Unidos, la Unión Europea, Japón, y otros países avanzados, se estancan o retroceden, China y otros países emergentes (India), prosperan, y toman la delantera, en el liderazgo económico mundial.</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Y peor aún, si cabe, con la ayuda de algunas grandes empresas multinacionales (las FAANG), hasta puede que logren el liderazgo político, además. La dictadura perfecta.</w:t>
      </w:r>
    </w:p>
    <w:p w:rsidR="00737DC2" w:rsidRDefault="00737DC2" w:rsidP="00737DC2">
      <w:pPr>
        <w:spacing w:line="240" w:lineRule="auto"/>
        <w:jc w:val="both"/>
        <w:rPr>
          <w:rFonts w:ascii="Times New Roman" w:hAnsi="Times New Roman" w:cs="Times New Roman"/>
          <w:b/>
          <w:sz w:val="24"/>
          <w:szCs w:val="24"/>
        </w:rPr>
      </w:pPr>
    </w:p>
    <w:p w:rsidR="00737DC2" w:rsidRDefault="00737DC2" w:rsidP="00737DC2">
      <w:pPr>
        <w:spacing w:line="240" w:lineRule="auto"/>
        <w:jc w:val="both"/>
        <w:rPr>
          <w:rFonts w:ascii="Times New Roman" w:hAnsi="Times New Roman" w:cs="Times New Roman"/>
          <w:b/>
          <w:sz w:val="24"/>
          <w:szCs w:val="24"/>
        </w:rPr>
      </w:pPr>
    </w:p>
    <w:p w:rsidR="00737DC2" w:rsidRDefault="00737DC2" w:rsidP="00737DC2">
      <w:pPr>
        <w:spacing w:line="240" w:lineRule="auto"/>
        <w:jc w:val="both"/>
        <w:rPr>
          <w:rFonts w:ascii="Times New Roman" w:hAnsi="Times New Roman" w:cs="Times New Roman"/>
          <w:b/>
          <w:sz w:val="24"/>
          <w:szCs w:val="24"/>
        </w:rPr>
      </w:pPr>
      <w:r w:rsidRPr="00FF4B1E">
        <w:rPr>
          <w:rFonts w:ascii="Times New Roman" w:hAnsi="Times New Roman" w:cs="Times New Roman"/>
          <w:b/>
          <w:sz w:val="24"/>
          <w:szCs w:val="24"/>
        </w:rPr>
        <w:lastRenderedPageBreak/>
        <w:t>¿Qué  siente el hombre común</w:t>
      </w:r>
      <w:r>
        <w:rPr>
          <w:rFonts w:ascii="Times New Roman" w:hAnsi="Times New Roman" w:cs="Times New Roman"/>
          <w:b/>
          <w:sz w:val="24"/>
          <w:szCs w:val="24"/>
        </w:rPr>
        <w:t xml:space="preserve"> (Main Street)</w:t>
      </w:r>
      <w:r w:rsidRPr="00FF4B1E">
        <w:rPr>
          <w:rFonts w:ascii="Times New Roman" w:hAnsi="Times New Roman" w:cs="Times New Roman"/>
          <w:b/>
          <w:sz w:val="24"/>
          <w:szCs w:val="24"/>
        </w:rPr>
        <w:t xml:space="preserve"> frente a todo esto?</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“Y</w:t>
      </w:r>
      <w:r w:rsidRPr="009013DE">
        <w:rPr>
          <w:rFonts w:ascii="Times New Roman" w:hAnsi="Times New Roman" w:cs="Times New Roman"/>
          <w:b/>
          <w:sz w:val="24"/>
          <w:szCs w:val="24"/>
        </w:rPr>
        <w:t>a sé; no me digás, tenés razón: la vida es una herida absurda y es todo ta</w:t>
      </w:r>
      <w:r>
        <w:rPr>
          <w:rFonts w:ascii="Times New Roman" w:hAnsi="Times New Roman" w:cs="Times New Roman"/>
          <w:b/>
          <w:sz w:val="24"/>
          <w:szCs w:val="24"/>
        </w:rPr>
        <w:t>n fugaz</w:t>
      </w:r>
      <w:r w:rsidRPr="009013DE">
        <w:rPr>
          <w:rFonts w:ascii="Times New Roman" w:hAnsi="Times New Roman" w:cs="Times New Roman"/>
          <w:b/>
          <w:sz w:val="24"/>
          <w:szCs w:val="24"/>
        </w:rPr>
        <w:t>”… (</w:t>
      </w:r>
      <w:proofErr w:type="gramStart"/>
      <w:r w:rsidRPr="009013DE">
        <w:rPr>
          <w:rFonts w:ascii="Times New Roman" w:hAnsi="Times New Roman" w:cs="Times New Roman"/>
          <w:b/>
          <w:sz w:val="24"/>
          <w:szCs w:val="24"/>
        </w:rPr>
        <w:t>letra</w:t>
      </w:r>
      <w:proofErr w:type="gramEnd"/>
      <w:r w:rsidRPr="009013DE">
        <w:rPr>
          <w:rFonts w:ascii="Times New Roman" w:hAnsi="Times New Roman" w:cs="Times New Roman"/>
          <w:b/>
          <w:sz w:val="24"/>
          <w:szCs w:val="24"/>
        </w:rPr>
        <w:t xml:space="preserve"> del Tango: “La última curda</w:t>
      </w:r>
      <w:r>
        <w:rPr>
          <w:rFonts w:ascii="Times New Roman" w:hAnsi="Times New Roman" w:cs="Times New Roman"/>
          <w:b/>
          <w:sz w:val="24"/>
          <w:szCs w:val="24"/>
        </w:rPr>
        <w:t>”-de Cátulo Castillo y Aníbal Troilo)</w:t>
      </w:r>
    </w:p>
    <w:p w:rsidR="00737DC2" w:rsidRPr="00836C69" w:rsidRDefault="00737DC2" w:rsidP="00737DC2">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En esta “economía de casino</w:t>
      </w:r>
      <w:r>
        <w:rPr>
          <w:rFonts w:ascii="Times New Roman" w:hAnsi="Times New Roman" w:cs="Times New Roman"/>
          <w:b/>
          <w:sz w:val="24"/>
          <w:szCs w:val="24"/>
        </w:rPr>
        <w:t>”</w:t>
      </w:r>
      <w:r w:rsidRPr="00836C69">
        <w:rPr>
          <w:rFonts w:ascii="Times New Roman" w:hAnsi="Times New Roman" w:cs="Times New Roman"/>
          <w:b/>
          <w:sz w:val="24"/>
          <w:szCs w:val="24"/>
        </w:rPr>
        <w:t xml:space="preserve"> y “entretenimiento</w:t>
      </w:r>
      <w:r>
        <w:rPr>
          <w:rFonts w:ascii="Times New Roman" w:hAnsi="Times New Roman" w:cs="Times New Roman"/>
          <w:b/>
          <w:sz w:val="24"/>
          <w:szCs w:val="24"/>
        </w:rPr>
        <w:t xml:space="preserve">” </w:t>
      </w:r>
      <w:r w:rsidRPr="00836C69">
        <w:rPr>
          <w:rFonts w:ascii="Times New Roman" w:hAnsi="Times New Roman" w:cs="Times New Roman"/>
          <w:b/>
          <w:sz w:val="24"/>
          <w:szCs w:val="24"/>
        </w:rPr>
        <w:t>que han creado</w:t>
      </w:r>
      <w:r>
        <w:rPr>
          <w:rFonts w:ascii="Times New Roman" w:hAnsi="Times New Roman" w:cs="Times New Roman"/>
          <w:b/>
          <w:sz w:val="24"/>
          <w:szCs w:val="24"/>
        </w:rPr>
        <w:t>, al unísono, Wall Street y Silicon Valley</w:t>
      </w:r>
      <w:r w:rsidRPr="00836C69">
        <w:rPr>
          <w:rFonts w:ascii="Times New Roman" w:hAnsi="Times New Roman" w:cs="Times New Roman"/>
          <w:b/>
          <w:sz w:val="24"/>
          <w:szCs w:val="24"/>
        </w:rPr>
        <w:t>, y que</w:t>
      </w:r>
      <w:r>
        <w:rPr>
          <w:rFonts w:ascii="Times New Roman" w:hAnsi="Times New Roman" w:cs="Times New Roman"/>
          <w:b/>
          <w:sz w:val="24"/>
          <w:szCs w:val="24"/>
        </w:rPr>
        <w:t>,</w:t>
      </w:r>
      <w:r w:rsidRPr="00836C69">
        <w:rPr>
          <w:rFonts w:ascii="Times New Roman" w:hAnsi="Times New Roman" w:cs="Times New Roman"/>
          <w:b/>
          <w:sz w:val="24"/>
          <w:szCs w:val="24"/>
        </w:rPr>
        <w:t xml:space="preserve"> con la magi</w:t>
      </w:r>
      <w:r>
        <w:rPr>
          <w:rFonts w:ascii="Times New Roman" w:hAnsi="Times New Roman" w:cs="Times New Roman"/>
          <w:b/>
          <w:sz w:val="24"/>
          <w:szCs w:val="24"/>
        </w:rPr>
        <w:t>a de las “serpientes encantadora</w:t>
      </w:r>
      <w:r w:rsidRPr="00836C69">
        <w:rPr>
          <w:rFonts w:ascii="Times New Roman" w:hAnsi="Times New Roman" w:cs="Times New Roman"/>
          <w:b/>
          <w:sz w:val="24"/>
          <w:szCs w:val="24"/>
        </w:rPr>
        <w:t>s de hombre</w:t>
      </w:r>
      <w:r>
        <w:rPr>
          <w:rFonts w:ascii="Times New Roman" w:hAnsi="Times New Roman" w:cs="Times New Roman"/>
          <w:b/>
          <w:sz w:val="24"/>
          <w:szCs w:val="24"/>
        </w:rPr>
        <w:t>s</w:t>
      </w:r>
      <w:r w:rsidRPr="00836C69">
        <w:rPr>
          <w:rFonts w:ascii="Times New Roman" w:hAnsi="Times New Roman" w:cs="Times New Roman"/>
          <w:b/>
          <w:sz w:val="24"/>
          <w:szCs w:val="24"/>
        </w:rPr>
        <w:t>” del Foro Económico Mundial (Davos), intentan preservar, seleccionando al Partido Comunista Chino</w:t>
      </w:r>
      <w:r>
        <w:rPr>
          <w:rFonts w:ascii="Times New Roman" w:hAnsi="Times New Roman" w:cs="Times New Roman"/>
          <w:b/>
          <w:sz w:val="24"/>
          <w:szCs w:val="24"/>
        </w:rPr>
        <w:t xml:space="preserve"> (¿uno de los nuestros?)</w:t>
      </w:r>
      <w:r w:rsidRPr="00836C69">
        <w:rPr>
          <w:rFonts w:ascii="Times New Roman" w:hAnsi="Times New Roman" w:cs="Times New Roman"/>
          <w:b/>
          <w:sz w:val="24"/>
          <w:szCs w:val="24"/>
        </w:rPr>
        <w:t>, como</w:t>
      </w:r>
      <w:r>
        <w:rPr>
          <w:rFonts w:ascii="Times New Roman" w:hAnsi="Times New Roman" w:cs="Times New Roman"/>
          <w:b/>
          <w:sz w:val="24"/>
          <w:szCs w:val="24"/>
        </w:rPr>
        <w:t xml:space="preserve"> el </w:t>
      </w:r>
      <w:r w:rsidRPr="00836C69">
        <w:rPr>
          <w:rFonts w:ascii="Times New Roman" w:hAnsi="Times New Roman" w:cs="Times New Roman"/>
          <w:b/>
          <w:sz w:val="24"/>
          <w:szCs w:val="24"/>
        </w:rPr>
        <w:t>encargado de presidir el “Gran Reseteo” (que solo es una forma -desesperada- de continuar empujando la soga</w:t>
      </w:r>
      <w:r>
        <w:rPr>
          <w:rFonts w:ascii="Times New Roman" w:hAnsi="Times New Roman" w:cs="Times New Roman"/>
          <w:b/>
          <w:sz w:val="24"/>
          <w:szCs w:val="24"/>
        </w:rPr>
        <w:t>)</w:t>
      </w:r>
      <w:r w:rsidRPr="00836C69">
        <w:rPr>
          <w:rFonts w:ascii="Times New Roman" w:hAnsi="Times New Roman" w:cs="Times New Roman"/>
          <w:b/>
          <w:sz w:val="24"/>
          <w:szCs w:val="24"/>
        </w:rPr>
        <w:t>, están jugándose el futuro de la gente como un naipe en el tapete verde de su conveniencia.</w:t>
      </w:r>
    </w:p>
    <w:p w:rsidR="00737DC2" w:rsidRPr="00836C69" w:rsidRDefault="00737DC2" w:rsidP="00737DC2">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Según Federico Jiménez Losantos (autor de los libros: “Memorias del comunismo” y “La vuelta del comunismo”), “a los periodistas les cuesta asumir que el comunismo es, en última instancia, robarles todo a todos, y quedárselos ellos en nombre del pueblo”.</w:t>
      </w:r>
    </w:p>
    <w:p w:rsidR="00737DC2" w:rsidRPr="00836C69" w:rsidRDefault="00737DC2" w:rsidP="00737DC2">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Teniendo en cuenta esa premisa… se entiende el envite (de Wall Street, Silicon Valley, y Davos): imponer un “capitalismo de camaradas”, donde si la política es la comunista, es decir, robarles todo a todos, el riesgo es muchísimo menor. Y puede compensar.</w:t>
      </w:r>
    </w:p>
    <w:p w:rsidR="00737DC2" w:rsidRPr="00836C69" w:rsidRDefault="00737DC2" w:rsidP="00737DC2">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 xml:space="preserve">Dice el escritor y sociólogo Malcom Gladwell (en su libro “David y Goliat”): “Aquí quien no esté confundido es que no está enterado de lo que está pasando”. </w:t>
      </w:r>
    </w:p>
    <w:p w:rsidR="00737DC2" w:rsidRPr="00836C69" w:rsidRDefault="00737DC2" w:rsidP="00737DC2">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Pues eso, nunca como ahora, la incertidumbre fue tan absoluta, y el futuro tan oscuro.</w:t>
      </w:r>
    </w:p>
    <w:p w:rsidR="00737DC2" w:rsidRPr="005D3371" w:rsidRDefault="00737DC2" w:rsidP="00737DC2">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Los resultados son devastadores: exasperación ciudadana, ruina económica, quebranto de libertades básicas, suspensión de la democracia parlamentaria y daños morales y psicológicos para millones de ciudadanos</w:t>
      </w:r>
      <w:proofErr w:type="gramStart"/>
      <w:r w:rsidRPr="00836C69">
        <w:rPr>
          <w:rFonts w:ascii="Times New Roman" w:hAnsi="Times New Roman" w:cs="Times New Roman"/>
          <w:b/>
          <w:sz w:val="24"/>
          <w:szCs w:val="24"/>
        </w:rPr>
        <w:t>.</w:t>
      </w:r>
      <w:r w:rsidRPr="005D3371">
        <w:rPr>
          <w:rFonts w:ascii="Times New Roman" w:hAnsi="Times New Roman" w:cs="Times New Roman"/>
          <w:b/>
          <w:sz w:val="24"/>
          <w:szCs w:val="24"/>
        </w:rPr>
        <w:t>¿</w:t>
      </w:r>
      <w:proofErr w:type="gramEnd"/>
      <w:r w:rsidRPr="005D3371">
        <w:rPr>
          <w:rFonts w:ascii="Times New Roman" w:hAnsi="Times New Roman" w:cs="Times New Roman"/>
          <w:b/>
          <w:sz w:val="24"/>
          <w:szCs w:val="24"/>
        </w:rPr>
        <w:t>Por qué tanto entusiasmo?, ¿por qué ahora?</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¿Están las Big</w:t>
      </w:r>
      <w:r w:rsidRPr="00BD2483">
        <w:rPr>
          <w:rFonts w:ascii="Times New Roman" w:hAnsi="Times New Roman" w:cs="Times New Roman"/>
          <w:b/>
          <w:sz w:val="24"/>
          <w:szCs w:val="24"/>
        </w:rPr>
        <w:t xml:space="preserve"> Tech</w:t>
      </w:r>
      <w:r>
        <w:rPr>
          <w:rFonts w:ascii="Times New Roman" w:hAnsi="Times New Roman" w:cs="Times New Roman"/>
          <w:b/>
          <w:sz w:val="24"/>
          <w:szCs w:val="24"/>
        </w:rPr>
        <w:t xml:space="preserve"> (voto)</w:t>
      </w:r>
      <w:r w:rsidRPr="00BD2483">
        <w:rPr>
          <w:rFonts w:ascii="Times New Roman" w:hAnsi="Times New Roman" w:cs="Times New Roman"/>
          <w:b/>
          <w:sz w:val="24"/>
          <w:szCs w:val="24"/>
        </w:rPr>
        <w:t xml:space="preserve"> y D</w:t>
      </w:r>
      <w:r>
        <w:rPr>
          <w:rFonts w:ascii="Times New Roman" w:hAnsi="Times New Roman" w:cs="Times New Roman"/>
          <w:b/>
          <w:sz w:val="24"/>
          <w:szCs w:val="24"/>
        </w:rPr>
        <w:t>avos (voz), “reconociendo la evidencia” (el capitalismo se agota, la única forma de mantener una economía globalizada es con un régimen iliberal, al mercado le “gustan” los dictadores)</w:t>
      </w:r>
      <w:r w:rsidRPr="00BD2483">
        <w:rPr>
          <w:rFonts w:ascii="Times New Roman" w:hAnsi="Times New Roman" w:cs="Times New Roman"/>
          <w:b/>
          <w:sz w:val="24"/>
          <w:szCs w:val="24"/>
        </w:rPr>
        <w:t>?</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¿Están la</w:t>
      </w:r>
      <w:r w:rsidRPr="00BD2483">
        <w:rPr>
          <w:rFonts w:ascii="Times New Roman" w:hAnsi="Times New Roman" w:cs="Times New Roman"/>
          <w:b/>
          <w:sz w:val="24"/>
          <w:szCs w:val="24"/>
        </w:rPr>
        <w:t>s Big Tech</w:t>
      </w:r>
      <w:r>
        <w:rPr>
          <w:rFonts w:ascii="Times New Roman" w:hAnsi="Times New Roman" w:cs="Times New Roman"/>
          <w:b/>
          <w:sz w:val="24"/>
          <w:szCs w:val="24"/>
        </w:rPr>
        <w:t xml:space="preserve"> (voto)</w:t>
      </w:r>
      <w:r w:rsidRPr="00BD2483">
        <w:rPr>
          <w:rFonts w:ascii="Times New Roman" w:hAnsi="Times New Roman" w:cs="Times New Roman"/>
          <w:b/>
          <w:sz w:val="24"/>
          <w:szCs w:val="24"/>
        </w:rPr>
        <w:t xml:space="preserve"> y D</w:t>
      </w:r>
      <w:r>
        <w:rPr>
          <w:rFonts w:ascii="Times New Roman" w:hAnsi="Times New Roman" w:cs="Times New Roman"/>
          <w:b/>
          <w:sz w:val="24"/>
          <w:szCs w:val="24"/>
        </w:rPr>
        <w:t>avos (voz), optando por el “único modelo político”, que les puede asegurar su modelo económico (entretenimiento y consumo obligatorio)</w:t>
      </w:r>
      <w:r w:rsidRPr="00BD2483">
        <w:rPr>
          <w:rFonts w:ascii="Times New Roman" w:hAnsi="Times New Roman" w:cs="Times New Roman"/>
          <w:b/>
          <w:sz w:val="24"/>
          <w:szCs w:val="24"/>
        </w:rPr>
        <w:t>?</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¿Estados Unidos, la Unión Europea, Japón… y hasta Rusia, no tienen nada que decir?</w:t>
      </w:r>
    </w:p>
    <w:p w:rsidR="00737DC2" w:rsidRPr="0079534F"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¿Están</w:t>
      </w:r>
      <w:r w:rsidRPr="0079534F">
        <w:rPr>
          <w:rFonts w:ascii="Times New Roman" w:hAnsi="Times New Roman" w:cs="Times New Roman"/>
          <w:b/>
          <w:sz w:val="24"/>
          <w:szCs w:val="24"/>
        </w:rPr>
        <w:t xml:space="preserve"> todos esos países y regiones</w:t>
      </w:r>
      <w:r>
        <w:rPr>
          <w:rFonts w:ascii="Times New Roman" w:hAnsi="Times New Roman" w:cs="Times New Roman"/>
          <w:b/>
          <w:sz w:val="24"/>
          <w:szCs w:val="24"/>
        </w:rPr>
        <w:t>, dispuestos</w:t>
      </w:r>
      <w:r w:rsidRPr="0079534F">
        <w:rPr>
          <w:rFonts w:ascii="Times New Roman" w:hAnsi="Times New Roman" w:cs="Times New Roman"/>
          <w:b/>
          <w:sz w:val="24"/>
          <w:szCs w:val="24"/>
        </w:rPr>
        <w:t xml:space="preserve"> a ceder el liderazgo mundial</w:t>
      </w:r>
      <w:r>
        <w:rPr>
          <w:rFonts w:ascii="Times New Roman" w:hAnsi="Times New Roman" w:cs="Times New Roman"/>
          <w:b/>
          <w:sz w:val="24"/>
          <w:szCs w:val="24"/>
        </w:rPr>
        <w:t>,</w:t>
      </w:r>
      <w:r w:rsidRPr="0079534F">
        <w:rPr>
          <w:rFonts w:ascii="Times New Roman" w:hAnsi="Times New Roman" w:cs="Times New Roman"/>
          <w:b/>
          <w:sz w:val="24"/>
          <w:szCs w:val="24"/>
        </w:rPr>
        <w:t xml:space="preserve"> por “incomparecencia”?</w:t>
      </w:r>
    </w:p>
    <w:p w:rsidR="00737DC2" w:rsidRDefault="00737DC2" w:rsidP="00737DC2">
      <w:pPr>
        <w:spacing w:line="240" w:lineRule="auto"/>
        <w:jc w:val="both"/>
        <w:rPr>
          <w:rFonts w:ascii="Times New Roman" w:hAnsi="Times New Roman" w:cs="Times New Roman"/>
          <w:b/>
          <w:sz w:val="24"/>
          <w:szCs w:val="24"/>
        </w:rPr>
      </w:pPr>
      <w:r w:rsidRPr="0079534F">
        <w:rPr>
          <w:rFonts w:ascii="Times New Roman" w:hAnsi="Times New Roman" w:cs="Times New Roman"/>
          <w:b/>
          <w:sz w:val="24"/>
          <w:szCs w:val="24"/>
        </w:rPr>
        <w:t>¿Para qué sirven todos los organismos de seguridad del estado de los países avanzados, si luego unos</w:t>
      </w:r>
      <w:r>
        <w:rPr>
          <w:rFonts w:ascii="Times New Roman" w:hAnsi="Times New Roman" w:cs="Times New Roman"/>
          <w:b/>
          <w:sz w:val="24"/>
          <w:szCs w:val="24"/>
        </w:rPr>
        <w:t xml:space="preserve"> empresarios</w:t>
      </w:r>
      <w:r w:rsidRPr="0079534F">
        <w:rPr>
          <w:rFonts w:ascii="Times New Roman" w:hAnsi="Times New Roman" w:cs="Times New Roman"/>
          <w:b/>
          <w:sz w:val="24"/>
          <w:szCs w:val="24"/>
        </w:rPr>
        <w:t xml:space="preserve"> “aventureros” (fatuos, arrogantes, avaros, codiciosos, miopes, cortoplacistas…) optan por trasladar al China e</w:t>
      </w:r>
      <w:r>
        <w:rPr>
          <w:rFonts w:ascii="Times New Roman" w:hAnsi="Times New Roman" w:cs="Times New Roman"/>
          <w:b/>
          <w:sz w:val="24"/>
          <w:szCs w:val="24"/>
        </w:rPr>
        <w:t>l centro económico y político (lo que es peor aún</w:t>
      </w:r>
      <w:r w:rsidRPr="0079534F">
        <w:rPr>
          <w:rFonts w:ascii="Times New Roman" w:hAnsi="Times New Roman" w:cs="Times New Roman"/>
          <w:b/>
          <w:sz w:val="24"/>
          <w:szCs w:val="24"/>
        </w:rPr>
        <w:t>) del mundo?</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Que los fundamentalistas de Silicon Valley, ignoren la historia, va de suyo. Son ciegos voluntarios, codiciosos compulsivos, avaros cortoplacistas, son “emprendedores” (oportunistas), no “estudiosos” (reflexivos). Que los miembros del Foro Económico Mundial (Davos), actúen de “comparsa” (alfombrilla de baño), está incluido en el guion. Es lo habitual, es lo que se espera de ellos. Aunque esta vez, resulte más procaz.</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Pero que los prestigiosos “think tank” de los países avanzados (públicos, privados o subvencionados), que los “carísimos” servicios de inteligencia, o que los “nobeles o noveleros” de las grandes universidades, no reaccionen y “tiren la toalla”, es “inaudito”.</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Perder el liderazgo mundial (EEUU, UE, Japón), ante China, por “incomparecencia” me resulta sorprendente, alarmante, insólito, chocante, inesperado, sobrecogedor, inquietante, estremecedor, preocupante, angustiante, intranquilizador, abominable…</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China tuviera alguna ventaja natural sobre recursos escasos y estratégicos (como en su momento fue el petróleo), si fuera la principal productora y abastecedora de alimentos del mundo, si fuera líder en algunas tecnologías o servicios, hasta se podría entender que el resto de los países avanzados, se plegaran a su dominio de mercado.</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siendo “solo” (y repito, solo), por el momento, una “factoría de conveniencia”, que exporta mano de obra  barata (muchas veces, esclava), incumpliendo casi todas las normativas sanitarias, sociales, y ambientales del mundo desarrollado, y cuyo mercado internacional, fundamentalmente, está integrado por los países avanzados (ahora, en vías de subdesarrollo), que han renunciado a producir esos mismos bienes internamente, para comprárselos a menor precio, es que no me cabe en la cabeza.</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Siempre (según la historia), los países que promovieron el “librecambio”, lo hicieron porque ese régimen les favorecía. Tenían ventajas competitivas, que les terminaban beneficiando. Al final el intercambio de mercancías (balance comercial) les dejaba un saldo positivo. Pero un caso de librecambio en el que las únicas beneficiarias sean las empresas multinacionales (que no pagan impuestos) y no los países avanzados (que dejan de crecer, provocan desempleo, y se empobrecen)  no tiene antecedentes.</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Si China tuviera el ejército más poderoso de mundo (como por el momento tiene EEUU), hasta se podría perdonar la “cobardía” de abandonar el terreno sin presentar batalla. Pero (de momento), tampoco es el caso. Que EEUU gaste casi un billón de dólares al año en presupuesto militar, debería justificar que con tantos barcos no se perdiera tan pronto la honra, que se alcanzó desde finales de la II Guerra Mundial. De seguir el sendero marcado por las FAANG, se van a quedar, “sin honra y sin barcos”.     </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ser muy miope (intelectual), muy ciego (voluntario), muy codicioso (empresarial), muy servil (político), muy cobarde (militar), muy miedoso (sociedad civil), para no ver lo evidente, para negar la realidad, para ignorar (negar, disimular, ocultar) que se estaba alimentando al monstruo que los (nos) va a devorar (oprimir).</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Por si faltara alguna prueba, la pandemia del Covid 19, ha puesto la guinda al “pavo”, (en las dos acepciones del término). Tanta “Sala de Guerra”, tantos servicios de inteligencia, tantos “think tank”, tantos gurús…  para terminar perdiendo la batalla del liderazgo mundial, ante un murciélago y un pangolín, sin disparar un solo tiro. </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Elijo, sin esperanza y con miedo, estas últimas referencias de la hemeroteca de cabotaje, para que sea el lector quien pueda definir “el final de la verdad”. </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 desenlace, entre “kafkiano” (La Metamorfosis) y “borgiano” (El jardín de los senderos que se bifurcan), en el que, desafortunadamente, solo con el tiempo se aprenden ciertas cosas: la pérdida de identidad, los </w:t>
      </w:r>
      <w:r w:rsidRPr="001452AB">
        <w:rPr>
          <w:rFonts w:ascii="Times New Roman" w:hAnsi="Times New Roman" w:cs="Times New Roman"/>
          <w:b/>
          <w:sz w:val="24"/>
          <w:szCs w:val="24"/>
        </w:rPr>
        <w:t xml:space="preserve">diversos porvenires, </w:t>
      </w:r>
      <w:r>
        <w:rPr>
          <w:rFonts w:ascii="Times New Roman" w:hAnsi="Times New Roman" w:cs="Times New Roman"/>
          <w:b/>
          <w:sz w:val="24"/>
          <w:szCs w:val="24"/>
        </w:rPr>
        <w:t xml:space="preserve">los </w:t>
      </w:r>
      <w:r w:rsidRPr="001452AB">
        <w:rPr>
          <w:rFonts w:ascii="Times New Roman" w:hAnsi="Times New Roman" w:cs="Times New Roman"/>
          <w:b/>
          <w:sz w:val="24"/>
          <w:szCs w:val="24"/>
        </w:rPr>
        <w:t>diversos tiempos, que t</w:t>
      </w:r>
      <w:r>
        <w:rPr>
          <w:rFonts w:ascii="Times New Roman" w:hAnsi="Times New Roman" w:cs="Times New Roman"/>
          <w:b/>
          <w:sz w:val="24"/>
          <w:szCs w:val="24"/>
        </w:rPr>
        <w:t xml:space="preserve">ambién proliferan y se dividen. Dónde, de todos los caminos posibles, los “profetas” de Davos, han elegido el único pasillo cortado: la pérdida de libertad…  </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La conjura de los necios (además de China, hay otros enemigos “empotrados”)</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cambio de qué, </w:t>
      </w:r>
      <w:r w:rsidRPr="00C86CE7">
        <w:rPr>
          <w:rFonts w:ascii="Times New Roman" w:hAnsi="Times New Roman" w:cs="Times New Roman"/>
          <w:b/>
          <w:sz w:val="24"/>
          <w:szCs w:val="24"/>
        </w:rPr>
        <w:t>EEUU y la UE</w:t>
      </w:r>
      <w:r>
        <w:rPr>
          <w:rFonts w:ascii="Times New Roman" w:hAnsi="Times New Roman" w:cs="Times New Roman"/>
          <w:b/>
          <w:sz w:val="24"/>
          <w:szCs w:val="24"/>
        </w:rPr>
        <w:t xml:space="preserve"> aceptan</w:t>
      </w:r>
      <w:r w:rsidRPr="00C86CE7">
        <w:rPr>
          <w:rFonts w:ascii="Times New Roman" w:hAnsi="Times New Roman" w:cs="Times New Roman"/>
          <w:b/>
          <w:sz w:val="24"/>
          <w:szCs w:val="24"/>
        </w:rPr>
        <w:t xml:space="preserve"> las violaciones de los derechos humanos y los abusos c</w:t>
      </w:r>
      <w:r>
        <w:rPr>
          <w:rFonts w:ascii="Times New Roman" w:hAnsi="Times New Roman" w:cs="Times New Roman"/>
          <w:b/>
          <w:sz w:val="24"/>
          <w:szCs w:val="24"/>
        </w:rPr>
        <w:t xml:space="preserve">omerciales por parte de China? La </w:t>
      </w:r>
      <w:r w:rsidRPr="00C86CE7">
        <w:rPr>
          <w:rFonts w:ascii="Times New Roman" w:hAnsi="Times New Roman" w:cs="Times New Roman"/>
          <w:b/>
          <w:sz w:val="24"/>
          <w:szCs w:val="24"/>
        </w:rPr>
        <w:t>comp</w:t>
      </w:r>
      <w:r>
        <w:rPr>
          <w:rFonts w:ascii="Times New Roman" w:hAnsi="Times New Roman" w:cs="Times New Roman"/>
          <w:b/>
          <w:sz w:val="24"/>
          <w:szCs w:val="24"/>
        </w:rPr>
        <w:t>lejidad de las cuestiones sanitarias, económicas, y ambientales, que hacen necesaria una mayor</w:t>
      </w:r>
      <w:r w:rsidRPr="00C86CE7">
        <w:rPr>
          <w:rFonts w:ascii="Times New Roman" w:hAnsi="Times New Roman" w:cs="Times New Roman"/>
          <w:b/>
          <w:sz w:val="24"/>
          <w:szCs w:val="24"/>
        </w:rPr>
        <w:t xml:space="preserve"> cooperación</w:t>
      </w:r>
      <w:r>
        <w:rPr>
          <w:rFonts w:ascii="Times New Roman" w:hAnsi="Times New Roman" w:cs="Times New Roman"/>
          <w:b/>
          <w:sz w:val="24"/>
          <w:szCs w:val="24"/>
        </w:rPr>
        <w:t xml:space="preserve"> internacional, no puede justificar la cesión (gratuita) del liderazgo mundial a China, y menos aún, la generalización de su modelo (dictatorial) de gobierno, fundamentado en fatuos intereses empresariales, cretinas fascinaciones políticas y alucinantes ingenierías sociales.</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he tenido la intención de hacer una lectura conspirativa de los acontecimientos. Pero debo advertir que l</w:t>
      </w:r>
      <w:r w:rsidRPr="007751B2">
        <w:rPr>
          <w:rFonts w:ascii="Times New Roman" w:hAnsi="Times New Roman" w:cs="Times New Roman"/>
          <w:b/>
          <w:sz w:val="24"/>
          <w:szCs w:val="24"/>
        </w:rPr>
        <w:t>a amenaza no se limita a los Estados Unidos o la Unión Europea, que durante mucho tiempo fueron ejemplo de democracia, libertad, y respeto por los derechos civiles. Ahora</w:t>
      </w:r>
      <w:r>
        <w:rPr>
          <w:rFonts w:ascii="Times New Roman" w:hAnsi="Times New Roman" w:cs="Times New Roman"/>
          <w:b/>
          <w:sz w:val="24"/>
          <w:szCs w:val="24"/>
        </w:rPr>
        <w:t>,</w:t>
      </w:r>
      <w:r w:rsidRPr="007751B2">
        <w:rPr>
          <w:rFonts w:ascii="Times New Roman" w:hAnsi="Times New Roman" w:cs="Times New Roman"/>
          <w:b/>
          <w:sz w:val="24"/>
          <w:szCs w:val="24"/>
        </w:rPr>
        <w:t xml:space="preserve"> parece</w:t>
      </w:r>
      <w:r>
        <w:rPr>
          <w:rFonts w:ascii="Times New Roman" w:hAnsi="Times New Roman" w:cs="Times New Roman"/>
          <w:b/>
          <w:sz w:val="24"/>
          <w:szCs w:val="24"/>
        </w:rPr>
        <w:t xml:space="preserve"> que son muchos los </w:t>
      </w:r>
      <w:r w:rsidRPr="007751B2">
        <w:rPr>
          <w:rFonts w:ascii="Times New Roman" w:hAnsi="Times New Roman" w:cs="Times New Roman"/>
          <w:b/>
          <w:sz w:val="24"/>
          <w:szCs w:val="24"/>
        </w:rPr>
        <w:t>políticos</w:t>
      </w:r>
      <w:r>
        <w:rPr>
          <w:rFonts w:ascii="Times New Roman" w:hAnsi="Times New Roman" w:cs="Times New Roman"/>
          <w:b/>
          <w:sz w:val="24"/>
          <w:szCs w:val="24"/>
        </w:rPr>
        <w:t xml:space="preserve"> de plastilina</w:t>
      </w:r>
      <w:r w:rsidRPr="007751B2">
        <w:rPr>
          <w:rFonts w:ascii="Times New Roman" w:hAnsi="Times New Roman" w:cs="Times New Roman"/>
          <w:b/>
          <w:sz w:val="24"/>
          <w:szCs w:val="24"/>
        </w:rPr>
        <w:t xml:space="preserve"> (de lo</w:t>
      </w:r>
      <w:r>
        <w:rPr>
          <w:rFonts w:ascii="Times New Roman" w:hAnsi="Times New Roman" w:cs="Times New Roman"/>
          <w:b/>
          <w:sz w:val="24"/>
          <w:szCs w:val="24"/>
        </w:rPr>
        <w:t xml:space="preserve">s principales países avanzados) </w:t>
      </w:r>
      <w:r w:rsidRPr="007751B2">
        <w:rPr>
          <w:rFonts w:ascii="Times New Roman" w:hAnsi="Times New Roman" w:cs="Times New Roman"/>
          <w:b/>
          <w:sz w:val="24"/>
          <w:szCs w:val="24"/>
        </w:rPr>
        <w:t xml:space="preserve">dispuestos </w:t>
      </w:r>
      <w:r>
        <w:rPr>
          <w:rFonts w:ascii="Times New Roman" w:hAnsi="Times New Roman" w:cs="Times New Roman"/>
          <w:b/>
          <w:sz w:val="24"/>
          <w:szCs w:val="24"/>
        </w:rPr>
        <w:t>a copiar el modelo“</w:t>
      </w:r>
      <w:r w:rsidRPr="007751B2">
        <w:rPr>
          <w:rFonts w:ascii="Times New Roman" w:hAnsi="Times New Roman" w:cs="Times New Roman"/>
          <w:b/>
          <w:sz w:val="24"/>
          <w:szCs w:val="24"/>
        </w:rPr>
        <w:t>iliberal</w:t>
      </w:r>
      <w:r>
        <w:rPr>
          <w:rFonts w:ascii="Times New Roman" w:hAnsi="Times New Roman" w:cs="Times New Roman"/>
          <w:b/>
          <w:sz w:val="24"/>
          <w:szCs w:val="24"/>
        </w:rPr>
        <w:t>”</w:t>
      </w:r>
      <w:r w:rsidRPr="007751B2">
        <w:rPr>
          <w:rFonts w:ascii="Times New Roman" w:hAnsi="Times New Roman" w:cs="Times New Roman"/>
          <w:b/>
          <w:sz w:val="24"/>
          <w:szCs w:val="24"/>
        </w:rPr>
        <w:t xml:space="preserve"> chino.</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no ceden al poder chino (gran reseteo), copian su sistema dictatorial </w:t>
      </w:r>
      <w:r w:rsidRPr="00FF3AEE">
        <w:rPr>
          <w:rFonts w:ascii="Times New Roman" w:hAnsi="Times New Roman" w:cs="Times New Roman"/>
          <w:b/>
          <w:sz w:val="24"/>
          <w:szCs w:val="24"/>
        </w:rPr>
        <w:t>(haciendo gesto</w:t>
      </w:r>
      <w:r>
        <w:rPr>
          <w:rFonts w:ascii="Times New Roman" w:hAnsi="Times New Roman" w:cs="Times New Roman"/>
          <w:b/>
          <w:sz w:val="24"/>
          <w:szCs w:val="24"/>
        </w:rPr>
        <w:t>s</w:t>
      </w:r>
      <w:r w:rsidRPr="00FF3AEE">
        <w:rPr>
          <w:rFonts w:ascii="Times New Roman" w:hAnsi="Times New Roman" w:cs="Times New Roman"/>
          <w:b/>
          <w:sz w:val="24"/>
          <w:szCs w:val="24"/>
        </w:rPr>
        <w:t xml:space="preserve"> verdaderamente orwelliano</w:t>
      </w:r>
      <w:r>
        <w:rPr>
          <w:rFonts w:ascii="Times New Roman" w:hAnsi="Times New Roman" w:cs="Times New Roman"/>
          <w:b/>
          <w:sz w:val="24"/>
          <w:szCs w:val="24"/>
        </w:rPr>
        <w:t>s</w:t>
      </w:r>
      <w:r w:rsidRPr="00FF3AEE">
        <w:rPr>
          <w:rFonts w:ascii="Times New Roman" w:hAnsi="Times New Roman" w:cs="Times New Roman"/>
          <w:b/>
          <w:sz w:val="24"/>
          <w:szCs w:val="24"/>
        </w:rPr>
        <w:t xml:space="preserve"> de gobierno</w:t>
      </w:r>
      <w:r>
        <w:rPr>
          <w:rFonts w:ascii="Times New Roman" w:hAnsi="Times New Roman" w:cs="Times New Roman"/>
          <w:b/>
          <w:sz w:val="24"/>
          <w:szCs w:val="24"/>
        </w:rPr>
        <w:t xml:space="preserve">), lo que puede terminar siendo peor para la ciudanía occidental. </w:t>
      </w:r>
      <w:r w:rsidRPr="00FF3AEE">
        <w:rPr>
          <w:rFonts w:ascii="Times New Roman" w:hAnsi="Times New Roman" w:cs="Times New Roman"/>
          <w:b/>
          <w:sz w:val="24"/>
          <w:szCs w:val="24"/>
        </w:rPr>
        <w:t>La crisis de libertad es en parte política</w:t>
      </w:r>
      <w:r>
        <w:rPr>
          <w:rFonts w:ascii="Times New Roman" w:hAnsi="Times New Roman" w:cs="Times New Roman"/>
          <w:b/>
          <w:sz w:val="24"/>
          <w:szCs w:val="24"/>
        </w:rPr>
        <w:t>,</w:t>
      </w:r>
      <w:r w:rsidRPr="00FF3AEE">
        <w:rPr>
          <w:rFonts w:ascii="Times New Roman" w:hAnsi="Times New Roman" w:cs="Times New Roman"/>
          <w:b/>
          <w:sz w:val="24"/>
          <w:szCs w:val="24"/>
        </w:rPr>
        <w:t xml:space="preserve"> y económica: incluye amenazas y restricciones legales a la división de poderes,</w:t>
      </w:r>
      <w:r>
        <w:rPr>
          <w:rFonts w:ascii="Times New Roman" w:hAnsi="Times New Roman" w:cs="Times New Roman"/>
          <w:b/>
          <w:sz w:val="24"/>
          <w:szCs w:val="24"/>
        </w:rPr>
        <w:t xml:space="preserve"> populismo, nepotismo, plutocracia, endogamia,</w:t>
      </w:r>
      <w:r w:rsidRPr="00FF3AEE">
        <w:rPr>
          <w:rFonts w:ascii="Times New Roman" w:hAnsi="Times New Roman" w:cs="Times New Roman"/>
          <w:b/>
          <w:sz w:val="24"/>
          <w:szCs w:val="24"/>
        </w:rPr>
        <w:t xml:space="preserve"> politización de la justicia, patrimonialización de</w:t>
      </w:r>
      <w:r>
        <w:rPr>
          <w:rFonts w:ascii="Times New Roman" w:hAnsi="Times New Roman" w:cs="Times New Roman"/>
          <w:b/>
          <w:sz w:val="24"/>
          <w:szCs w:val="24"/>
        </w:rPr>
        <w:t>l</w:t>
      </w:r>
      <w:r w:rsidRPr="00FF3AEE">
        <w:rPr>
          <w:rFonts w:ascii="Times New Roman" w:hAnsi="Times New Roman" w:cs="Times New Roman"/>
          <w:b/>
          <w:sz w:val="24"/>
          <w:szCs w:val="24"/>
        </w:rPr>
        <w:t xml:space="preserve"> estado</w:t>
      </w:r>
      <w:proofErr w:type="gramStart"/>
      <w:r w:rsidRPr="00FF3AEE">
        <w:rPr>
          <w:rFonts w:ascii="Times New Roman" w:hAnsi="Times New Roman" w:cs="Times New Roman"/>
          <w:b/>
          <w:sz w:val="24"/>
          <w:szCs w:val="24"/>
        </w:rPr>
        <w:t>,</w:t>
      </w:r>
      <w:r>
        <w:rPr>
          <w:rFonts w:ascii="Times New Roman" w:hAnsi="Times New Roman" w:cs="Times New Roman"/>
          <w:b/>
          <w:sz w:val="24"/>
          <w:szCs w:val="24"/>
        </w:rPr>
        <w:t>connivencia</w:t>
      </w:r>
      <w:proofErr w:type="gramEnd"/>
      <w:r>
        <w:rPr>
          <w:rFonts w:ascii="Times New Roman" w:hAnsi="Times New Roman" w:cs="Times New Roman"/>
          <w:b/>
          <w:sz w:val="24"/>
          <w:szCs w:val="24"/>
        </w:rPr>
        <w:t>, tráfico de influencias, prevaricación, corrupción, partidocracia… Los enemigos de la libertad no están solo en China. La “conjura de los necios” es más amplia, diversa, difusa y transversal. Empieza en Occidente (Wall Street, Silicon Valley y Davos), y termina en Asia. Lo que interesa a los “amos del universo”, para preservar sus intereses, es “resetear” a Occidente para que acepte un modelo de gobierno dictatorial, similar al del PCCh: estado policial, control social y monopolios “oficiosos”…</w:t>
      </w:r>
    </w:p>
    <w:p w:rsidR="00737DC2" w:rsidRPr="002168BA" w:rsidRDefault="00737DC2" w:rsidP="00737DC2">
      <w:pPr>
        <w:spacing w:line="240" w:lineRule="auto"/>
        <w:jc w:val="both"/>
        <w:rPr>
          <w:rFonts w:ascii="Times New Roman" w:hAnsi="Times New Roman" w:cs="Times New Roman"/>
          <w:sz w:val="24"/>
          <w:szCs w:val="24"/>
        </w:rPr>
      </w:pPr>
      <w:r>
        <w:rPr>
          <w:rFonts w:ascii="Times New Roman" w:hAnsi="Times New Roman" w:cs="Times New Roman"/>
          <w:b/>
          <w:sz w:val="24"/>
          <w:szCs w:val="24"/>
        </w:rPr>
        <w:t>De la “maldita hemeroteca” anterior a</w:t>
      </w:r>
      <w:r w:rsidRPr="00547140">
        <w:rPr>
          <w:rFonts w:ascii="Times New Roman" w:hAnsi="Times New Roman" w:cs="Times New Roman"/>
          <w:b/>
          <w:sz w:val="24"/>
          <w:szCs w:val="24"/>
        </w:rPr>
        <w:t xml:space="preserve"> la crisis sanitaria </w:t>
      </w:r>
      <w:r>
        <w:rPr>
          <w:rFonts w:ascii="Times New Roman" w:hAnsi="Times New Roman" w:cs="Times New Roman"/>
          <w:b/>
          <w:sz w:val="24"/>
          <w:szCs w:val="24"/>
        </w:rPr>
        <w:t>(Covid-19): algunas claves sobre el fracaso de la globalización (el paisaje, desde “el lado malo de las vías del tren”)</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 xml:space="preserve">Las cifras de la desigualdad en </w:t>
      </w:r>
      <w:proofErr w:type="gramStart"/>
      <w:r w:rsidRPr="00E80466">
        <w:rPr>
          <w:rFonts w:ascii="Times New Roman" w:eastAsia="Times New Roman" w:hAnsi="Times New Roman" w:cs="Times New Roman"/>
          <w:sz w:val="24"/>
          <w:szCs w:val="24"/>
          <w:u w:val="single"/>
        </w:rPr>
        <w:t>EEUU</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28/1/14</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792ABB" w:rsidRDefault="00737DC2" w:rsidP="00737DC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La recesión económica ha aumentado la brecha entre los ciudadanos con más recursos y aquellos que todavía no ven los efectos de la recuperación</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C</w:t>
      </w:r>
      <w:r>
        <w:rPr>
          <w:rFonts w:ascii="Times New Roman" w:eastAsia="Times New Roman" w:hAnsi="Times New Roman" w:cs="Times New Roman"/>
          <w:sz w:val="24"/>
          <w:szCs w:val="24"/>
        </w:rPr>
        <w:t>ristina F. Pereda)</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 tercio de las familias lideradas por una madre soltera vive por debajo del umbral de la pobreza, se</w:t>
      </w:r>
      <w:r>
        <w:rPr>
          <w:rFonts w:ascii="Times New Roman" w:eastAsia="Times New Roman" w:hAnsi="Times New Roman" w:cs="Times New Roman"/>
          <w:sz w:val="24"/>
          <w:szCs w:val="24"/>
        </w:rPr>
        <w:t xml:space="preserve">gún un estudio reciente. </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de Estados Unidos, Barack Obama, aseguró en uno de sus últimos discursos de 2013 que “la desigualdad es el mayor desafío de nuestro tiempo”. Medio siglo después de que el presidente Lyndon B. Johnson declarase la “guerra contra la pobreza”, y a pesar del progreso alcanzado, las dificultades económicas que atraviesan gran parte de los ciudadanos estadounidenses amenazan la salida definitiva de la recesión.</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desigualdad, tema central del discurso sobre el estado de la Unión que ofrece Obama esta noche, es también uno de los asuntos que el Partido Demócrata quiere convertir en protagonista de las elecciones legislativas del próximo otoño. A continuación, repasamos algunas de las</w:t>
      </w:r>
      <w:r>
        <w:rPr>
          <w:rFonts w:ascii="Times New Roman" w:eastAsia="Times New Roman" w:hAnsi="Times New Roman" w:cs="Times New Roman"/>
          <w:sz w:val="24"/>
          <w:szCs w:val="24"/>
        </w:rPr>
        <w:t xml:space="preserve"> cifras de la desigualdad en EE</w:t>
      </w:r>
      <w:r w:rsidRPr="002E1EF3">
        <w:rPr>
          <w:rFonts w:ascii="Times New Roman" w:eastAsia="Times New Roman" w:hAnsi="Times New Roman" w:cs="Times New Roman"/>
          <w:sz w:val="24"/>
          <w:szCs w:val="24"/>
        </w:rPr>
        <w:t>UU:</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Distribución de la riqueza</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Durante las tres últimas décadas, coincidiendo con el momento en que se estancaron los efectos de la guerra contra la pobreza de Johnson, la mayor parte de la riqueza ha sido amasada por el 1% de los estadounidenses, con ingresos medios de 27 millones de dólares anuales por familia, mientras que ese mismo índice se ha quedado clavado en unos 31.000 dólares para el 90% de los hogares estadounidenses, según datos de la Universidad de California Berkeley.</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Más de la mitad de los hijos de mujeres menores de 30 años son hijos de madres solteras, lo que aumenta sus probabilidades de vivir en la pobreza</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Obama alertó de las graves consecuencias de la desigualdad, un problema que ya padecía la economía estadounidense incluso antes de la recesión y que se ha agravado después. En 2007, el 1% de los ciudadanos poseía el 34 % de la riqueza. El siguiente 9% más rico manejaba el 38,5%, mientras que el 90% controlaba el tercio restante, un 26,9%, según datos de la Reserva Federal.</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Nivel de ingresos</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Una de esas disparidades ha sido denunciada por el Centro para la Política Responsable, una organización de Washington. En un informe reciente, revelaron que la riqueza media de las familias estadounidenses es de 120.000 dólares, mientras que la de los miembros del Congreso es de 912.000 dólares.</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Pobreza</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w:t>
      </w:r>
      <w:r>
        <w:rPr>
          <w:rFonts w:ascii="Times New Roman" w:eastAsia="Times New Roman" w:hAnsi="Times New Roman" w:cs="Times New Roman"/>
          <w:sz w:val="24"/>
          <w:szCs w:val="24"/>
        </w:rPr>
        <w:t>ón económica ha disparado en EE</w:t>
      </w:r>
      <w:r w:rsidRPr="002E1EF3">
        <w:rPr>
          <w:rFonts w:ascii="Times New Roman" w:eastAsia="Times New Roman" w:hAnsi="Times New Roman" w:cs="Times New Roman"/>
          <w:sz w:val="24"/>
          <w:szCs w:val="24"/>
        </w:rPr>
        <w:t>UU el número de menores de 18 años que viven bajo el umbral de la pobreza, desplazando al país por detrás de la mayoría del resto de naciones ricas. El 21% de los menores estadounidenses vive en condiciones de pobreza, según la OCDE, un porcentaje solo superior al de Turquía, Rumanía, México e Israel.</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EE UU, más de la mitad de los hijos de mujeres menores de 30 años son hijos de madres solteras, lo que aumenta sus probabilidades de vivir en la pobreza. Según un informe reciente del Center for American Progress, un tercio de las familias lideradas por una madre soltera es pobre. La desigualdad también se mide en el porcentaje de ciudadanos que viven en la pobreza, el 15% de la población. Esta proporción aumenta sin embargo al 25% de los hispanos y al 27% de los afroamericanos, muy por encima del resto de la población.</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Empleo</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Mientras que la tasa media de desempleo estaba situada en noviembre en el 6,7%, en el caso de los blancos era del 5,9%, para un 11,9% de los afroamericanos y un 8,3% de los hispanos. La falta de empleo se ha unido además al descenso en los beneficios que ofrecían las </w:t>
      </w:r>
      <w:r w:rsidRPr="002E1EF3">
        <w:rPr>
          <w:rFonts w:ascii="Times New Roman" w:eastAsia="Times New Roman" w:hAnsi="Times New Roman" w:cs="Times New Roman"/>
          <w:sz w:val="24"/>
          <w:szCs w:val="24"/>
        </w:rPr>
        <w:lastRenderedPageBreak/>
        <w:t>empresas a los trabajadores -en forma de planes de pensión o seguros médicos- en el período de 2007 a 2012, reduciendo la seguridad económica de las familias.</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Acceso a educación superior</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materia de educación, el abandono escolar sigue estando liderado por los estudiantes hispanos -más del 20%-, seguidos de los afroamericanos -cerca del 10%-; mientras que la mayoría de los estudiantes universitarios son blancos, según datos del Centro Nacional de Estadísticas de Educación. El acceso a la educación superior por parte de estudiantes de minorías raciales ha aumentado en las últimas décadas, pero nunca al ritmo de los alumnos blancos. Las dificultades de acceso, motivadas por la falta de recursos tanto de los estudiantes como de sus familias, además de otras causas, ha empujado a la primera dama, Michelle Obama, a convertir esta en una de sus causas para los próximos tres años.</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Varios estudios han demostrado la relación entre el abandono escolar -especialmente entre los estudiantes de minorías raciales- y la entrada en prisión. Según un informe realizado por una investigadora de Harvard, un 37% de los jóvenes afroamericanos de entre 20 y 34 años y que no terminó el instituto, está en la cárcel. Este porcentaje se ha triplicado además desde los años 80.</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 xml:space="preserve">China tiene una clase media más grande que Estados </w:t>
      </w:r>
      <w:proofErr w:type="gramStart"/>
      <w:r w:rsidRPr="00E80466">
        <w:rPr>
          <w:rFonts w:ascii="Times New Roman" w:eastAsia="Times New Roman" w:hAnsi="Times New Roman" w:cs="Times New Roman"/>
          <w:sz w:val="24"/>
          <w:szCs w:val="24"/>
          <w:u w:val="single"/>
        </w:rPr>
        <w:t>Unidos</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“sueño chino”</w:t>
      </w:r>
      <w:r w:rsidRPr="00010918">
        <w:rPr>
          <w:rFonts w:ascii="Times New Roman" w:eastAsia="Times New Roman" w:hAnsi="Times New Roman" w:cs="Times New Roman"/>
          <w:sz w:val="24"/>
          <w:szCs w:val="24"/>
        </w:rPr>
        <w:t xml:space="preserve"> se está haciendo realidad para millones de personas. La clase media en China es ahora la más grande del mundo, y crece mucho más rápido que la de Estados Unidos, según una investigación de Credit Suisse.</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 dice Credit</w:t>
      </w:r>
      <w:r w:rsidRPr="00010918">
        <w:rPr>
          <w:rFonts w:ascii="Times New Roman" w:eastAsia="Times New Roman" w:hAnsi="Times New Roman" w:cs="Times New Roman"/>
          <w:sz w:val="24"/>
          <w:szCs w:val="24"/>
        </w:rPr>
        <w:t xml:space="preserve"> S</w:t>
      </w:r>
      <w:r>
        <w:rPr>
          <w:rFonts w:ascii="Times New Roman" w:eastAsia="Times New Roman" w:hAnsi="Times New Roman" w:cs="Times New Roman"/>
          <w:sz w:val="24"/>
          <w:szCs w:val="24"/>
        </w:rPr>
        <w:t xml:space="preserve">uisse. </w:t>
      </w: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 xml:space="preserve">La clase media ya no domina en Estados </w:t>
      </w:r>
      <w:proofErr w:type="gramStart"/>
      <w:r w:rsidRPr="00E80466">
        <w:rPr>
          <w:rFonts w:ascii="Times New Roman" w:eastAsia="Times New Roman" w:hAnsi="Times New Roman" w:cs="Times New Roman"/>
          <w:sz w:val="24"/>
          <w:szCs w:val="24"/>
          <w:u w:val="single"/>
        </w:rPr>
        <w:t>Unidos</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11/12/15</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 xml:space="preserve">Los estadounidenses de clase media ahora conforman menos de la mitad, o el 49,9%, de la población nacional, por debajo del 61% de 1971, de acuerdo con un nuevo informe del Centro de Investigaciones Pew. Para Pew, los estadounidenses de clase media viven en hogares que ganan entre dos tercios a dos veces el ingreso promedio de la nación. En 2014, </w:t>
      </w:r>
      <w:r w:rsidRPr="00010918">
        <w:rPr>
          <w:rFonts w:ascii="Times New Roman" w:eastAsia="Times New Roman" w:hAnsi="Times New Roman" w:cs="Times New Roman"/>
          <w:sz w:val="24"/>
          <w:szCs w:val="24"/>
        </w:rPr>
        <w:lastRenderedPageBreak/>
        <w:t>eso oscilaba desde los 41.900 dólares hasta los 125.600 dólares para una familia de tres personas.</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Durante décadas, la clase media ha sido el corazón del país. Una clase media saludable mantenía a Estados Unidos fuer</w:t>
      </w:r>
      <w:r>
        <w:rPr>
          <w:rFonts w:ascii="Times New Roman" w:eastAsia="Times New Roman" w:hAnsi="Times New Roman" w:cs="Times New Roman"/>
          <w:sz w:val="24"/>
          <w:szCs w:val="24"/>
        </w:rPr>
        <w:t xml:space="preserve">te, según expertos y políticos. </w:t>
      </w:r>
      <w:r w:rsidRPr="00010918">
        <w:rPr>
          <w:rFonts w:ascii="Times New Roman" w:eastAsia="Times New Roman" w:hAnsi="Times New Roman" w:cs="Times New Roman"/>
          <w:sz w:val="24"/>
          <w:szCs w:val="24"/>
        </w:rPr>
        <w:t>Pero más recientemente, estos residentes han luchado debido a los salarios que se han estancado y a los costos que van en aumento. Los candidatos presidenciales en ambos lados del ámbito político están haciendo campaña sobre maneras para impulsar la clase media de Estados Unidos y aumentar las oportunidades de subir la escalera económica.</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constante disminución de la clase media es otra señal de la polarización económica, dijo Rakesh Kochhar, director adjunto de investigación en Pew. No solo están pasando los estadounidenses a las clases más altas y más bajas, sino están formando parte del rango superior de la clase alta y del rango menor de la clase baja.</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Este es otra señal de una creciente</w:t>
      </w:r>
      <w:r>
        <w:rPr>
          <w:rFonts w:ascii="Times New Roman" w:eastAsia="Times New Roman" w:hAnsi="Times New Roman" w:cs="Times New Roman"/>
          <w:sz w:val="24"/>
          <w:szCs w:val="24"/>
        </w:rPr>
        <w:t xml:space="preserve"> desigualdad de ingresos, dijo. “</w:t>
      </w:r>
      <w:r w:rsidRPr="00010918">
        <w:rPr>
          <w:rFonts w:ascii="Times New Roman" w:eastAsia="Times New Roman" w:hAnsi="Times New Roman" w:cs="Times New Roman"/>
          <w:sz w:val="24"/>
          <w:szCs w:val="24"/>
        </w:rPr>
        <w:t xml:space="preserve">Son menos las oportunidades que colocan a las personas en el centro de </w:t>
      </w:r>
      <w:r>
        <w:rPr>
          <w:rFonts w:ascii="Times New Roman" w:eastAsia="Times New Roman" w:hAnsi="Times New Roman" w:cs="Times New Roman"/>
          <w:sz w:val="24"/>
          <w:szCs w:val="24"/>
        </w:rPr>
        <w:t>la distribución de los ingresos”</w:t>
      </w:r>
      <w:r w:rsidRPr="00010918">
        <w:rPr>
          <w:rFonts w:ascii="Times New Roman" w:eastAsia="Times New Roman" w:hAnsi="Times New Roman" w:cs="Times New Roman"/>
          <w:sz w:val="24"/>
          <w:szCs w:val="24"/>
        </w:rPr>
        <w:t>, dijo Kochhar.</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un aspecto positivo es que son más las personas que suben que las que bajan por la escalera. El rango superior de la clase alta está creciendo rápidamente, según la investigación de Pew.</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Las personas mayores tenían más probabilidades de haber pasado a la clase alta desde 1971. El porcentaje de estadounidenses de 65 años o más en el rango superior aumentó casi en un 27% durante ese tiempo. Los matrimonios que no tienen hijos y los estadounidenses negros también vieron avances significativos.</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 xml:space="preserve">Los más propensos a pasar a la clase baja eran aquellos que solo tenían un diploma de escuela secundaria y aquellos que no habían terminado la escuela, al igual que los </w:t>
      </w:r>
      <w:r>
        <w:rPr>
          <w:rFonts w:ascii="Times New Roman" w:eastAsia="Times New Roman" w:hAnsi="Times New Roman" w:cs="Times New Roman"/>
          <w:sz w:val="24"/>
          <w:szCs w:val="24"/>
        </w:rPr>
        <w:t xml:space="preserve">hombres que no estaban casados. </w:t>
      </w:r>
      <w:r w:rsidRPr="00010918">
        <w:rPr>
          <w:rFonts w:ascii="Times New Roman" w:eastAsia="Times New Roman" w:hAnsi="Times New Roman" w:cs="Times New Roman"/>
          <w:sz w:val="24"/>
          <w:szCs w:val="24"/>
        </w:rPr>
        <w:t>Esta es otra señal de cómo la creciente desigualdad de ingresos se está haciendo evidente en la clase media.</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Desde 1970, las familias de clase alta vieron un aumento del 47% en sus ingresos hasta alcanzar los 174.600 dólares en 2014. Mientras tanto, la clase media solo consiguió un aumento del 34% hasta los 73.400 dólares. Aun así, ellos han sido más prósperos que los estadounidenses de ingresos más bajos, quienes solo recibieron un aumento del 28% hasta los 24.074 dólares.</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Algunas investigaciones muestran que la mayor desigualdad de ingresos y la disminución de la clase media de la nación detienen el creci</w:t>
      </w:r>
      <w:r>
        <w:rPr>
          <w:rFonts w:ascii="Times New Roman" w:eastAsia="Times New Roman" w:hAnsi="Times New Roman" w:cs="Times New Roman"/>
          <w:sz w:val="24"/>
          <w:szCs w:val="24"/>
        </w:rPr>
        <w:t xml:space="preserve">miento económico, dijo Kochhar. </w:t>
      </w:r>
      <w:r w:rsidRPr="00010918">
        <w:rPr>
          <w:rFonts w:ascii="Times New Roman" w:eastAsia="Times New Roman" w:hAnsi="Times New Roman" w:cs="Times New Roman"/>
          <w:sz w:val="24"/>
          <w:szCs w:val="24"/>
        </w:rPr>
        <w:t>Viéndolo de otra forma, la nueva clase superior ahora controla el 49% del ingreso agregado de la nación, en un aumento frente al 29% en 1970.</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clase media solía ganar la porción más grande de los ingresos de la nación. Tenía el 62% en 1970, pero esa proporción d</w:t>
      </w:r>
      <w:r>
        <w:rPr>
          <w:rFonts w:ascii="Times New Roman" w:eastAsia="Times New Roman" w:hAnsi="Times New Roman" w:cs="Times New Roman"/>
          <w:sz w:val="24"/>
          <w:szCs w:val="24"/>
        </w:rPr>
        <w:t xml:space="preserve">esde entonces ha bajado al 43%. </w:t>
      </w:r>
      <w:r w:rsidRPr="00010918">
        <w:rPr>
          <w:rFonts w:ascii="Times New Roman" w:eastAsia="Times New Roman" w:hAnsi="Times New Roman" w:cs="Times New Roman"/>
          <w:sz w:val="24"/>
          <w:szCs w:val="24"/>
        </w:rPr>
        <w:t>Mientras tanto, la clase baja tiene el 9% de los ingresos del país, justo por debajo del 10% que ganó en 1970.</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ricos no solo superan a la clase media en términos de ingresos. Ellos también han visto que su riqueza se ha disparado en el tra</w:t>
      </w:r>
      <w:r>
        <w:rPr>
          <w:rFonts w:ascii="Times New Roman" w:eastAsia="Times New Roman" w:hAnsi="Times New Roman" w:cs="Times New Roman"/>
          <w:sz w:val="24"/>
          <w:szCs w:val="24"/>
        </w:rPr>
        <w:t xml:space="preserve">nscurso de los últimos 40 años. </w:t>
      </w:r>
      <w:r w:rsidRPr="00010918">
        <w:rPr>
          <w:rFonts w:ascii="Times New Roman" w:eastAsia="Times New Roman" w:hAnsi="Times New Roman" w:cs="Times New Roman"/>
          <w:sz w:val="24"/>
          <w:szCs w:val="24"/>
        </w:rPr>
        <w:t xml:space="preserve">El valor neto </w:t>
      </w:r>
      <w:r w:rsidRPr="00010918">
        <w:rPr>
          <w:rFonts w:ascii="Times New Roman" w:eastAsia="Times New Roman" w:hAnsi="Times New Roman" w:cs="Times New Roman"/>
          <w:sz w:val="24"/>
          <w:szCs w:val="24"/>
        </w:rPr>
        <w:lastRenderedPageBreak/>
        <w:t>promedio de las familias de clase alta se duplicó entre 1983 y 2013, hasta los 650.100 dólares.</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la riqueza de la clase media ha aumentado tan solo en un 2% en el transcurso de ese tiempo, hasta alcanzar los 98.100 dólares. Al menos les fue mejor a ellos que a los estadounidenses de menores ingresos, quienes vieron que su riqueza se redujo en un 18% hasta los 9.500 dólares.</w:t>
      </w:r>
    </w:p>
    <w:p w:rsidR="00737DC2" w:rsidRPr="00010918"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Para sus cálculos de la riqueza, Pew utilizó datos de la Encuesta de Finanzas de los Consumidores, la cual define el valor neto como todos los activos de una familia, menos sus deudas.</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 xml:space="preserve">La clase media de EEUU cae a niveles de hace 30 </w:t>
      </w:r>
      <w:proofErr w:type="gramStart"/>
      <w:r w:rsidRPr="00E80466">
        <w:rPr>
          <w:rFonts w:ascii="Times New Roman" w:eastAsia="Times New Roman" w:hAnsi="Times New Roman" w:cs="Times New Roman"/>
          <w:sz w:val="24"/>
          <w:szCs w:val="24"/>
          <w:u w:val="single"/>
        </w:rPr>
        <w:t>años</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792ABB" w:rsidRDefault="00737DC2" w:rsidP="00737DC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 xml:space="preserve">El FMI destaca la desigualdad en Estados Unidos y pide a Francia más medidas para reducir </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A</w:t>
      </w:r>
      <w:r>
        <w:rPr>
          <w:rFonts w:ascii="Times New Roman" w:eastAsia="Times New Roman" w:hAnsi="Times New Roman" w:cs="Times New Roman"/>
          <w:sz w:val="24"/>
          <w:szCs w:val="24"/>
        </w:rPr>
        <w:t>ntonio Maqueda)</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deuda sobre PIB que sigue al alza.</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No es de extrañar que el presidente de Estados Unidos, Barack Obama, admitiese a su paso por España que la desigualdad alimenta el populismo. 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w:t>
      </w:r>
      <w:r w:rsidRPr="002E1EF3">
        <w:rPr>
          <w:rFonts w:ascii="Times New Roman" w:eastAsia="Times New Roman" w:hAnsi="Times New Roman" w:cs="Times New Roman"/>
          <w:sz w:val="24"/>
          <w:szCs w:val="24"/>
        </w:rPr>
        <w:lastRenderedPageBreak/>
        <w:t>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Las razones de la desigualdad</w:t>
      </w:r>
    </w:p>
    <w:p w:rsidR="00737DC2" w:rsidRPr="002E1EF3"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737DC2" w:rsidRDefault="00737DC2" w:rsidP="00737DC2">
      <w:pPr>
        <w:pStyle w:val="NormalWeb"/>
        <w:shd w:val="clear" w:color="auto" w:fill="FFFFFF"/>
        <w:spacing w:before="0" w:beforeAutospacing="0" w:after="0" w:afterAutospacing="0"/>
        <w:jc w:val="both"/>
        <w:textAlignment w:val="baseline"/>
        <w:rPr>
          <w:b/>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Casi 500 millones de chinos serán de clase media en 2030</w:t>
      </w:r>
      <w:r>
        <w:rPr>
          <w:rFonts w:ascii="Times New Roman" w:eastAsia="Times New Roman" w:hAnsi="Times New Roman" w:cs="Times New Roman"/>
          <w:sz w:val="24"/>
          <w:szCs w:val="24"/>
        </w:rPr>
        <w:t xml:space="preserve">(ABC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792ABB" w:rsidRDefault="00737DC2" w:rsidP="00737DC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De ellos, unos 200 millones de consumidores podrán gastar más de 27.000 euros al año</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455D2">
        <w:rPr>
          <w:rFonts w:ascii="Times New Roman" w:eastAsia="Times New Roman" w:hAnsi="Times New Roman" w:cs="Times New Roman"/>
          <w:sz w:val="24"/>
          <w:szCs w:val="24"/>
        </w:rPr>
        <w:t>Pablo M. Díez</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Pr>
          <w:rFonts w:ascii="Times New Roman" w:eastAsia="Times New Roman" w:hAnsi="Times New Roman" w:cs="Times New Roman"/>
          <w:sz w:val="24"/>
          <w:szCs w:val="24"/>
        </w:rPr>
        <w:t>ares en que se había basado el “milagro 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w:t>
      </w:r>
      <w:r>
        <w:rPr>
          <w:rFonts w:ascii="Times New Roman" w:eastAsia="Times New Roman" w:hAnsi="Times New Roman" w:cs="Times New Roman"/>
          <w:sz w:val="24"/>
          <w:szCs w:val="24"/>
        </w:rPr>
        <w:t>ncia de la prestigiosa revista “The Economist”</w:t>
      </w:r>
      <w:r w:rsidRPr="006455D2">
        <w:rPr>
          <w:rFonts w:ascii="Times New Roman" w:eastAsia="Times New Roman" w:hAnsi="Times New Roman" w:cs="Times New Roman"/>
          <w:sz w:val="24"/>
          <w:szCs w:val="24"/>
        </w:rPr>
        <w:t xml:space="preserve">, que ha analizado 300 ciudades chinas, el consumo privado crecerá una media anual del 5,5% hasta 2030. En esa fecha, se calcula que unos 480 millones de personas (un </w:t>
      </w:r>
      <w:r w:rsidRPr="006455D2">
        <w:rPr>
          <w:rFonts w:ascii="Times New Roman" w:eastAsia="Times New Roman" w:hAnsi="Times New Roman" w:cs="Times New Roman"/>
          <w:sz w:val="24"/>
          <w:szCs w:val="24"/>
        </w:rPr>
        <w:lastRenderedPageBreak/>
        <w:t>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Dentro del progreso que seguirá viviendo China, cada vez más personas irán saliendo de la pobreza y ascendiendo en la escala social. A tenor del estudio </w:t>
      </w:r>
      <w:r>
        <w:rPr>
          <w:rFonts w:ascii="Times New Roman" w:eastAsia="Times New Roman" w:hAnsi="Times New Roman" w:cs="Times New Roman"/>
          <w:sz w:val="24"/>
          <w:szCs w:val="24"/>
        </w:rPr>
        <w:t>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Las cifras de la gran masa</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que salgan de dicho grupo pasarán a engrosar la gran masa de chinos con renta media-baja, que dispondrán de una capacidad de gasto anual de entre 13.000 y 67.000 yuanes (entre 1.767 y 9.106 euros) y sumarán la mitad de la población. Con respecto al año pasado, su número se mantendrá constante porque las nuevas incorporaciones suplirán el salto de sus capas superiores a una clase social más acomodada. Así, la horquilla de población con ingresos medio-altos y una renta para gastar de entre 67.000 y 200.000 yuanes (entre 9.106 y 27.177 euros) pasará del 7,1% de 2015 (97 millones de personas) al 19,7% de 2030 (276 millones). Pero el sector que más aumentará será el de la renta alta y una capacidad de gasto superior a los 200.000 yuanes (27.177 euros) anuales, que subirá de los 35 millones de personas (2,6% de la población) de 2015 a los 205 millones (14,5%) que habrá en tres lustros.</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Debido al impulso del patrón de crecimiento vigente hasta ahora, que se ha concentrado en la industrializada costa china, megalópolis como Pekín, Shanghái, Cantón (Guangzhou) y Shenzhen doblarán el número de consumidores con ingresos altos. Especialmente Shanghái, donde habrá más de 10 millones de personas (43,2% de la población) con una capacidad de gasto anual superior a los 200.000 yuanes (27.177 euros).</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consumo ha reemplazado como motor económico a la exportación y la inversión</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Además, esta proliferación de la clase media se extenderá al interior del país y a ciudades secundarias como Chengdú, capital de la provincia sureña de Sichuán; Xian, en Shaanxi, y Changsha, en Hunan. En los últimos tiempos, todas ellas han atraído abundante inversión que huye del encarecimiento de los costes laborales en la costa china, donde la progresiva mejora del nivel de vida ha elevado los salarios. En Chongqing, una metrópolis del suroeste bañada por el río Yangtsé y con más de 30 millones de habitantes, se multiplicará por diez el número de consumidores con rentas altas, hasta llegar a los cuatro millones de personas.</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455D2">
        <w:rPr>
          <w:rFonts w:ascii="Times New Roman" w:eastAsia="Times New Roman" w:hAnsi="Times New Roman" w:cs="Times New Roman"/>
          <w:sz w:val="24"/>
          <w:szCs w:val="24"/>
        </w:rPr>
        <w:t>Aunque seguirá habiendo grandes desigualdades sociales, China parecerá entonces una verdadera sociedad de clase media y el poder adquisitivo medio de sus habitantes será similar al de Estados Unidos y Corea del Sur en el añ</w:t>
      </w:r>
      <w:r>
        <w:rPr>
          <w:rFonts w:ascii="Times New Roman" w:eastAsia="Times New Roman" w:hAnsi="Times New Roman" w:cs="Times New Roman"/>
          <w:sz w:val="24"/>
          <w:szCs w:val="24"/>
        </w:rPr>
        <w:t>o 2000”</w:t>
      </w:r>
      <w:r w:rsidRPr="006455D2">
        <w:rPr>
          <w:rFonts w:ascii="Times New Roman" w:eastAsia="Times New Roman" w:hAnsi="Times New Roman" w:cs="Times New Roman"/>
          <w:sz w:val="24"/>
          <w:szCs w:val="24"/>
        </w:rPr>
        <w:t>, predice el análisis d</w:t>
      </w:r>
      <w:r>
        <w:rPr>
          <w:rFonts w:ascii="Times New Roman" w:eastAsia="Times New Roman" w:hAnsi="Times New Roman" w:cs="Times New Roman"/>
          <w:sz w:val="24"/>
          <w:szCs w:val="24"/>
        </w:rPr>
        <w:t>e la Unidad de Inteligencia de “The Economist”</w:t>
      </w:r>
      <w:r w:rsidRPr="006455D2">
        <w:rPr>
          <w:rFonts w:ascii="Times New Roman" w:eastAsia="Times New Roman" w:hAnsi="Times New Roman" w:cs="Times New Roman"/>
          <w:sz w:val="24"/>
          <w:szCs w:val="24"/>
        </w:rPr>
        <w:t>. Dicha transformación social cambiará radicalmente el vasto mercado chino, cuyo crecimiento en estos quince años será mayor que toda la economía de consumo que hay actualmente en la Unión Europea.</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lastRenderedPageBreak/>
        <w:t>Pasión por lo extranjero</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Entre los nuevos hábitos de consumo que tendrá esta clase media, destacarán los gastos en vivienda, automóvil, aparatos electrónicos, ocio, turismo, educación y salud, con una especial predilección por la adquisición de marcas extranjeras y artículos de importación.</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China, que ya es el mayor mercado automovilístico del mundo con 19 millones de vehículos vendidos el año pasado, todavía hay mucho margen de crecimiento. Aunque el país ya cuenta con más de 280 millones de automóviles, solo hay un coche por cada cinco personas y 132 millones de potenciales compradores con dinero para adquirir uno.</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T</w:t>
      </w:r>
      <w:r>
        <w:rPr>
          <w:rFonts w:ascii="Times New Roman" w:eastAsia="Times New Roman" w:hAnsi="Times New Roman" w:cs="Times New Roman"/>
          <w:sz w:val="24"/>
          <w:szCs w:val="24"/>
        </w:rPr>
        <w:t>al y como concluye el informe, “</w:t>
      </w:r>
      <w:r w:rsidRPr="006455D2">
        <w:rPr>
          <w:rFonts w:ascii="Times New Roman" w:eastAsia="Times New Roman" w:hAnsi="Times New Roman" w:cs="Times New Roman"/>
          <w:sz w:val="24"/>
          <w:szCs w:val="24"/>
        </w:rPr>
        <w:t>la economía de consumo de China está preparada para un apasionante pe</w:t>
      </w:r>
      <w:r>
        <w:rPr>
          <w:rFonts w:ascii="Times New Roman" w:eastAsia="Times New Roman" w:hAnsi="Times New Roman" w:cs="Times New Roman"/>
          <w:sz w:val="24"/>
          <w:szCs w:val="24"/>
        </w:rPr>
        <w:t>riodo de desarrollo y expansión”</w:t>
      </w:r>
      <w:r w:rsidRPr="006455D2">
        <w:rPr>
          <w:rFonts w:ascii="Times New Roman" w:eastAsia="Times New Roman" w:hAnsi="Times New Roman" w:cs="Times New Roman"/>
          <w:sz w:val="24"/>
          <w:szCs w:val="24"/>
        </w:rPr>
        <w:t>.</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turistas que más viajan y más gastan</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auge de la clase media en China está revolucionando los hábitos de consumo y disparando algunos negocios como el turismo. El año pasado, 120 millones de chinos viajaron al extranjero y se gastaron 104.500 millones de dólares (casi 100.000 millones de euros).</w:t>
      </w:r>
    </w:p>
    <w:p w:rsidR="00737DC2" w:rsidRPr="006455D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Aunque sus destinos favoritos siguen estando en Asia, cada vez más turistas chinos viajan a Europa, donde España captó el año pasado casi 400.000 visitantes de este país. Su número no deja de aumentar en los últimos tiempos, pero España aún está muy por detrás del Reino Unido, Francia y Alemania. Entre las nuevas tendencias del turismo chino, destacan las 60.00 personas que viajaron en 2014 a Corea del Sur para hacerse operaciones de cirugía estética.</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 xml:space="preserve">La OIT alerta de una “erosión de la clase media” en </w:t>
      </w:r>
      <w:proofErr w:type="gramStart"/>
      <w:r w:rsidRPr="00E80466">
        <w:rPr>
          <w:rFonts w:ascii="Times New Roman" w:eastAsia="Times New Roman" w:hAnsi="Times New Roman" w:cs="Times New Roman"/>
          <w:sz w:val="24"/>
          <w:szCs w:val="24"/>
          <w:u w:val="single"/>
        </w:rPr>
        <w:t>Europa</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Bajan los ingresos de la clase media</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 xml:space="preserve">El estudio muestra, además, que el ingreso medio por el cual definimos la clase media disminuyó durante la crisis económica, en particular entre 2008 y 2011, aunque la erosión era ya visible antes de la crisis en países como Alemania, Luxemburgo, Países Bajos, Grecia, Reino Unido e incluso Dinamarca.Por el contrario, en España esa franja de la sociedad crecía </w:t>
      </w:r>
      <w:r w:rsidRPr="00402C89">
        <w:rPr>
          <w:rFonts w:ascii="Times New Roman" w:eastAsia="Times New Roman" w:hAnsi="Times New Roman" w:cs="Times New Roman"/>
          <w:sz w:val="24"/>
          <w:szCs w:val="24"/>
        </w:rPr>
        <w:lastRenderedPageBreak/>
        <w:t>a</w:t>
      </w:r>
      <w:r>
        <w:rPr>
          <w:rFonts w:ascii="Times New Roman" w:eastAsia="Times New Roman" w:hAnsi="Times New Roman" w:cs="Times New Roman"/>
          <w:sz w:val="24"/>
          <w:szCs w:val="24"/>
        </w:rPr>
        <w:t xml:space="preserve">ntes de 2008, una evolución que </w:t>
      </w:r>
      <w:r w:rsidRPr="00402C89">
        <w:rPr>
          <w:rFonts w:ascii="Times New Roman" w:eastAsia="Times New Roman" w:hAnsi="Times New Roman" w:cs="Times New Roman"/>
          <w:sz w:val="24"/>
          <w:szCs w:val="24"/>
        </w:rPr>
        <w:t>se vio frenada por las consecuencias de la crisis en el mundo laboral.</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Además de salarios más bajos y reducción de puestos de trabajo en el sector público, que afectó sobre todo a las mujeres, las causas de esta erosión de la clase media son el aumento de empleos precarios y el debilitamiento de la negociación colectiva.</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Se necesitan políticas específicas para frenar esta tendencia</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erosión de la clase media es alarmante, en particular porque afecta sobre todo a los jóvenes, generando así una brecha de ingresos entre generaciones”, señaló el director para Europa y Asia Central de la OIT.</w:t>
      </w:r>
    </w:p>
    <w:p w:rsidR="00737DC2" w:rsidRPr="00402C89"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Heinz Koller añadió que se necesitan políticas específicas para reducir las desigualdades y la erosión progresiva de la clase media. “Esto no sólo contribuiría a mejorar el nivel de vida de los ciudadanos, sino también a impulsar un crecimiento económico duradero”, concluyó Koller.</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FC582B"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 xml:space="preserve">Pobres en excedencia: un retrato de la España </w:t>
      </w:r>
      <w:proofErr w:type="gramStart"/>
      <w:r w:rsidRPr="00E80466">
        <w:rPr>
          <w:rFonts w:ascii="Times New Roman" w:eastAsia="Times New Roman" w:hAnsi="Times New Roman" w:cs="Times New Roman"/>
          <w:sz w:val="24"/>
          <w:szCs w:val="24"/>
          <w:u w:val="single"/>
        </w:rPr>
        <w:t>contemporánea</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El Confidencial - </w:t>
      </w:r>
      <w:r>
        <w:rPr>
          <w:rFonts w:ascii="Times New Roman" w:eastAsia="Times New Roman" w:hAnsi="Times New Roman" w:cs="Times New Roman"/>
          <w:b/>
          <w:sz w:val="24"/>
          <w:szCs w:val="24"/>
        </w:rPr>
        <w:t>17</w:t>
      </w:r>
      <w:r w:rsidRPr="00FC582B">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842475" w:rsidRDefault="00737DC2" w:rsidP="00737DC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42475">
        <w:rPr>
          <w:rFonts w:ascii="Times New Roman" w:eastAsia="Times New Roman" w:hAnsi="Times New Roman" w:cs="Times New Roman"/>
          <w:color w:val="FF0000"/>
          <w:sz w:val="24"/>
          <w:szCs w:val="24"/>
        </w:rPr>
        <w:t>La clase media es la gran fuerza política de nuestro tiempo, pero nadie la tiene en cuenta por sí misma. Todos se refieren a ella como si no existiera en realidad: la vuelven invisible</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Esteban Hernández)</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 la gran fuerza electoral de nuestra época, aun cuando no suela ser tenida en cuenta. Se habla con cierta frecuencia de ella, y se la señala como gran perdedora de la globalización, pero nadie la toma en serio. La clase media empobrecida, y es peor aún en el caso de la española, suele ser sinónimo, para una parte del espectro político, de esa gente que no se ha sabido adaptar a las exigencias de los tiempos, y para el otro, de esas personas retrógradas y en el fondo fascistas que no quieren asimilar los cambios culturales. Ambos la ven como un problema, algo de lo que habría que deshacerse, más que como una fuerza con potencial enorme para el cambio. La ceguera de unos y otros ha abierto la puerta a la derecha populista, como la francesa o la italiana, que sí se ha dirigido a ella de nuevas maneras, como bien explica Christophe Guilluy en “No society. La fin de la classe moyenne occidental” (Flammarion).</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Un mapa de pedazos rotos</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w:t>
      </w:r>
      <w:r w:rsidRPr="003E1D17">
        <w:rPr>
          <w:rFonts w:ascii="Times New Roman" w:eastAsia="Times New Roman" w:hAnsi="Times New Roman" w:cs="Times New Roman"/>
          <w:sz w:val="24"/>
          <w:szCs w:val="24"/>
        </w:rPr>
        <w:lastRenderedPageBreak/>
        <w:t>de mira, porque se paga demasiado a gente que no trabaja y resulta imprescindible reducir la cuantía de las pensiones y retrasar la edad de retirada.</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En el margen quedan también los pequeños empresarios y los autónomos, que no han inventado maneras de competir en el mundo globalizado, o los soldados mileuristas (o menos) porque el trabajo ya lo hacen las máquinas, o los periodistas, condenados a la fabricación precarizada y en serie con el objetivo de obtener clics de Google y Facebook, o todo el sector servicios, cuyos salarios son bajos porque son gente fácilmente reemplazable cuyo trabajo aporta escaso valor añadido. Y así sucesivamente. Y como bien dice Christophe Guilluy, cuando se juntan todos estos pedazos rotos, se compone un buen retrato, el de aquellos que una vez fueron clase media.</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futuro no será el que fue</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Este destino no es el futuro, sino que compone nuestro presente, y de esto va también lo que se ha llamado precariedad, que va mucho más allá de los contratos eventuales. Un buen ejemplo es el de esos empleados bancarios que creían que, por haber conseguido un puesto de trabajo en una sucursal, tendrían trabajo para toda la vida, como sus predecesores, y que hoy son agentes comerciales, taxistas o desempleados; o esos profesionales 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que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Desventajas presentes, éxitos futuros</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El otro discurso habitual es el de los marcos culturales, el del feminismo, los derechos sexuales, la cercanía a los independentismos y demás, y también el de los memes de Juego de Tronos. De modo que por una parte está esa derecha económica que acusa a las viejas clases medias de ser incapaces de adaptarse a las necesidades económicas, y por otra esa izquierda </w:t>
      </w:r>
      <w:r w:rsidRPr="003E1D17">
        <w:rPr>
          <w:rFonts w:ascii="Times New Roman" w:eastAsia="Times New Roman" w:hAnsi="Times New Roman" w:cs="Times New Roman"/>
          <w:sz w:val="24"/>
          <w:szCs w:val="24"/>
        </w:rPr>
        <w:lastRenderedPageBreak/>
        <w:t>que les señala como señoros, racistas, homófobos y españolistas, es decir,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Puigdemont o Salvini.</w:t>
      </w:r>
    </w:p>
    <w:p w:rsidR="00737DC2"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 prueba</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Las derivas</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reproducción de los textos de su tradición les impide identificarla, así como conocer sus deseos y sus aspiraciones. Unos la defenderían vivamente si se autodenominase clase obrera, en cuyo caso no habría problema para integrarla en sus discursos; otros apuestan por ella, siempre que se declare nacionalista y antiinmigración; y otros pretenden que abandone sus anclajes y pase a ser una clase digital y global. Pero nadie quiere tomar en serio sus condiciones materiales y vitales, sólo quieren llevarla a su terreno. Hay quienes están teniendo más fortuna, como los populismos de </w:t>
      </w:r>
      <w:r w:rsidRPr="003E1D17">
        <w:rPr>
          <w:rFonts w:ascii="Times New Roman" w:eastAsia="Times New Roman" w:hAnsi="Times New Roman" w:cs="Times New Roman"/>
          <w:sz w:val="24"/>
          <w:szCs w:val="24"/>
        </w:rPr>
        <w:lastRenderedPageBreak/>
        <w:t>derecha, y otros menos, como la izquierda. Pero, en todo caso, quien gane este espacio tendrá en sus manos el triunfo político en nuestro tiempo.</w:t>
      </w:r>
    </w:p>
    <w:p w:rsidR="00737DC2" w:rsidRPr="003E1D17" w:rsidRDefault="00737DC2" w:rsidP="00737DC2">
      <w:pPr>
        <w:shd w:val="clear" w:color="auto" w:fill="FFFFFF"/>
        <w:spacing w:after="0" w:line="240" w:lineRule="auto"/>
        <w:jc w:val="both"/>
        <w:textAlignment w:val="baseline"/>
        <w:rPr>
          <w:rFonts w:ascii="Times New Roman" w:eastAsia="Times New Roman" w:hAnsi="Times New Roman" w:cs="Times New Roman"/>
          <w:sz w:val="24"/>
          <w:szCs w:val="24"/>
        </w:rPr>
      </w:pPr>
    </w:p>
    <w:p w:rsidR="00737DC2" w:rsidRDefault="00737DC2" w:rsidP="00737DC2">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E80466">
        <w:rPr>
          <w:rFonts w:ascii="Times New Roman" w:eastAsia="Times New Roman" w:hAnsi="Times New Roman" w:cs="Times New Roman"/>
          <w:sz w:val="24"/>
          <w:szCs w:val="24"/>
          <w:u w:val="single"/>
        </w:rPr>
        <w:t xml:space="preserve">Desigualdad en la era de la </w:t>
      </w:r>
      <w:proofErr w:type="gramStart"/>
      <w:r w:rsidRPr="00E80466">
        <w:rPr>
          <w:rFonts w:ascii="Times New Roman" w:eastAsia="Times New Roman" w:hAnsi="Times New Roman" w:cs="Times New Roman"/>
          <w:sz w:val="24"/>
          <w:szCs w:val="24"/>
          <w:u w:val="single"/>
        </w:rPr>
        <w:t>globalización</w:t>
      </w:r>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El Confidencial - </w:t>
      </w:r>
      <w:r>
        <w:rPr>
          <w:rFonts w:ascii="Times New Roman" w:eastAsia="Times New Roman" w:hAnsi="Times New Roman" w:cs="Times New Roman"/>
          <w:b/>
          <w:color w:val="000000"/>
          <w:sz w:val="24"/>
          <w:szCs w:val="24"/>
        </w:rPr>
        <w:t>23</w:t>
      </w:r>
      <w:r w:rsidRPr="00D45F06">
        <w:rPr>
          <w:rFonts w:ascii="Times New Roman" w:eastAsia="Times New Roman" w:hAnsi="Times New Roman" w:cs="Times New Roman"/>
          <w:b/>
          <w:color w:val="000000"/>
          <w:sz w:val="24"/>
          <w:szCs w:val="24"/>
        </w:rPr>
        <w:t>/4/19</w:t>
      </w:r>
      <w:r>
        <w:rPr>
          <w:rFonts w:ascii="Times New Roman" w:eastAsia="Times New Roman" w:hAnsi="Times New Roman" w:cs="Times New Roman"/>
          <w:color w:val="000000"/>
          <w:sz w:val="24"/>
          <w:szCs w:val="24"/>
        </w:rPr>
        <w:t>)</w:t>
      </w:r>
    </w:p>
    <w:p w:rsidR="00737DC2" w:rsidRPr="00D45F06" w:rsidRDefault="00737DC2" w:rsidP="00737DC2">
      <w:pPr>
        <w:shd w:val="clear" w:color="auto" w:fill="FFFFFF"/>
        <w:spacing w:after="0" w:line="240" w:lineRule="auto"/>
        <w:jc w:val="both"/>
        <w:rPr>
          <w:rFonts w:ascii="Times New Roman" w:eastAsia="Times New Roman" w:hAnsi="Times New Roman" w:cs="Times New Roman"/>
          <w:color w:val="000000"/>
          <w:sz w:val="24"/>
          <w:szCs w:val="24"/>
        </w:rPr>
      </w:pPr>
    </w:p>
    <w:p w:rsidR="00737DC2" w:rsidRPr="00C60929" w:rsidRDefault="00737DC2" w:rsidP="00737DC2">
      <w:pPr>
        <w:shd w:val="clear" w:color="auto" w:fill="FFFFFF"/>
        <w:spacing w:after="0" w:line="240" w:lineRule="auto"/>
        <w:jc w:val="both"/>
        <w:rPr>
          <w:rFonts w:ascii="Times New Roman" w:eastAsia="Times New Roman" w:hAnsi="Times New Roman" w:cs="Times New Roman"/>
          <w:color w:val="FF0000"/>
          <w:sz w:val="24"/>
          <w:szCs w:val="24"/>
        </w:rPr>
      </w:pPr>
      <w:r w:rsidRPr="00C60929">
        <w:rPr>
          <w:rFonts w:ascii="Times New Roman" w:eastAsia="Times New Roman" w:hAnsi="Times New Roman" w:cs="Times New Roman"/>
          <w:color w:val="FF0000"/>
          <w:sz w:val="24"/>
          <w:szCs w:val="24"/>
        </w:rPr>
        <w:t>La evolución de la desigualdad ha sido compleja y dispar en los últimos 30 años</w:t>
      </w:r>
    </w:p>
    <w:p w:rsidR="00737DC2" w:rsidRDefault="00737DC2" w:rsidP="00737DC2">
      <w:pPr>
        <w:shd w:val="clear" w:color="auto" w:fill="FFFFFF"/>
        <w:spacing w:after="0" w:line="240" w:lineRule="auto"/>
        <w:jc w:val="both"/>
        <w:rPr>
          <w:rFonts w:ascii="Times New Roman" w:eastAsia="Times New Roman" w:hAnsi="Times New Roman" w:cs="Times New Roman"/>
          <w:color w:val="000000"/>
          <w:sz w:val="24"/>
          <w:szCs w:val="24"/>
        </w:rPr>
      </w:pPr>
    </w:p>
    <w:p w:rsidR="00737DC2" w:rsidRDefault="00737DC2" w:rsidP="00737DC2">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Juan Carlos Barba)</w:t>
      </w:r>
    </w:p>
    <w:p w:rsidR="00737DC2" w:rsidRDefault="00737DC2" w:rsidP="00737DC2">
      <w:pPr>
        <w:shd w:val="clear" w:color="auto" w:fill="FFFFFF"/>
        <w:spacing w:after="0" w:line="240" w:lineRule="auto"/>
        <w:jc w:val="both"/>
        <w:rPr>
          <w:rFonts w:ascii="Times New Roman" w:eastAsia="Times New Roman" w:hAnsi="Times New Roman" w:cs="Times New Roman"/>
          <w:color w:val="000000"/>
          <w:sz w:val="24"/>
          <w:szCs w:val="24"/>
        </w:rPr>
      </w:pPr>
    </w:p>
    <w:p w:rsidR="00737DC2" w:rsidRPr="00457B3D" w:rsidRDefault="00737DC2" w:rsidP="00737DC2">
      <w:pPr>
        <w:pStyle w:val="NormalWeb"/>
        <w:shd w:val="clear" w:color="auto" w:fill="FFFFFF"/>
        <w:spacing w:before="0" w:beforeAutospacing="0" w:after="0" w:afterAutospacing="0"/>
        <w:jc w:val="both"/>
        <w:textAlignment w:val="baseline"/>
        <w:rPr>
          <w:color w:val="1A1A1A"/>
        </w:rPr>
      </w:pPr>
      <w:r w:rsidRPr="00457B3D">
        <w:rPr>
          <w:color w:val="1A1A1A"/>
        </w:rPr>
        <w:t>Recientemente, se ha publicado la primera edición del </w:t>
      </w:r>
      <w:r w:rsidRPr="00CE3602">
        <w:rPr>
          <w:rStyle w:val="Textoennegrita"/>
          <w:rFonts w:eastAsiaTheme="majorEastAsia"/>
          <w:b w:val="0"/>
          <w:color w:val="1A1A1A"/>
          <w:bdr w:val="none" w:sz="0" w:space="0" w:color="auto" w:frame="1"/>
        </w:rPr>
        <w:t>World Inequality Report</w:t>
      </w:r>
      <w:r w:rsidRPr="00457B3D">
        <w:rPr>
          <w:color w:val="1A1A1A"/>
        </w:rPr>
        <w:t xml:space="preserve">, en que se analiza la evolución de </w:t>
      </w:r>
      <w:r w:rsidRPr="00457B3D">
        <w:t>la </w:t>
      </w:r>
      <w:hyperlink r:id="rId299" w:tgtFrame="_self" w:history="1">
        <w:r w:rsidRPr="00085EA7">
          <w:rPr>
            <w:rStyle w:val="Hipervnculo"/>
            <w:rFonts w:eastAsiaTheme="minorEastAsia"/>
          </w:rPr>
          <w:t>desigualdad</w:t>
        </w:r>
      </w:hyperlink>
      <w:r w:rsidRPr="00457B3D">
        <w:t xml:space="preserve"> a </w:t>
      </w:r>
      <w:r w:rsidRPr="00457B3D">
        <w:rPr>
          <w:color w:val="1A1A1A"/>
        </w:rPr>
        <w:t>nivel mundial desde 1980. Los datos no dejan lugar a dudas: se ha producido un </w:t>
      </w:r>
      <w:r w:rsidRPr="00CE3602">
        <w:rPr>
          <w:rStyle w:val="Textoennegrita"/>
          <w:rFonts w:eastAsiaTheme="majorEastAsia"/>
          <w:b w:val="0"/>
          <w:color w:val="1A1A1A"/>
          <w:bdr w:val="none" w:sz="0" w:space="0" w:color="auto" w:frame="1"/>
        </w:rPr>
        <w:t>incremento generalizado de la desigualdad en la mayoría de las regiones</w:t>
      </w:r>
      <w:r w:rsidRPr="00457B3D">
        <w:rPr>
          <w:color w:val="1A1A1A"/>
        </w:rPr>
        <w:t>, siendo especialmente marcado en China, Norteamérica, Rusia e India. Se ha producido un aumento de la desigualdad moderado en Europa, que sigue permaneciendo como la región menos desigual del mundo, mientras que ha permanecido en niveles muy altos en Latinoamérica, África subsahariana y Oriente Medio.</w:t>
      </w:r>
    </w:p>
    <w:p w:rsidR="00737DC2" w:rsidRPr="003E1D17" w:rsidRDefault="00737DC2" w:rsidP="00737DC2">
      <w:pPr>
        <w:pStyle w:val="NormalWeb"/>
        <w:shd w:val="clear" w:color="auto" w:fill="FFFFFF"/>
        <w:spacing w:before="0" w:beforeAutospacing="0" w:after="0" w:afterAutospacing="0"/>
        <w:jc w:val="both"/>
        <w:textAlignment w:val="baseline"/>
        <w:rPr>
          <w:color w:val="1A1A1A"/>
        </w:rPr>
      </w:pPr>
    </w:p>
    <w:p w:rsidR="00737DC2" w:rsidRDefault="00737DC2" w:rsidP="00737DC2">
      <w:pPr>
        <w:pStyle w:val="NormalWeb"/>
        <w:shd w:val="clear" w:color="auto" w:fill="FFFFFF"/>
        <w:spacing w:before="0" w:beforeAutospacing="0" w:after="0" w:afterAutospacing="0"/>
        <w:jc w:val="both"/>
        <w:textAlignment w:val="baseline"/>
        <w:rPr>
          <w:color w:val="1A1A1A"/>
          <w:u w:val="single"/>
        </w:rPr>
      </w:pPr>
      <w:r w:rsidRPr="00D45F06">
        <w:rPr>
          <w:noProof/>
          <w:color w:val="1A1A1A"/>
          <w:lang w:val="en-GB" w:eastAsia="zh-CN"/>
        </w:rPr>
        <w:drawing>
          <wp:inline distT="0" distB="0" distL="0" distR="0">
            <wp:extent cx="4819650" cy="2813050"/>
            <wp:effectExtent l="0" t="0" r="0" b="6350"/>
            <wp:docPr id="208" name="Imagen 1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9650" cy="2813050"/>
                    </a:xfrm>
                    <a:prstGeom prst="rect">
                      <a:avLst/>
                    </a:prstGeom>
                    <a:noFill/>
                    <a:ln>
                      <a:noFill/>
                    </a:ln>
                  </pic:spPr>
                </pic:pic>
              </a:graphicData>
            </a:graphic>
          </wp:inline>
        </w:drawing>
      </w:r>
    </w:p>
    <w:p w:rsidR="00737DC2" w:rsidRPr="00D45F06" w:rsidRDefault="00737DC2" w:rsidP="00737DC2">
      <w:pPr>
        <w:pStyle w:val="NormalWeb"/>
        <w:shd w:val="clear" w:color="auto" w:fill="FFFFFF"/>
        <w:spacing w:before="0" w:beforeAutospacing="0" w:after="0" w:afterAutospacing="0"/>
        <w:jc w:val="both"/>
        <w:textAlignment w:val="baseline"/>
        <w:rPr>
          <w:color w:val="1A1A1A"/>
        </w:rPr>
      </w:pPr>
      <w:r w:rsidRPr="00D45F06">
        <w:rPr>
          <w:color w:val="1A1A1A"/>
        </w:rPr>
        <w:t>Fig. 1. Curvas de Lorenz correspondiente al ingreso de la población mundial en 1988 y 2008.</w:t>
      </w:r>
    </w:p>
    <w:p w:rsidR="00737DC2" w:rsidRPr="007E56E0" w:rsidRDefault="00737DC2" w:rsidP="00737DC2">
      <w:pPr>
        <w:pStyle w:val="NormalWeb"/>
        <w:shd w:val="clear" w:color="auto" w:fill="FFFFFF"/>
        <w:spacing w:before="0" w:beforeAutospacing="0" w:after="0" w:afterAutospacing="0"/>
        <w:jc w:val="both"/>
        <w:textAlignment w:val="baseline"/>
        <w:rPr>
          <w:color w:val="1A1A1A"/>
          <w:u w:val="single"/>
        </w:rPr>
      </w:pPr>
    </w:p>
    <w:p w:rsidR="00737DC2" w:rsidRPr="003E1D17" w:rsidRDefault="00737DC2" w:rsidP="00737DC2">
      <w:pPr>
        <w:pStyle w:val="NormalWeb"/>
        <w:shd w:val="clear" w:color="auto" w:fill="FFFFFF"/>
        <w:spacing w:before="0" w:beforeAutospacing="0" w:after="0" w:afterAutospacing="0"/>
        <w:jc w:val="both"/>
        <w:textAlignment w:val="baseline"/>
        <w:rPr>
          <w:color w:val="1A1A1A"/>
        </w:rPr>
      </w:pPr>
      <w:r w:rsidRPr="003E1D17">
        <w:rPr>
          <w:color w:val="1A1A1A"/>
        </w:rPr>
        <w:t>La desigualdad ha seguido una trayectoria compleja en los últimos 40 años, pues mientras se producía este incremento de la desigualdad en la mayoría de regiones del mundo, se producía una </w:t>
      </w:r>
      <w:r w:rsidRPr="00CE3602">
        <w:rPr>
          <w:rStyle w:val="Textoennegrita"/>
          <w:rFonts w:eastAsiaTheme="majorEastAsia"/>
          <w:b w:val="0"/>
          <w:color w:val="1A1A1A"/>
          <w:bdr w:val="none" w:sz="0" w:space="0" w:color="auto" w:frame="1"/>
        </w:rPr>
        <w:t>disminución de la desigualdad si consideramos el mundo en su conjunto</w:t>
      </w:r>
      <w:r w:rsidRPr="003E1D17">
        <w:rPr>
          <w:color w:val="1A1A1A"/>
        </w:rPr>
        <w:t>. Esto es lo que vemos en el gráfico anterior, en que está representada la llamada “</w:t>
      </w:r>
      <w:r w:rsidRPr="00CE3602">
        <w:rPr>
          <w:rStyle w:val="Textoennegrita"/>
          <w:rFonts w:eastAsiaTheme="majorEastAsia"/>
          <w:b w:val="0"/>
          <w:color w:val="1A1A1A"/>
          <w:bdr w:val="none" w:sz="0" w:space="0" w:color="auto" w:frame="1"/>
        </w:rPr>
        <w:t>curva de Lorenz</w:t>
      </w:r>
      <w:r w:rsidRPr="003E1D17">
        <w:rPr>
          <w:color w:val="1A1A1A"/>
        </w:rPr>
        <w:t>”, uno de los indicadores más utilizados para medir la desigualdad, a nivel global. Cuanto más cerca se halle la curva de la línea recta diagonal, más igualitario es el ingreso. Como se ve, el mundo era en 2008 algo más igualitario que en 1988.</w:t>
      </w:r>
    </w:p>
    <w:p w:rsidR="00737DC2" w:rsidRPr="003E1D17" w:rsidRDefault="00737DC2" w:rsidP="00737DC2">
      <w:pPr>
        <w:pStyle w:val="NormalWeb"/>
        <w:shd w:val="clear" w:color="auto" w:fill="FFFFFF"/>
        <w:spacing w:before="0" w:beforeAutospacing="0" w:after="0" w:afterAutospacing="0"/>
        <w:jc w:val="both"/>
        <w:textAlignment w:val="baseline"/>
        <w:rPr>
          <w:color w:val="1A1A1A"/>
        </w:rPr>
      </w:pPr>
    </w:p>
    <w:p w:rsidR="00737DC2" w:rsidRPr="003E1D17" w:rsidRDefault="00737DC2" w:rsidP="00737DC2">
      <w:pPr>
        <w:pStyle w:val="NormalWeb"/>
        <w:shd w:val="clear" w:color="auto" w:fill="FFFFFF"/>
        <w:spacing w:before="0" w:beforeAutospacing="0" w:after="0" w:afterAutospacing="0"/>
        <w:jc w:val="both"/>
        <w:textAlignment w:val="baseline"/>
        <w:rPr>
          <w:color w:val="1A1A1A"/>
        </w:rPr>
      </w:pPr>
      <w:r w:rsidRPr="003E1D17">
        <w:rPr>
          <w:color w:val="1A1A1A"/>
        </w:rPr>
        <w:t>Esto es fruto del tremendo</w:t>
      </w:r>
      <w:r w:rsidRPr="003E1D17">
        <w:rPr>
          <w:rStyle w:val="Textoennegrita"/>
          <w:rFonts w:eastAsiaTheme="majorEastAsia"/>
          <w:color w:val="1A1A1A"/>
          <w:bdr w:val="none" w:sz="0" w:space="0" w:color="auto" w:frame="1"/>
        </w:rPr>
        <w:t> </w:t>
      </w:r>
      <w:r w:rsidRPr="00CE3602">
        <w:rPr>
          <w:rStyle w:val="Textoennegrita"/>
          <w:rFonts w:eastAsiaTheme="majorEastAsia"/>
          <w:b w:val="0"/>
          <w:color w:val="1A1A1A"/>
          <w:bdr w:val="none" w:sz="0" w:space="0" w:color="auto" w:frame="1"/>
        </w:rPr>
        <w:t>crecimiento económico</w:t>
      </w:r>
      <w:r w:rsidRPr="003E1D17">
        <w:rPr>
          <w:color w:val="1A1A1A"/>
        </w:rPr>
        <w:t> que han tenido muchos países del mundo, que ha hecho que cientos de millones de personas hayan pasado de tener ingresos muy bajos a tener ingresos medios. Esto lo podemos ver en la llamada curva del elefante -por la forma que tiene-, en que se ve cuánto se ha beneficiado cada grupo de ingresos del crecimiento económico mundial desde 1988 hasta 2008.</w:t>
      </w:r>
    </w:p>
    <w:p w:rsidR="00737DC2" w:rsidRPr="00D45F06" w:rsidRDefault="00737DC2" w:rsidP="00737DC2">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val="en-GB" w:eastAsia="zh-CN"/>
        </w:rPr>
        <w:lastRenderedPageBreak/>
        <w:drawing>
          <wp:inline distT="0" distB="0" distL="0" distR="0">
            <wp:extent cx="5708650" cy="2336800"/>
            <wp:effectExtent l="0" t="0" r="6350" b="6350"/>
            <wp:docPr id="210" name="Imagen 1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3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650" cy="233680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0" w:afterAutospacing="0"/>
        <w:jc w:val="both"/>
        <w:textAlignment w:val="baseline"/>
        <w:rPr>
          <w:color w:val="1A1A1A"/>
        </w:rPr>
      </w:pPr>
      <w:r w:rsidRPr="00D45F06">
        <w:rPr>
          <w:color w:val="1A1A1A"/>
        </w:rPr>
        <w:t>Fig. 2. Crecimiento en los ingresos desde 1988 hasta 2008, por deciles de ingreso. Fuente: Global Inequality. Milanovic et al. (2016)</w:t>
      </w:r>
    </w:p>
    <w:p w:rsidR="00737DC2" w:rsidRPr="00D45F06" w:rsidRDefault="00737DC2" w:rsidP="00737DC2">
      <w:pPr>
        <w:pStyle w:val="NormalWeb"/>
        <w:shd w:val="clear" w:color="auto" w:fill="FFFFFF"/>
        <w:spacing w:before="0" w:beforeAutospacing="0" w:after="0" w:afterAutospacing="0"/>
        <w:jc w:val="both"/>
        <w:textAlignment w:val="baseline"/>
        <w:rPr>
          <w:color w:val="1A1A1A"/>
        </w:rPr>
      </w:pPr>
    </w:p>
    <w:p w:rsidR="00737DC2" w:rsidRPr="003E1D17" w:rsidRDefault="00737DC2" w:rsidP="00737DC2">
      <w:pPr>
        <w:pStyle w:val="NormalWeb"/>
        <w:shd w:val="clear" w:color="auto" w:fill="FFFFFF"/>
        <w:spacing w:before="0" w:beforeAutospacing="0" w:after="0" w:afterAutospacing="0"/>
        <w:jc w:val="both"/>
        <w:textAlignment w:val="baseline"/>
      </w:pPr>
      <w:r w:rsidRPr="003E1D17">
        <w:t>De esta curva se han hecho bastantes </w:t>
      </w:r>
      <w:r w:rsidRPr="00CE3602">
        <w:rPr>
          <w:rStyle w:val="Textoennegrita"/>
          <w:rFonts w:eastAsiaTheme="majorEastAsia"/>
          <w:b w:val="0"/>
          <w:bdr w:val="none" w:sz="0" w:space="0" w:color="auto" w:frame="1"/>
        </w:rPr>
        <w:t>interpretaciones</w:t>
      </w:r>
      <w:r w:rsidRPr="003E1D17">
        <w:t>, siendo la más habitual que el crecimiento de los últimos 40 años ha beneficiado sobre todo a la parte media-baja y media de la población mundial y a los más ricos, quedando casi excluidos de los beneficios de este crecimiento las clases medias de los países ricos. El 10% más pobre tampoco ha salido muy beneficiado y los superricos han salido también muy beneficiados.</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Pero, como señala el autor de esta curva, </w:t>
      </w:r>
      <w:r w:rsidRPr="00CE3602">
        <w:rPr>
          <w:rStyle w:val="Textoennegrita"/>
          <w:rFonts w:eastAsiaTheme="majorEastAsia"/>
          <w:b w:val="0"/>
          <w:bdr w:val="none" w:sz="0" w:space="0" w:color="auto" w:frame="1"/>
        </w:rPr>
        <w:t>Branko Milanovic</w:t>
      </w:r>
      <w:r w:rsidRPr="003E1D17">
        <w:rPr>
          <w:rStyle w:val="Textoennegrita"/>
          <w:rFonts w:eastAsiaTheme="majorEastAsia"/>
          <w:bdr w:val="none" w:sz="0" w:space="0" w:color="auto" w:frame="1"/>
        </w:rPr>
        <w:t>,</w:t>
      </w:r>
      <w:r w:rsidRPr="003E1D17">
        <w:t> la imagen cambia si representamos en lugar de porcentajes de ingresos los valores absolutos, que es lo que vemos a continuación en la imagen del informe al que hacemos referencia al principio. El 1% más rico de la población mundial ha capturado el 27% del total del crecimiento mundial desde 1980, mientras que el 50% de abajo solo ha capturado el 12%, pero ese 12% es tanto dinero que se nota de forma muy importante en términos relativos.</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D45F06" w:rsidRDefault="00737DC2" w:rsidP="00737DC2">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val="en-GB" w:eastAsia="zh-CN"/>
        </w:rPr>
        <w:drawing>
          <wp:inline distT="0" distB="0" distL="0" distR="0">
            <wp:extent cx="5689600" cy="2336800"/>
            <wp:effectExtent l="0" t="0" r="6350" b="6350"/>
            <wp:docPr id="211" name="Imagen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9600" cy="233680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0" w:afterAutospacing="0"/>
        <w:jc w:val="both"/>
        <w:textAlignment w:val="baseline"/>
        <w:rPr>
          <w:color w:val="1A1A1A"/>
        </w:rPr>
      </w:pPr>
      <w:r w:rsidRPr="00D45F06">
        <w:rPr>
          <w:color w:val="1A1A1A"/>
        </w:rPr>
        <w:t>Fig. 3. Crecimiento en % del ingreso real por adulto entre 1980 y 2016. Fuente: World Inequality Report.</w:t>
      </w:r>
    </w:p>
    <w:p w:rsidR="00737DC2" w:rsidRPr="00D45F06" w:rsidRDefault="00737DC2" w:rsidP="00737DC2">
      <w:pPr>
        <w:pStyle w:val="NormalWeb"/>
        <w:shd w:val="clear" w:color="auto" w:fill="FFFFFF"/>
        <w:spacing w:before="0" w:beforeAutospacing="0" w:after="0" w:afterAutospacing="0"/>
        <w:jc w:val="both"/>
        <w:textAlignment w:val="baseline"/>
        <w:rPr>
          <w:color w:val="1A1A1A"/>
        </w:rPr>
      </w:pPr>
    </w:p>
    <w:p w:rsidR="00737DC2" w:rsidRPr="003E1D17" w:rsidRDefault="00737DC2" w:rsidP="00737DC2">
      <w:pPr>
        <w:pStyle w:val="NormalWeb"/>
        <w:shd w:val="clear" w:color="auto" w:fill="FFFFFF"/>
        <w:spacing w:before="0" w:beforeAutospacing="0" w:after="0" w:afterAutospacing="0"/>
        <w:jc w:val="both"/>
        <w:textAlignment w:val="baseline"/>
      </w:pPr>
      <w:r w:rsidRPr="003E1D17">
        <w:t>En el gráfico original de Milanovic, se ve la enorme </w:t>
      </w:r>
      <w:r w:rsidRPr="00CE3602">
        <w:rPr>
          <w:rStyle w:val="Textoennegrita"/>
          <w:rFonts w:eastAsiaTheme="majorEastAsia"/>
          <w:b w:val="0"/>
          <w:bdr w:val="none" w:sz="0" w:space="0" w:color="auto" w:frame="1"/>
        </w:rPr>
        <w:t>desproporción</w:t>
      </w:r>
      <w:r w:rsidRPr="003E1D17">
        <w:t xml:space="preserve"> entre la captura de ingresos procedentes del crecimiento mundial según el nivel de ingresos al que se pertenece (fig. 4). También se ve que la mejora de ese grupo al que pertenecen esas clases medias del </w:t>
      </w:r>
      <w:r w:rsidRPr="003E1D17">
        <w:lastRenderedPageBreak/>
        <w:t>mundo rico no ha sido despreciable, ya que han capturado el 20% del crecimiento mundial, es decir, la misma proporción correspondiente a su peso demográfico.</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val="en-GB" w:eastAsia="zh-CN"/>
        </w:rPr>
        <w:drawing>
          <wp:inline distT="0" distB="0" distL="0" distR="0">
            <wp:extent cx="5676900" cy="2082800"/>
            <wp:effectExtent l="0" t="0" r="0" b="0"/>
            <wp:docPr id="212" name="Imagen 1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3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0" cy="2082800"/>
                    </a:xfrm>
                    <a:prstGeom prst="rect">
                      <a:avLst/>
                    </a:prstGeom>
                    <a:noFill/>
                    <a:ln>
                      <a:noFill/>
                    </a:ln>
                  </pic:spPr>
                </pic:pic>
              </a:graphicData>
            </a:graphic>
          </wp:inline>
        </w:drawing>
      </w:r>
    </w:p>
    <w:p w:rsidR="00737DC2" w:rsidRPr="003E1D17" w:rsidRDefault="00737DC2" w:rsidP="00737DC2">
      <w:pPr>
        <w:pStyle w:val="NormalWeb"/>
        <w:shd w:val="clear" w:color="auto" w:fill="FFFFFF"/>
        <w:spacing w:before="0" w:beforeAutospacing="0" w:after="0" w:afterAutospacing="0"/>
        <w:jc w:val="both"/>
        <w:textAlignment w:val="baseline"/>
      </w:pPr>
      <w:r w:rsidRPr="003E1D17">
        <w:t>Fig. 4. Incremento de ingresos entre 1980 y 2008 según el grupo de ingresos a nivel global. Fuente: Global Inequality. Milanovic et al. (2016)</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Pero la complejidad del análisis no termina aquí, pues, como señala </w:t>
      </w:r>
      <w:r w:rsidRPr="00CE3602">
        <w:rPr>
          <w:rStyle w:val="Textoennegrita"/>
          <w:rFonts w:eastAsiaTheme="majorEastAsia"/>
          <w:b w:val="0"/>
          <w:bdr w:val="none" w:sz="0" w:space="0" w:color="auto" w:frame="1"/>
        </w:rPr>
        <w:t>Adam Corlett</w:t>
      </w:r>
      <w:r w:rsidRPr="003E1D17">
        <w:t> desde el Foro Económico Mundial, si se excluye a Japón, la antigua URSS y sus satélites, a las clases medias del mundo rico no les ha ido tan mal, ya que incluso les ha ido mejor que a la media del resto del mundo si excluimos China. Esto lo vemos a continuación.</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val="en-GB" w:eastAsia="zh-CN"/>
        </w:rPr>
        <w:drawing>
          <wp:inline distT="0" distB="0" distL="0" distR="0">
            <wp:extent cx="5778500" cy="2406650"/>
            <wp:effectExtent l="0" t="0" r="0" b="0"/>
            <wp:docPr id="214" name="Imagen 1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3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8500" cy="2406650"/>
                    </a:xfrm>
                    <a:prstGeom prst="rect">
                      <a:avLst/>
                    </a:prstGeom>
                    <a:noFill/>
                    <a:ln>
                      <a:noFill/>
                    </a:ln>
                  </pic:spPr>
                </pic:pic>
              </a:graphicData>
            </a:graphic>
          </wp:inline>
        </w:drawing>
      </w:r>
    </w:p>
    <w:p w:rsidR="00737DC2" w:rsidRPr="003E1D17" w:rsidRDefault="00737DC2" w:rsidP="00737DC2">
      <w:pPr>
        <w:pStyle w:val="NormalWeb"/>
        <w:shd w:val="clear" w:color="auto" w:fill="FFFFFF"/>
        <w:spacing w:before="0" w:beforeAutospacing="0" w:after="0" w:afterAutospacing="0"/>
        <w:jc w:val="both"/>
        <w:textAlignment w:val="baseline"/>
      </w:pPr>
      <w:r w:rsidRPr="003E1D17">
        <w:t>Fig. 5. Crecimiento de los ingresos per cápita entre 1988 y 2008 por regiones y grupos de ingresos. Fuente: Adam Corlett (2016).</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Si</w:t>
      </w:r>
      <w:r w:rsidRPr="003E1D17">
        <w:rPr>
          <w:b/>
        </w:rPr>
        <w:t> </w:t>
      </w:r>
      <w:r w:rsidRPr="00CE3602">
        <w:rPr>
          <w:rStyle w:val="Textoennegrita"/>
          <w:rFonts w:eastAsiaTheme="majorEastAsia"/>
          <w:b w:val="0"/>
          <w:bdr w:val="none" w:sz="0" w:space="0" w:color="auto" w:frame="1"/>
        </w:rPr>
        <w:t>desagregamos por países</w:t>
      </w:r>
      <w:r w:rsidRPr="003E1D17">
        <w:rPr>
          <w:rStyle w:val="Textoennegrita"/>
          <w:rFonts w:eastAsiaTheme="majorEastAsia"/>
          <w:bdr w:val="none" w:sz="0" w:space="0" w:color="auto" w:frame="1"/>
        </w:rPr>
        <w:t>, </w:t>
      </w:r>
      <w:r w:rsidRPr="003E1D17">
        <w:t>vemos cómo en general se ve ese </w:t>
      </w:r>
      <w:r w:rsidRPr="00CE3602">
        <w:rPr>
          <w:rStyle w:val="Textoennegrita"/>
          <w:rFonts w:eastAsiaTheme="majorEastAsia"/>
          <w:b w:val="0"/>
          <w:bdr w:val="none" w:sz="0" w:space="0" w:color="auto" w:frame="1"/>
        </w:rPr>
        <w:t>efecto de concentración de beneficio</w:t>
      </w:r>
      <w:r w:rsidRPr="003E1D17">
        <w:rPr>
          <w:rStyle w:val="Textoennegrita"/>
          <w:rFonts w:eastAsiaTheme="majorEastAsia"/>
          <w:bdr w:val="none" w:sz="0" w:space="0" w:color="auto" w:frame="1"/>
        </w:rPr>
        <w:t> </w:t>
      </w:r>
      <w:r w:rsidRPr="003E1D17">
        <w:t xml:space="preserve">en los más ricos pero cómo también a las clases medias y bajas les ha ido relativamente bien. En la primera imagen, vemos un grupo seleccionado de países entre los que se encuentra España. En la mayor economía del mundo, EEUU, les fue bien a todos los grupos de ingreso, pero a los más ricos les fue desproporcionadamente bien. En Italia y España también salieron beneficiados todos los grupos, pero en ambos casos, especialmente el español, los más ricos salieron menos beneficiados que el resto. Hay que tener en cuenta que este gráfico solo llega hasta 2008, y hay datos que indican que desde entonces las rentas </w:t>
      </w:r>
      <w:r w:rsidRPr="003E1D17">
        <w:lastRenderedPageBreak/>
        <w:t>altas se han beneficiado más que las bajas del crecimiento, ya que el </w:t>
      </w:r>
      <w:r w:rsidRPr="00D56C32">
        <w:rPr>
          <w:rStyle w:val="Textoennegrita"/>
          <w:rFonts w:eastAsiaTheme="majorEastAsia"/>
          <w:bdr w:val="none" w:sz="0" w:space="0" w:color="auto" w:frame="1"/>
        </w:rPr>
        <w:t>índice de Gini</w:t>
      </w:r>
      <w:r w:rsidRPr="003E1D17">
        <w:t> español, según el INE, ha subido casi dos puntos porcentuales entre 2008 y 2017.</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6D7D22" w:rsidRDefault="00737DC2" w:rsidP="00737DC2">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val="en-GB" w:eastAsia="zh-CN"/>
        </w:rPr>
        <w:drawing>
          <wp:inline distT="0" distB="0" distL="0" distR="0">
            <wp:extent cx="5676900" cy="2501900"/>
            <wp:effectExtent l="0" t="0" r="0" b="0"/>
            <wp:docPr id="215" name="Imagen 1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
                    <pic:cNvPicPr>
                      <a:picLocks noChangeAspect="1" noChangeArrowheads="1"/>
                    </pic:cNvPicPr>
                  </pic:nvPicPr>
                  <pic:blipFill>
                    <a:blip r:embed="rId3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0" cy="2501900"/>
                    </a:xfrm>
                    <a:prstGeom prst="rect">
                      <a:avLst/>
                    </a:prstGeom>
                    <a:noFill/>
                    <a:ln>
                      <a:noFill/>
                    </a:ln>
                  </pic:spPr>
                </pic:pic>
              </a:graphicData>
            </a:graphic>
          </wp:inline>
        </w:drawing>
      </w:r>
      <w:r w:rsidRPr="00BD0415">
        <w:rPr>
          <w:rFonts w:ascii="Times New Roman" w:hAnsi="Times New Roman" w:cs="Times New Roman"/>
          <w:sz w:val="24"/>
          <w:szCs w:val="24"/>
        </w:rPr>
        <w:t>Fig. 6. Crecimiento de los ingresos per cápita entre 1988 y 2008 por países y grupos de ingreso</w:t>
      </w:r>
      <w:r>
        <w:rPr>
          <w:rFonts w:ascii="Times New Roman" w:hAnsi="Times New Roman" w:cs="Times New Roman"/>
          <w:sz w:val="24"/>
          <w:szCs w:val="24"/>
        </w:rPr>
        <w:t>s. Fuente: Adam Corlett (2016).</w:t>
      </w:r>
    </w:p>
    <w:p w:rsidR="00737DC2" w:rsidRDefault="00737DC2" w:rsidP="00737DC2">
      <w:pPr>
        <w:pStyle w:val="NormalWeb"/>
        <w:shd w:val="clear" w:color="auto" w:fill="FFFFFF"/>
        <w:spacing w:before="0" w:beforeAutospacing="0" w:after="0" w:afterAutospacing="0"/>
        <w:jc w:val="both"/>
        <w:textAlignment w:val="baseline"/>
      </w:pPr>
      <w:r w:rsidRPr="003E1D17">
        <w:t>En el siguiente gráfico se compara EEUU con China, Japón, el antiguo bloque del Este, y algunos otros países. Se ve cómo en China los más pobres se han beneficiado muchísimo menos que los más ricos del impresionante crecimiento del país, mientras que la cuarta economía mundial, Japón, que ha venido arrastrándose desde principios de los años noventa, ha visto también cómo el reparto de los ingresos iba deteriorándose progresivamente.</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val="en-GB" w:eastAsia="zh-CN"/>
        </w:rPr>
        <w:drawing>
          <wp:inline distT="0" distB="0" distL="0" distR="0">
            <wp:extent cx="5746750" cy="2724150"/>
            <wp:effectExtent l="0" t="0" r="6350" b="0"/>
            <wp:docPr id="216" name="Imagen 1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3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6750" cy="2724150"/>
                    </a:xfrm>
                    <a:prstGeom prst="rect">
                      <a:avLst/>
                    </a:prstGeom>
                    <a:noFill/>
                    <a:ln>
                      <a:noFill/>
                    </a:ln>
                  </pic:spPr>
                </pic:pic>
              </a:graphicData>
            </a:graphic>
          </wp:inline>
        </w:drawing>
      </w:r>
    </w:p>
    <w:p w:rsidR="00737DC2" w:rsidRPr="003E1D17" w:rsidRDefault="00737DC2" w:rsidP="00737DC2">
      <w:pPr>
        <w:pStyle w:val="NormalWeb"/>
        <w:shd w:val="clear" w:color="auto" w:fill="FFFFFF"/>
        <w:spacing w:before="0" w:beforeAutospacing="0" w:after="0" w:afterAutospacing="0"/>
        <w:jc w:val="both"/>
        <w:textAlignment w:val="baseline"/>
      </w:pPr>
      <w:r w:rsidRPr="003E1D17">
        <w:t>Fig. 7. Crecimiento de los ingresos per cápita entre 1988 y 2008 por regiones y grupos de ingresos. Fuente: Adam Corlett (2016).</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En cualquier caso, como se ve en el gráfico del World Inequality Report (fig. 8), es</w:t>
      </w:r>
      <w:r w:rsidRPr="003E1D17">
        <w:rPr>
          <w:rStyle w:val="Textoennegrita"/>
          <w:rFonts w:eastAsiaTheme="majorEastAsia"/>
          <w:bdr w:val="none" w:sz="0" w:space="0" w:color="auto" w:frame="1"/>
        </w:rPr>
        <w:t> </w:t>
      </w:r>
      <w:r w:rsidRPr="00CE3602">
        <w:rPr>
          <w:rStyle w:val="Textoennegrita"/>
          <w:rFonts w:eastAsiaTheme="majorEastAsia"/>
          <w:b w:val="0"/>
          <w:bdr w:val="none" w:sz="0" w:space="0" w:color="auto" w:frame="1"/>
        </w:rPr>
        <w:t>innegable ese incremento de la desigualdad a nivel mundial</w:t>
      </w:r>
      <w:r w:rsidRPr="003E1D17">
        <w:t>; los autores del informe incluso se preguntan si el mundo está tendiendo a una hipotética frontera de alta desigualdad, que estaría representada por Oriente Medio-Latinoamérica-África subsahariana. India, de hecho, ya habría alcanzado esa frontera.</w:t>
      </w:r>
    </w:p>
    <w:p w:rsidR="00737DC2" w:rsidRPr="003E1D17" w:rsidRDefault="00737DC2" w:rsidP="00737DC2">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val="en-GB" w:eastAsia="zh-CN"/>
        </w:rPr>
        <w:lastRenderedPageBreak/>
        <w:drawing>
          <wp:inline distT="0" distB="0" distL="0" distR="0">
            <wp:extent cx="5695950" cy="2603500"/>
            <wp:effectExtent l="0" t="0" r="0" b="6350"/>
            <wp:docPr id="217" name="Imagen 1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
                    <pic:cNvPicPr>
                      <a:picLocks noChangeAspect="1" noChangeArrowheads="1"/>
                    </pic:cNvPicPr>
                  </pic:nvPicPr>
                  <pic:blipFill>
                    <a:blip r:embed="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2603500"/>
                    </a:xfrm>
                    <a:prstGeom prst="rect">
                      <a:avLst/>
                    </a:prstGeom>
                    <a:noFill/>
                    <a:ln>
                      <a:noFill/>
                    </a:ln>
                  </pic:spPr>
                </pic:pic>
              </a:graphicData>
            </a:graphic>
          </wp:inline>
        </w:drawing>
      </w:r>
    </w:p>
    <w:p w:rsidR="00737DC2" w:rsidRPr="003E1D17" w:rsidRDefault="00737DC2" w:rsidP="00737DC2">
      <w:pPr>
        <w:pStyle w:val="NormalWeb"/>
        <w:shd w:val="clear" w:color="auto" w:fill="FFFFFF"/>
        <w:spacing w:before="0" w:beforeAutospacing="0" w:after="0" w:afterAutospacing="0"/>
        <w:jc w:val="both"/>
        <w:textAlignment w:val="baseline"/>
      </w:pPr>
      <w:r w:rsidRPr="003E1D17">
        <w:t>Fig. 8. Evolución del porcentaje de la renta nacional que recibe el 10% más rico entre 1980 y 2016. Fuente: World Inequality Report.</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Las </w:t>
      </w:r>
      <w:r w:rsidRPr="00CE3602">
        <w:rPr>
          <w:rStyle w:val="Textoennegrita"/>
          <w:rFonts w:eastAsiaTheme="majorEastAsia"/>
          <w:b w:val="0"/>
          <w:bdr w:val="none" w:sz="0" w:space="0" w:color="auto" w:frame="1"/>
        </w:rPr>
        <w:t>causas</w:t>
      </w:r>
      <w:r w:rsidRPr="00F31766">
        <w:rPr>
          <w:b/>
        </w:rPr>
        <w:t> </w:t>
      </w:r>
      <w:r w:rsidRPr="00CC0A39">
        <w:t>de ese incremento de la desigualdad</w:t>
      </w:r>
      <w:r w:rsidRPr="003E1D17">
        <w:t xml:space="preserve"> son desde luego muy debatidas, y van desde que es una consecuencia de la globalización, al desplazarse buena parte de la producción desde el mundo rico hacia los emergentes, hasta las políticas económicas por el lado de la oferta que se han venido implementando progresivamente desde los años ochenta del pasado siglo, pasando por factores como la cuarta revolución industrial.</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Pero la </w:t>
      </w:r>
      <w:r w:rsidRPr="00CE3602">
        <w:rPr>
          <w:rStyle w:val="Textoennegrita"/>
          <w:rFonts w:eastAsiaTheme="majorEastAsia"/>
          <w:b w:val="0"/>
          <w:bdr w:val="none" w:sz="0" w:space="0" w:color="auto" w:frame="1"/>
        </w:rPr>
        <w:t>divergencia entre las trayectorias de EEUU y Europa Occidental</w:t>
      </w:r>
      <w:r w:rsidRPr="003E1D17">
        <w:t> hace pensar que el grueso de la responsabilidad ha de recaer sobre algún factor que no sea común a ambas regiones. Si en 1980 el 50% más pobre recibía en EEUU el 21% de la renta nacional y en Europa el 24%, en 2016 en EEUU había bajado ocho puntos, hasta el 13%, mientras que en Europa lo había hecho algo menos de un 2%. Mientras, el 1% más rico en EEUU subió su participación en la renta nacional desde el 11 al 20% (nueve puntos), mientras que en Europa solo subió del 10 al 12%.</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La diferencia más evidente en Europa es la pervivencia de un Estado social relativamente fuerte, una progresividad fiscal mayor y una mayor protección a los trabajadores, por lo que parece que la mayor agresividad en la implementación de estas políticas del lado de la oferta que se basan en liberalizar el mercado de trabajo, bajar el gasto público (afectando al gasto social) y rebajar los impuestos a las rentas más altas, es la responsable de este mayor aumento de la desigualdad en EEUU.</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t>Pero el futuro no está escrito. La desigualdad tiene </w:t>
      </w:r>
      <w:r w:rsidRPr="00F31766">
        <w:rPr>
          <w:rStyle w:val="Textoennegrita"/>
          <w:rFonts w:eastAsiaTheme="majorEastAsia"/>
          <w:bdr w:val="none" w:sz="0" w:space="0" w:color="auto" w:frame="1"/>
        </w:rPr>
        <w:t>efectos perniciosos</w:t>
      </w:r>
      <w:r w:rsidRPr="003E1D17">
        <w:t>sobre la calidad de vida de la población, como demuestran numerosos estudios (recomiendo especialmente los trabajos de Robert Sapolsky), y si la UE persevera en las llamadas “reformas estructurales”, que no consisten sino en esas políticas de la economía de la oferta, es posible que Europa siga el mismo camino que otras regiones del mundo. Si bien es cierto que esas políticas pueden estimular el crecimiento económico general, tampoco se entiende bien para qué puede servir que la economía crezca unas décimas más si ese crecimiento va a ir a parar a manos de los que ya tienen mucho.</w:t>
      </w:r>
    </w:p>
    <w:p w:rsidR="00737DC2" w:rsidRPr="003E1D17" w:rsidRDefault="00737DC2" w:rsidP="00737DC2">
      <w:pPr>
        <w:pStyle w:val="NormalWeb"/>
        <w:shd w:val="clear" w:color="auto" w:fill="FFFFFF"/>
        <w:spacing w:before="0" w:beforeAutospacing="0" w:after="0" w:afterAutospacing="0"/>
        <w:jc w:val="both"/>
        <w:textAlignment w:val="baseline"/>
      </w:pPr>
    </w:p>
    <w:p w:rsidR="00737DC2" w:rsidRPr="003E1D17" w:rsidRDefault="00737DC2" w:rsidP="00737DC2">
      <w:pPr>
        <w:pStyle w:val="NormalWeb"/>
        <w:shd w:val="clear" w:color="auto" w:fill="FFFFFF"/>
        <w:spacing w:before="0" w:beforeAutospacing="0" w:after="0" w:afterAutospacing="0"/>
        <w:jc w:val="both"/>
        <w:textAlignment w:val="baseline"/>
      </w:pPr>
      <w:r w:rsidRPr="003E1D17">
        <w:lastRenderedPageBreak/>
        <w:t>Es cierto que la economía basada en los estímulos de la demanda demostró en el pasado que tiene limitaciones importantes, como se vio en los años setenta con la </w:t>
      </w:r>
      <w:r w:rsidRPr="00F31766">
        <w:rPr>
          <w:rStyle w:val="Textoennegrita"/>
          <w:rFonts w:eastAsiaTheme="majorEastAsia"/>
          <w:bdr w:val="none" w:sz="0" w:space="0" w:color="auto" w:frame="1"/>
        </w:rPr>
        <w:t>estanflación</w:t>
      </w:r>
      <w:r w:rsidRPr="003E1D17">
        <w:t>, pero parece que muchos se olvidan de que en primer lugar hay varias economías, como la alemana, que tienen obvios problemas de falta de demanda interna. Y no solo la alemana, por ejemplo en Europa, la italiana, española, suiza, danesa, holandesa, noruega, sueca e irlandesa pertenecen al grupo de los 20 países con mayor superávit por cuenta corriente del mundo en 2017 (aunque en España parece que durante el Gobierno de Sánchez se ha corregido parcialmente ese problema).</w:t>
      </w:r>
    </w:p>
    <w:p w:rsidR="00737DC2" w:rsidRDefault="00737DC2" w:rsidP="00737DC2">
      <w:pPr>
        <w:pStyle w:val="NormalWeb"/>
        <w:shd w:val="clear" w:color="auto" w:fill="FFFFFF"/>
        <w:spacing w:before="0" w:beforeAutospacing="0" w:after="0" w:afterAutospacing="0"/>
        <w:jc w:val="both"/>
        <w:textAlignment w:val="baseline"/>
        <w:rPr>
          <w:rFonts w:eastAsiaTheme="minorEastAsia"/>
        </w:rPr>
      </w:pPr>
    </w:p>
    <w:p w:rsidR="00737DC2" w:rsidRPr="003E1D17" w:rsidRDefault="00737DC2" w:rsidP="00737DC2">
      <w:pPr>
        <w:pStyle w:val="NormalWeb"/>
        <w:shd w:val="clear" w:color="auto" w:fill="FFFFFF"/>
        <w:spacing w:before="0" w:beforeAutospacing="0" w:after="0" w:afterAutospacing="0"/>
        <w:jc w:val="both"/>
        <w:textAlignment w:val="baseline"/>
        <w:rPr>
          <w:color w:val="1A1A1A"/>
        </w:rPr>
      </w:pPr>
      <w:r w:rsidRPr="003E1D17">
        <w:rPr>
          <w:color w:val="1A1A1A"/>
        </w:rPr>
        <w:t>Y en segundo lugar, existen</w:t>
      </w:r>
      <w:r w:rsidRPr="003E1D17">
        <w:rPr>
          <w:rStyle w:val="Textoennegrita"/>
          <w:rFonts w:eastAsiaTheme="majorEastAsia"/>
          <w:color w:val="1A1A1A"/>
          <w:bdr w:val="none" w:sz="0" w:space="0" w:color="auto" w:frame="1"/>
        </w:rPr>
        <w:t> </w:t>
      </w:r>
      <w:r w:rsidRPr="00CE3602">
        <w:rPr>
          <w:rStyle w:val="Textoennegrita"/>
          <w:rFonts w:eastAsiaTheme="majorEastAsia"/>
          <w:b w:val="0"/>
          <w:color w:val="1A1A1A"/>
          <w:bdr w:val="none" w:sz="0" w:space="0" w:color="auto" w:frame="1"/>
        </w:rPr>
        <w:t>muchas más medidas de la economía de la oferta</w:t>
      </w:r>
      <w:r w:rsidRPr="003E1D17">
        <w:rPr>
          <w:color w:val="1A1A1A"/>
        </w:rPr>
        <w:t> de las que no se habla casi nunca, como son la inversión en educación, en I+D, el fomento de la inversión con medidas fiscales o la inversión en infraestructuras, que son mucho más eficaces a largo plazo que las que se suelen utilizar y que no tienen los efectos perniciosos sobre la desigualdad que presentan las que se suelen aplicar.</w:t>
      </w:r>
    </w:p>
    <w:p w:rsidR="00737DC2" w:rsidRPr="00D96B73" w:rsidRDefault="00737DC2" w:rsidP="00737DC2">
      <w:pPr>
        <w:pStyle w:val="NormalWeb"/>
        <w:shd w:val="clear" w:color="auto" w:fill="FFFFFF"/>
        <w:spacing w:before="0" w:beforeAutospacing="0" w:after="0" w:afterAutospacing="0"/>
        <w:jc w:val="both"/>
        <w:textAlignment w:val="baseline"/>
        <w:rPr>
          <w:color w:val="1A1A1A"/>
          <w:u w:val="single"/>
        </w:rPr>
      </w:pPr>
    </w:p>
    <w:p w:rsidR="00737DC2" w:rsidRDefault="00737DC2" w:rsidP="00737DC2">
      <w:pPr>
        <w:pStyle w:val="NormalWeb"/>
        <w:shd w:val="clear" w:color="auto" w:fill="FFFFFF"/>
        <w:spacing w:before="0" w:beforeAutospacing="0" w:after="0" w:afterAutospacing="0"/>
        <w:jc w:val="both"/>
        <w:textAlignment w:val="baseline"/>
        <w:rPr>
          <w:color w:val="1A1A1A"/>
        </w:rPr>
      </w:pPr>
      <w:r w:rsidRPr="00D45F06">
        <w:rPr>
          <w:color w:val="1A1A1A"/>
        </w:rPr>
        <w:t>Resulta por ello bastante lamentable que ningún partido político acuda a las próximas elecciones con un </w:t>
      </w:r>
      <w:r w:rsidRPr="00CE3602">
        <w:rPr>
          <w:rStyle w:val="Textoennegrita"/>
          <w:rFonts w:eastAsiaTheme="majorEastAsia"/>
          <w:b w:val="0"/>
          <w:color w:val="1A1A1A"/>
          <w:bdr w:val="none" w:sz="0" w:space="0" w:color="auto" w:frame="1"/>
        </w:rPr>
        <w:t>programa económico</w:t>
      </w:r>
      <w:r w:rsidRPr="00D45F06">
        <w:rPr>
          <w:color w:val="1A1A1A"/>
        </w:rPr>
        <w:t> que combine en su justa medida ambos tipos de política para adaptarlos al mundo actual y al lugar que ocupa España en él. Por una parte, vemos partidos que proponen las políticas por el lado de la oferta estándar (Vox, PP, Ciudadanos), y por otra, vemos partidos que no comprenden bien la potencia que tienen esas otras políticas de la oferta de las que he hablado y que parecen creer que las políticas de demanda tienen un recorrido mucho mayor que el que permite el escaso 1% de superávit corriente con que cerramos 2018. Una auténtica pena, pero es lo que tenemos y </w:t>
      </w:r>
      <w:r w:rsidRPr="00C401AF">
        <w:rPr>
          <w:rStyle w:val="Textoennegrita"/>
          <w:rFonts w:eastAsiaTheme="majorEastAsia"/>
          <w:color w:val="1A1A1A"/>
          <w:bdr w:val="none" w:sz="0" w:space="0" w:color="auto" w:frame="1"/>
        </w:rPr>
        <w:t>lo que nos condenará</w:t>
      </w:r>
      <w:r>
        <w:rPr>
          <w:color w:val="1A1A1A"/>
        </w:rPr>
        <w:t> -de no corregirse-</w:t>
      </w:r>
      <w:r w:rsidRPr="00D45F06">
        <w:rPr>
          <w:color w:val="1A1A1A"/>
        </w:rPr>
        <w:t xml:space="preserve"> a una lenta pero inevitable decadencia.</w:t>
      </w:r>
    </w:p>
    <w:p w:rsidR="00737DC2" w:rsidRDefault="00737DC2" w:rsidP="00737DC2">
      <w:pPr>
        <w:pStyle w:val="NormalWeb"/>
        <w:shd w:val="clear" w:color="auto" w:fill="FFFFFF"/>
        <w:spacing w:before="0" w:beforeAutospacing="0" w:after="0" w:afterAutospacing="0"/>
        <w:jc w:val="both"/>
        <w:textAlignment w:val="baseline"/>
        <w:rPr>
          <w:color w:val="1A1A1A"/>
        </w:rPr>
      </w:pPr>
    </w:p>
    <w:p w:rsidR="00737DC2" w:rsidRDefault="00737DC2" w:rsidP="00737DC2">
      <w:pPr>
        <w:pStyle w:val="NormalWeb"/>
        <w:shd w:val="clear" w:color="auto" w:fill="FFFFFF"/>
        <w:spacing w:before="0" w:beforeAutospacing="0" w:after="0" w:afterAutospacing="0"/>
        <w:jc w:val="both"/>
        <w:textAlignment w:val="baseline"/>
        <w:rPr>
          <w:b/>
          <w:color w:val="1A1A1A"/>
        </w:rPr>
      </w:pPr>
      <w:r w:rsidRPr="00C60929">
        <w:rPr>
          <w:b/>
          <w:color w:val="1A1A1A"/>
        </w:rPr>
        <w:t>Nota:</w:t>
      </w:r>
      <w:r>
        <w:rPr>
          <w:b/>
          <w:color w:val="1A1A1A"/>
        </w:rPr>
        <w:t xml:space="preserve"> los “perdedores” de la globalización: “cuando están secas las pilas de todos los timbres que vos apretás”</w:t>
      </w:r>
      <w:proofErr w:type="gramStart"/>
      <w:r>
        <w:rPr>
          <w:b/>
          <w:color w:val="1A1A1A"/>
        </w:rPr>
        <w:t>…(</w:t>
      </w:r>
      <w:proofErr w:type="gramEnd"/>
      <w:r>
        <w:rPr>
          <w:b/>
          <w:color w:val="1A1A1A"/>
        </w:rPr>
        <w:t>atrapados entre la miseria y el miedo)</w:t>
      </w:r>
    </w:p>
    <w:p w:rsidR="00737DC2" w:rsidRDefault="00737DC2" w:rsidP="00737DC2">
      <w:pPr>
        <w:pStyle w:val="NormalWeb"/>
        <w:shd w:val="clear" w:color="auto" w:fill="FFFFFF"/>
        <w:spacing w:after="0"/>
        <w:jc w:val="both"/>
        <w:textAlignment w:val="baseline"/>
        <w:rPr>
          <w:color w:val="1A1A1A"/>
        </w:rPr>
      </w:pPr>
      <w:r>
        <w:rPr>
          <w:color w:val="1A1A1A"/>
        </w:rPr>
        <w:t>El “cuento de la lechera” (</w:t>
      </w:r>
      <w:r w:rsidRPr="00592E47">
        <w:rPr>
          <w:color w:val="1A1A1A"/>
        </w:rPr>
        <w:t>expresión popular, que se usa cuando alguien imagina o sueña algo imposible. Su significado</w:t>
      </w:r>
      <w:r>
        <w:rPr>
          <w:color w:val="1A1A1A"/>
        </w:rPr>
        <w:t xml:space="preserve"> es similar al de la expresión “</w:t>
      </w:r>
      <w:r w:rsidRPr="00592E47">
        <w:rPr>
          <w:color w:val="1A1A1A"/>
        </w:rPr>
        <w:t xml:space="preserve">hacer castillos </w:t>
      </w:r>
      <w:r>
        <w:rPr>
          <w:color w:val="1A1A1A"/>
        </w:rPr>
        <w:t xml:space="preserve">en el aire” -hacerse ilusiones-), que representó la globalización: “hay que producir dónde resulta más barato, para que los consumidores puedan disponer de bienes a menor precio”… en poco tiempo se demostró falsa, fingida, ficticia, mentirosa, </w:t>
      </w:r>
      <w:r w:rsidRPr="00592E47">
        <w:rPr>
          <w:color w:val="1A1A1A"/>
        </w:rPr>
        <w:t>fraudu</w:t>
      </w:r>
      <w:r>
        <w:rPr>
          <w:color w:val="1A1A1A"/>
        </w:rPr>
        <w:t>lenta, artera, embustera… en manos (y pies) de las corporaciones multinacionales, que cerraron sus fábricas en los países avanzados, para llevarlas a los países en desarrollo (que luego llamaron, “emergentes”), despidiendo a sus trabajadores, que a partir de entonces compraron productos más baratos fabricados por terceros, recurriendo al crédito bancario, para compensar sus menores ingresos por desempleo, trabajos temporales, contratos basura, minijobs, u otros sistemas de explotación.</w:t>
      </w:r>
    </w:p>
    <w:p w:rsidR="00737DC2" w:rsidRDefault="00737DC2" w:rsidP="00737DC2">
      <w:pPr>
        <w:pStyle w:val="NormalWeb"/>
        <w:shd w:val="clear" w:color="auto" w:fill="FFFFFF"/>
        <w:spacing w:after="0"/>
        <w:jc w:val="both"/>
        <w:textAlignment w:val="baseline"/>
        <w:rPr>
          <w:color w:val="1A1A1A"/>
        </w:rPr>
      </w:pPr>
      <w:r>
        <w:rPr>
          <w:color w:val="1A1A1A"/>
        </w:rPr>
        <w:t>El operario de una gran fábrica norteamericana o europea, que antes compraba productos norteamericanos o europeos “caros”, pero tenía unos ingresos de 4.000 o 5.000 dólares al mes, “gracias” a la globalización, pasó a comprar, los mismos productos, ahora fabricados en un país emergente, muy “baratos”, pero se quedó sin trabajo o solo pudo conseguir un empleo de 1.500 o 2.500 dólares al mes. Y por seguir con las expresiones populares, eso es: “hacer un pan como unas hostias” (hacer algo con un tremendo desacierto o un resultado nefasto, de manera que lo hecho deja en peor situación que el de no haber hecho nada para remediar algo. Se supone que el pan ha de amasarse bien con su levadura y ha de fermentar correctamente, para que luego al cocerlo al horno suba y quede hermoso y esponjoso. El fracaso de todo ese proceso sería al final lograr un pan como unas láminas finas, que son las hostias de consagrar, que no sirven para alimentarse, ni como pan alguno).</w:t>
      </w:r>
    </w:p>
    <w:p w:rsidR="00737DC2" w:rsidRPr="00026931" w:rsidRDefault="00737DC2" w:rsidP="00737DC2">
      <w:pPr>
        <w:pStyle w:val="NormalWeb"/>
        <w:shd w:val="clear" w:color="auto" w:fill="FFFFFF"/>
        <w:spacing w:after="0"/>
        <w:jc w:val="both"/>
        <w:textAlignment w:val="baseline"/>
      </w:pPr>
      <w:r>
        <w:rPr>
          <w:color w:val="1A1A1A"/>
        </w:rPr>
        <w:lastRenderedPageBreak/>
        <w:t>El paradigma de la globalización solo ha servido para “deslocalizar” a la clase media de los países avanzados (ahora, en vías de subdesarrollo). Han “laminado” a la clase media de Estados Unidos y la Unión Europea, para crear una nueva clase media en los países emergentes (China, India, Sudáfrica, Brasil…). El proceso de deslocalización, privatización, desregulación, y financierización de la economía, se ha transformado en una fábrica de pobres en los países ricos. La “economía disruptiva</w:t>
      </w:r>
      <w:r w:rsidRPr="00685459">
        <w:rPr>
          <w:color w:val="1A1A1A"/>
        </w:rPr>
        <w:t xml:space="preserve">” no crea empleo.  </w:t>
      </w:r>
      <w:r>
        <w:rPr>
          <w:color w:val="1A1A1A"/>
        </w:rPr>
        <w:t>La “lluvia fina” del librecambio no llega a todos</w:t>
      </w:r>
      <w:r w:rsidRPr="00685459">
        <w:rPr>
          <w:color w:val="1A1A1A"/>
        </w:rPr>
        <w:t>.</w:t>
      </w:r>
      <w:r w:rsidRPr="00026931">
        <w:t>La “realidad virtual” y el “metaverso” resultan insuficientes para “arrear a la manada”, cuando los “corderos” tienen hambre (y espero, sed de justicia).</w:t>
      </w:r>
    </w:p>
    <w:p w:rsidR="00737DC2" w:rsidRPr="00026931" w:rsidRDefault="00737DC2" w:rsidP="00737DC2">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Nunca antes en toda la historia económica el mundo había estado tan endeudado. Según el Fondo Monetario Internacional (FMI) y el Instituto de Finanzas Internacionales, la deuda emitida podría haber superado ya los 296 billones de dólares (</w:t>
      </w:r>
      <w:r>
        <w:rPr>
          <w:rFonts w:ascii="Times New Roman" w:hAnsi="Times New Roman" w:cs="Times New Roman"/>
          <w:sz w:val="24"/>
          <w:szCs w:val="24"/>
        </w:rPr>
        <w:t xml:space="preserve">últimos </w:t>
      </w:r>
      <w:r w:rsidRPr="00026931">
        <w:rPr>
          <w:rFonts w:ascii="Times New Roman" w:hAnsi="Times New Roman" w:cs="Times New Roman"/>
          <w:sz w:val="24"/>
          <w:szCs w:val="24"/>
        </w:rPr>
        <w:t>datos disponibles</w:t>
      </w:r>
      <w:r>
        <w:rPr>
          <w:rFonts w:ascii="Times New Roman" w:hAnsi="Times New Roman" w:cs="Times New Roman"/>
          <w:sz w:val="24"/>
          <w:szCs w:val="24"/>
        </w:rPr>
        <w:t>,</w:t>
      </w:r>
      <w:r w:rsidRPr="00026931">
        <w:rPr>
          <w:rFonts w:ascii="Times New Roman" w:hAnsi="Times New Roman" w:cs="Times New Roman"/>
          <w:sz w:val="24"/>
          <w:szCs w:val="24"/>
        </w:rPr>
        <w:t xml:space="preserve"> a mayo de 2022). Los gobiernos y China se han convertido en los grandes protagonistas de toda esta vorágine financiera.</w:t>
      </w:r>
    </w:p>
    <w:p w:rsidR="00737DC2" w:rsidRPr="00026931" w:rsidRDefault="00737DC2" w:rsidP="00737DC2">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La pregunta es, ¿hasta dónde llega realmente este tsunami de bonos, préstamos y deudas de todo tipo? ¿Qué puede suponer para la economía mundial? ¿Estamos acaso ante una enorme burbuja de deuda que corre el riesgo de terminar desencadenando una nueva crisis financiera?</w:t>
      </w:r>
    </w:p>
    <w:p w:rsidR="00737DC2" w:rsidRPr="00026931" w:rsidRDefault="00737DC2" w:rsidP="00737DC2">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Mal viaje: la “economía de casino” (Wall Street) y su “factoría de ficciones” (Silicon Valley) nos han dejado ante un futuro distópico (una distopía es una representación imaginaria de una sociedad del futuro cuyas características son indeseables. Se trata, por lo tanto, de lo opuesto a una utopía. Una de las sociedades distópicas más conocidas es la creada por el británico George Orwell (1903-1950) en su novela “1984”).</w:t>
      </w:r>
    </w:p>
    <w:p w:rsidR="00737DC2" w:rsidRPr="00026931" w:rsidRDefault="00737DC2" w:rsidP="00737DC2">
      <w:pPr>
        <w:pStyle w:val="NormalWeb"/>
        <w:shd w:val="clear" w:color="auto" w:fill="FFFFFF"/>
        <w:spacing w:before="0" w:beforeAutospacing="0" w:after="0" w:afterAutospacing="0"/>
        <w:jc w:val="both"/>
        <w:textAlignment w:val="baseline"/>
      </w:pPr>
      <w:r w:rsidRPr="00026931">
        <w:t>Ficciones que muestran un futuro desesperanzador, alienante, sin libertad y absurdo. Sociedades anestesiadas gobernadas por estados totalitarios que buscan garantizar la estabilidad social mediante la manipulación psicológica y en algunos casos científica, de los individuos.</w:t>
      </w:r>
    </w:p>
    <w:p w:rsidR="00737DC2" w:rsidRPr="00026931" w:rsidRDefault="00737DC2" w:rsidP="00737DC2">
      <w:pPr>
        <w:pStyle w:val="NormalWeb"/>
        <w:shd w:val="clear" w:color="auto" w:fill="FFFFFF"/>
        <w:spacing w:after="0"/>
        <w:jc w:val="both"/>
        <w:textAlignment w:val="baseline"/>
      </w:pPr>
      <w:r w:rsidRPr="00026931">
        <w:t>Mientras los “ganadores” de la globalización se ponen de perfil, practican una ceguera voluntaria, y se mantienen más callados que las momias egipcias… los “perdedores” de la globalización, atrapados entre la miseria y el miedo, siguen ignorados por los gobernantes…</w:t>
      </w:r>
    </w:p>
    <w:p w:rsidR="00737DC2" w:rsidRPr="00026931" w:rsidRDefault="00737DC2" w:rsidP="00737DC2">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Sueños rotos: el “paradigma” de la globalización no se ha cumplido, mire como se mire, y a los “perdedores” del proceso les produce una irritación insondable y profunda.</w:t>
      </w:r>
    </w:p>
    <w:p w:rsidR="00737DC2" w:rsidRDefault="00737DC2" w:rsidP="00737DC2">
      <w:pPr>
        <w:pStyle w:val="NormalWeb"/>
        <w:shd w:val="clear" w:color="auto" w:fill="FFFFFF"/>
        <w:spacing w:before="0" w:beforeAutospacing="0" w:after="0" w:afterAutospacing="0"/>
        <w:jc w:val="both"/>
        <w:textAlignment w:val="baseline"/>
      </w:pPr>
      <w:r w:rsidRPr="00026931">
        <w:t xml:space="preserve">Hizo falta que llegara la pandemia del Covid-19 (2020), y la invasión de Ucrania por parte de Rusia (2022), para que empezaran a ceder las costuras del entramado global de intereses corporativos. En las próximas páginas se hace un recorrido por la hemeroteca 2020-2022, donde se pueden observar las complicaciones surgidas en la cadena de suministro mundial. </w:t>
      </w:r>
    </w:p>
    <w:p w:rsidR="00737DC2" w:rsidRPr="00026931"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rPr>
          <w:b/>
        </w:rPr>
      </w:pPr>
      <w:r>
        <w:rPr>
          <w:b/>
        </w:rPr>
        <w:t>La “maldita hemeroteca” desde</w:t>
      </w:r>
      <w:r w:rsidRPr="00547140">
        <w:rPr>
          <w:b/>
        </w:rPr>
        <w:t xml:space="preserve"> la crisis sanitaria </w:t>
      </w:r>
      <w:r>
        <w:rPr>
          <w:b/>
        </w:rPr>
        <w:t>(Covid-19) en adelante: algunas claves sobre el fracaso de la globalización (la rotura de la cadena de suministro)</w:t>
      </w:r>
    </w:p>
    <w:p w:rsidR="00737DC2" w:rsidRPr="00D3438A" w:rsidRDefault="00737DC2" w:rsidP="00737DC2">
      <w:pPr>
        <w:pStyle w:val="NormalWeb"/>
        <w:shd w:val="clear" w:color="auto" w:fill="FFFFFF"/>
        <w:spacing w:before="0" w:beforeAutospacing="0" w:after="0" w:afterAutospacing="0"/>
        <w:jc w:val="both"/>
        <w:textAlignment w:val="baseline"/>
        <w:rPr>
          <w:color w:val="1A1A1A"/>
        </w:rPr>
      </w:pPr>
    </w:p>
    <w:p w:rsidR="00737DC2" w:rsidRPr="00865EA7"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EA7">
        <w:rPr>
          <w:rFonts w:ascii="Times New Roman" w:hAnsi="Times New Roman" w:cs="Times New Roman"/>
          <w:sz w:val="24"/>
          <w:szCs w:val="24"/>
          <w:u w:val="single"/>
        </w:rPr>
        <w:t>Europa: entre el marido americano y el amigo chino</w:t>
      </w:r>
      <w:r>
        <w:rPr>
          <w:rFonts w:ascii="Times New Roman" w:hAnsi="Times New Roman" w:cs="Times New Roman"/>
          <w:sz w:val="24"/>
          <w:szCs w:val="24"/>
        </w:rPr>
        <w:t xml:space="preserve"> (El Confidencial - </w:t>
      </w:r>
      <w:r w:rsidRPr="00865EA7">
        <w:rPr>
          <w:rFonts w:ascii="Times New Roman" w:hAnsi="Times New Roman" w:cs="Times New Roman"/>
          <w:b/>
          <w:sz w:val="24"/>
          <w:szCs w:val="24"/>
        </w:rPr>
        <w:t>23/1/20</w:t>
      </w:r>
      <w:r>
        <w:rPr>
          <w:rFonts w:ascii="Times New Roman" w:hAnsi="Times New Roman" w:cs="Times New Roman"/>
          <w:sz w:val="24"/>
          <w:szCs w:val="24"/>
        </w:rPr>
        <w:t>)</w:t>
      </w:r>
    </w:p>
    <w:p w:rsidR="00737DC2" w:rsidRPr="00091639" w:rsidRDefault="00737DC2" w:rsidP="00737DC2">
      <w:pPr>
        <w:spacing w:line="240" w:lineRule="auto"/>
        <w:jc w:val="both"/>
        <w:rPr>
          <w:rFonts w:ascii="Times New Roman" w:hAnsi="Times New Roman" w:cs="Times New Roman"/>
          <w:color w:val="FF0000"/>
          <w:sz w:val="24"/>
          <w:szCs w:val="24"/>
        </w:rPr>
      </w:pPr>
      <w:r w:rsidRPr="00091639">
        <w:rPr>
          <w:rFonts w:ascii="Times New Roman" w:hAnsi="Times New Roman" w:cs="Times New Roman"/>
          <w:color w:val="FF0000"/>
          <w:sz w:val="24"/>
          <w:szCs w:val="24"/>
        </w:rPr>
        <w:t>La UE nunca se va a poder enfrentar al desafío que supone el auge de China si no sabe qué está pasando en las relaciones bilaterales que existen entre los países y el gigante asiático</w:t>
      </w:r>
    </w:p>
    <w:p w:rsidR="00737DC2" w:rsidRPr="00865EA7" w:rsidRDefault="00737DC2" w:rsidP="00737DC2">
      <w:pPr>
        <w:spacing w:line="240" w:lineRule="auto"/>
        <w:jc w:val="both"/>
        <w:rPr>
          <w:rFonts w:ascii="Times New Roman" w:hAnsi="Times New Roman" w:cs="Times New Roman"/>
          <w:sz w:val="24"/>
          <w:szCs w:val="24"/>
        </w:rPr>
      </w:pPr>
      <w:r w:rsidRPr="00091639">
        <w:rPr>
          <w:rFonts w:ascii="Times New Roman" w:hAnsi="Times New Roman" w:cs="Times New Roman"/>
          <w:sz w:val="24"/>
          <w:szCs w:val="24"/>
          <w:u w:val="single"/>
        </w:rPr>
        <w:t xml:space="preserve">El Real Instituto Elcano acaba de publicar un informe sobre el triángulo estratégico entre EEUU, China y la Unión Europea. Se trata de uno de los trabajos más amplios y profundos </w:t>
      </w:r>
      <w:r w:rsidRPr="00091639">
        <w:rPr>
          <w:rFonts w:ascii="Times New Roman" w:hAnsi="Times New Roman" w:cs="Times New Roman"/>
          <w:sz w:val="24"/>
          <w:szCs w:val="24"/>
          <w:u w:val="single"/>
        </w:rPr>
        <w:lastRenderedPageBreak/>
        <w:t>que se ha realizado en Europa sobre este tema en los últimos</w:t>
      </w:r>
      <w:r>
        <w:rPr>
          <w:rFonts w:ascii="Times New Roman" w:hAnsi="Times New Roman" w:cs="Times New Roman"/>
          <w:sz w:val="24"/>
          <w:szCs w:val="24"/>
        </w:rPr>
        <w:t xml:space="preserve"> años. Tiene 19 capítulos -</w:t>
      </w:r>
      <w:r w:rsidRPr="00865EA7">
        <w:rPr>
          <w:rFonts w:ascii="Times New Roman" w:hAnsi="Times New Roman" w:cs="Times New Roman"/>
          <w:sz w:val="24"/>
          <w:szCs w:val="24"/>
        </w:rPr>
        <w:t xml:space="preserve"> cubriendo 18 países miembros de la Unión y</w:t>
      </w:r>
      <w:r>
        <w:rPr>
          <w:rFonts w:ascii="Times New Roman" w:hAnsi="Times New Roman" w:cs="Times New Roman"/>
          <w:sz w:val="24"/>
          <w:szCs w:val="24"/>
        </w:rPr>
        <w:t xml:space="preserve"> la perspectiva desde Bruselas-</w:t>
      </w:r>
      <w:r w:rsidRPr="00865EA7">
        <w:rPr>
          <w:rFonts w:ascii="Times New Roman" w:hAnsi="Times New Roman" w:cs="Times New Roman"/>
          <w:sz w:val="24"/>
          <w:szCs w:val="24"/>
        </w:rPr>
        <w:t xml:space="preserve"> escritos por expertos en China de los think tanks nacionales más importantes del Viejo Continente. Desde los más conocidos como Chatham House del Reino Unido o el Instituto Francés de las Relaciones Internacionales (IFRI) de Francia, hasta los más pequeños y modestos como el Instituto de Asuntos Internacionales de Letonia o el Instituto de Relac</w:t>
      </w:r>
      <w:r>
        <w:rPr>
          <w:rFonts w:ascii="Times New Roman" w:hAnsi="Times New Roman" w:cs="Times New Roman"/>
          <w:sz w:val="24"/>
          <w:szCs w:val="24"/>
        </w:rPr>
        <w:t>iones Internacionales de Praga.</w:t>
      </w:r>
    </w:p>
    <w:p w:rsidR="00737DC2" w:rsidRPr="00974E9D" w:rsidRDefault="00737DC2" w:rsidP="00737DC2">
      <w:pPr>
        <w:spacing w:line="240" w:lineRule="auto"/>
        <w:jc w:val="both"/>
        <w:rPr>
          <w:rFonts w:ascii="Times New Roman" w:hAnsi="Times New Roman" w:cs="Times New Roman"/>
          <w:sz w:val="24"/>
          <w:szCs w:val="24"/>
          <w:u w:val="single"/>
        </w:rPr>
      </w:pPr>
      <w:r w:rsidRPr="00865EA7">
        <w:rPr>
          <w:rFonts w:ascii="Times New Roman" w:hAnsi="Times New Roman" w:cs="Times New Roman"/>
          <w:sz w:val="24"/>
          <w:szCs w:val="24"/>
        </w:rPr>
        <w:t xml:space="preserve">Este es el quinto informe anual que publica la Red de Think Tanks Europeos sobre China (ETNC, por sus siglas en inglés) y realmente ha sido un honor ser de nuevo uno de los coordinadores. Sobre todo, porque el tema y el momento no podrían ser más oportunos. </w:t>
      </w:r>
      <w:r w:rsidRPr="00974E9D">
        <w:rPr>
          <w:rFonts w:ascii="Times New Roman" w:hAnsi="Times New Roman" w:cs="Times New Roman"/>
          <w:sz w:val="24"/>
          <w:szCs w:val="24"/>
          <w:u w:val="single"/>
        </w:rPr>
        <w:t>Poder discutir de primera mano (la red se reúne dos veces al año en una capital europea diferente) y después leer cómo se percibe la rivalidad entre EEUU y China desde las diferentes esquinas del Continente europeo es un auténtico privilegio.</w:t>
      </w:r>
    </w:p>
    <w:p w:rsidR="00737DC2" w:rsidRPr="00865EA7" w:rsidRDefault="00737DC2" w:rsidP="00737DC2">
      <w:pPr>
        <w:spacing w:line="240" w:lineRule="auto"/>
        <w:jc w:val="both"/>
        <w:rPr>
          <w:rFonts w:ascii="Times New Roman" w:hAnsi="Times New Roman" w:cs="Times New Roman"/>
          <w:sz w:val="24"/>
          <w:szCs w:val="24"/>
        </w:rPr>
      </w:pPr>
      <w:r w:rsidRPr="00865EA7">
        <w:rPr>
          <w:rFonts w:ascii="Times New Roman" w:hAnsi="Times New Roman" w:cs="Times New Roman"/>
          <w:sz w:val="24"/>
          <w:szCs w:val="24"/>
        </w:rPr>
        <w:t xml:space="preserve">La Unión Europea tiene mucha inteligencia repartida. Precisamente cuando creamos ETNC hace ahora un lustro queríamos reunir ese saber disperso y fragmentado en las diferentes capitales en una única red, partiendo de la base que la UE nunca se va a poder enfrentar al desafío que supone el auge de China si no sabe qué está pasando en las múltiples relaciones bilaterales que existen entre los estados </w:t>
      </w:r>
      <w:r>
        <w:rPr>
          <w:rFonts w:ascii="Times New Roman" w:hAnsi="Times New Roman" w:cs="Times New Roman"/>
          <w:sz w:val="24"/>
          <w:szCs w:val="24"/>
        </w:rPr>
        <w:t>miembros y el gigante asiático.</w:t>
      </w:r>
    </w:p>
    <w:p w:rsidR="00737DC2" w:rsidRPr="00974E9D" w:rsidRDefault="00737DC2" w:rsidP="00737DC2">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Lógicamente, sería muy difícil resumir las 190 páginas del informe en una tribuna de prensa. Ni lo voy a intentar. Pero sí que me gustaría explicar la conclusión principal que he sacado de nuestro trabajo conjunto con una metáfora que espero que sea ilustrativa de la posición de la UE en la creciente rivalidad geopolítica entre EEUU y China. Como saben, no es solo comercial, sino también tecnológica, militar e incluso de diferentes modelos de capitalismo. Vamos allá pues.</w:t>
      </w:r>
    </w:p>
    <w:p w:rsidR="00737DC2" w:rsidRPr="00974E9D" w:rsidRDefault="00737DC2" w:rsidP="00737DC2">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Europa (y sí Europa es una mujer por muchas vueltas que le queramos dar) se casó en su día con un joven americano (no sin antes tener graves tensiones de novios, las dos Guerras Mundiales dejaron heridas, aunque también consagraron el amor). El problema es que ahora ese joven vigoroso se ha vuelto mayor y cascarrabias (pensemos en Trump). Las diferencias son tales que nuestro marido americano, que se podría llamar Sam (por Uncle Sam) se quiere quedar cada vez más en casa y le preocupa menos la situación del barrio (la comunidad internacional). Además, Europa piensa que hay que luchar contra el cambio climático y su marido dice que eso es una invención de la televisión.</w:t>
      </w:r>
    </w:p>
    <w:p w:rsidR="00737DC2" w:rsidRPr="00974E9D" w:rsidRDefault="00737DC2" w:rsidP="00737DC2">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Al mismo tiempo, desde hace unos años a esta parte, Europa ha empezado a relacionarse cada vez más con un viejo amigo chino llamado Xiaoping (por Deng Xiaoping). Ya lo conocía de antes, mucho antes de que apareciese en su vida Sam (la civilización europea y la china son de las más antiguas), pero antes vivían muy lejos uno del otro y la relación era distante (aunque hubo momentos de acercamiento: la ruta de la seda; y de encontronazos serios: las Guerras del Opio). Pero, lo dicho, en los últimos años retomaron la relación y han empezado a salir a cenar e incluso a bailar juntos (la relación comercial es intensa). A Europa le gusta flirtear con Xiaoping, pero hay que decir que nunca ha llegado a acostarse con él. Es decir, nunca ha pasado la línea roja de la infidelidad (EEUU sigue siendo el mayor aliado de la UE).</w:t>
      </w:r>
    </w:p>
    <w:p w:rsidR="00737DC2" w:rsidRPr="00974E9D" w:rsidRDefault="00737DC2" w:rsidP="00737DC2">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Sin embargo, hace poco Sam ha descubierto que la relación con el amigo chino es más intensa de lo que él pensaba y ha empezado a prohibirle a Europa que se vea con Xiaoping (el asunto Huawei y 5G es el mejor ejemplo). Eso ha desconcertado a Europa. No solo por los celos que pudiese tener el marido, que por un lado demostraría amor, más bien porque la relación en casa es cada día peor.</w:t>
      </w:r>
    </w:p>
    <w:p w:rsidR="00737DC2" w:rsidRPr="00974E9D" w:rsidRDefault="00737DC2" w:rsidP="00737DC2">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sz w:val="24"/>
          <w:szCs w:val="24"/>
          <w:u w:val="single"/>
        </w:rPr>
        <w:lastRenderedPageBreak/>
        <w:t xml:space="preserve">Su marido le ha declarado la guerra al amigo chino (de una manera un tanto exagerada e irracional) y su creciente agresividad también se está dirigiendo hacia ella. La situación ha llegado a tal punto de que se siente incómoda en casa y está pensando en abandonar al marido (como dijo Angela Merkel en una tienda del Oktoberfest cerveza en mano, </w:t>
      </w:r>
      <w:r w:rsidRPr="00974E9D">
        <w:rPr>
          <w:rFonts w:ascii="Times New Roman" w:hAnsi="Times New Roman" w:cs="Times New Roman"/>
          <w:color w:val="FF0000"/>
          <w:sz w:val="24"/>
          <w:szCs w:val="24"/>
          <w:u w:val="single"/>
        </w:rPr>
        <w:t>quizás haya llegado el momento de que Europa sea dueña de su propio destino).</w:t>
      </w:r>
    </w:p>
    <w:p w:rsidR="00737DC2" w:rsidRPr="00865EA7" w:rsidRDefault="00737DC2" w:rsidP="00737DC2">
      <w:pPr>
        <w:spacing w:line="240" w:lineRule="auto"/>
        <w:jc w:val="both"/>
        <w:rPr>
          <w:rFonts w:ascii="Times New Roman" w:hAnsi="Times New Roman" w:cs="Times New Roman"/>
          <w:sz w:val="24"/>
          <w:szCs w:val="24"/>
        </w:rPr>
      </w:pPr>
      <w:r w:rsidRPr="00974E9D">
        <w:rPr>
          <w:rFonts w:ascii="Times New Roman" w:hAnsi="Times New Roman" w:cs="Times New Roman"/>
          <w:color w:val="FF0000"/>
          <w:sz w:val="24"/>
          <w:szCs w:val="24"/>
          <w:u w:val="single"/>
        </w:rPr>
        <w:t>Pero la decisión no es fácil</w:t>
      </w:r>
      <w:r w:rsidRPr="00974E9D">
        <w:rPr>
          <w:rFonts w:ascii="Times New Roman" w:hAnsi="Times New Roman" w:cs="Times New Roman"/>
          <w:color w:val="FF0000"/>
          <w:sz w:val="24"/>
          <w:szCs w:val="24"/>
        </w:rPr>
        <w:t>.</w:t>
      </w:r>
      <w:r w:rsidRPr="00974E9D">
        <w:rPr>
          <w:rFonts w:ascii="Times New Roman" w:hAnsi="Times New Roman" w:cs="Times New Roman"/>
          <w:sz w:val="24"/>
          <w:szCs w:val="24"/>
          <w:u w:val="single"/>
        </w:rPr>
        <w:t>Irse a vivir con el amigo chino está descartado</w:t>
      </w:r>
      <w:r w:rsidRPr="00865EA7">
        <w:rPr>
          <w:rFonts w:ascii="Times New Roman" w:hAnsi="Times New Roman" w:cs="Times New Roman"/>
          <w:sz w:val="24"/>
          <w:szCs w:val="24"/>
        </w:rPr>
        <w:t xml:space="preserve">. Es verdad que se lo pasa muy bien con él, comparten el amor por la buena comida, la filosofía clásica y el respeto a las tradiciones, pero Xiaoping fuma y bebe mucho y le gusta el juego. </w:t>
      </w:r>
      <w:r w:rsidRPr="00974E9D">
        <w:rPr>
          <w:rFonts w:ascii="Times New Roman" w:hAnsi="Times New Roman" w:cs="Times New Roman"/>
          <w:sz w:val="24"/>
          <w:szCs w:val="24"/>
          <w:u w:val="single"/>
        </w:rPr>
        <w:t>Vamos, que nos es de fiar. Además, los dos tienen valores (y sistemas políticos) muy opuestos.</w:t>
      </w:r>
    </w:p>
    <w:p w:rsidR="00737DC2" w:rsidRPr="00974E9D" w:rsidRDefault="00737DC2" w:rsidP="00737DC2">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Todo esto hace que Europa todavía piense que Sam puede cambiar</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Si habla con él en serio quizás entre en razón y cambie de actitud y se haga de nuevo más dócil y bueno</w:t>
      </w:r>
      <w:r w:rsidRPr="00865EA7">
        <w:rPr>
          <w:rFonts w:ascii="Times New Roman" w:hAnsi="Times New Roman" w:cs="Times New Roman"/>
          <w:sz w:val="24"/>
          <w:szCs w:val="24"/>
        </w:rPr>
        <w:t>, y a lo mejor se anime y se levante del sofá y se preocupe de nuevo por el barrio (el orden mundial) e incluso acepte que hay que luchar contra el cambio climático (</w:t>
      </w:r>
      <w:r w:rsidRPr="00974E9D">
        <w:rPr>
          <w:rFonts w:ascii="Times New Roman" w:hAnsi="Times New Roman" w:cs="Times New Roman"/>
          <w:sz w:val="24"/>
          <w:szCs w:val="24"/>
          <w:u w:val="single"/>
        </w:rPr>
        <w:t>es decir, Europa espera que un demócrata gane las elecciones de este año</w:t>
      </w:r>
      <w:r w:rsidRPr="00865EA7">
        <w:rPr>
          <w:rFonts w:ascii="Times New Roman" w:hAnsi="Times New Roman" w:cs="Times New Roman"/>
          <w:sz w:val="24"/>
          <w:szCs w:val="24"/>
        </w:rPr>
        <w:t xml:space="preserve">). Pero puede que todo esto sea una ilusión. </w:t>
      </w:r>
      <w:r w:rsidRPr="00974E9D">
        <w:rPr>
          <w:rFonts w:ascii="Times New Roman" w:hAnsi="Times New Roman" w:cs="Times New Roman"/>
          <w:sz w:val="24"/>
          <w:szCs w:val="24"/>
          <w:u w:val="single"/>
        </w:rPr>
        <w:t>Lo más probable es que la edad haga a Sam cada vez más celoso y se vuelva cada vez más agresivo contra Xiaoping, Vladimir (no nos olvidemos de Rusia) y todo aquel que le parezca una amenaza.</w:t>
      </w:r>
    </w:p>
    <w:p w:rsidR="00737DC2" w:rsidRPr="00974E9D" w:rsidRDefault="00737DC2" w:rsidP="00737DC2">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Es por eso que Europa está pensando que tiene que independizarse. Ya está mirando anuncios de pisos, pero dar el paso es complicado. No sabe cómo va a reaccionar su marido y la cruda realidad es que hasta ahora depende de él económicamente (pensemos en la OTAN) y por lo tanto tendría que empezar a estudiar para poder estar más preparada y encontrar un buen trabajo. Ella de joven, antes de casarse, había ido a la universidad y tenía un buen puesto, pero ahora ha pasado tanto tiempo que sus habilidades han caducado y se encuentra muy insegura.</w:t>
      </w:r>
    </w:p>
    <w:p w:rsidR="00737DC2" w:rsidRPr="00974E9D" w:rsidRDefault="00737DC2" w:rsidP="00737DC2">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color w:val="FF0000"/>
          <w:sz w:val="24"/>
          <w:szCs w:val="24"/>
          <w:u w:val="single"/>
        </w:rPr>
        <w:t>Y en esas está Europa. Con muchas dudas y miedos, pero también con el arrojo de que tiene que valerse por sí misma incluso si al final abandona a su marido. He aquí la Comisión geopolítica de Ursula Von der Leyen y el debate en las capitales sobre la autonomía estratégica europea.</w:t>
      </w:r>
    </w:p>
    <w:p w:rsidR="00737DC2" w:rsidRPr="00C2052C" w:rsidRDefault="00737DC2" w:rsidP="00737DC2">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w:t>
      </w:r>
      <w:r w:rsidRPr="00C2052C">
        <w:rPr>
          <w:rFonts w:ascii="Times New Roman" w:hAnsi="Times New Roman" w:cs="Times New Roman"/>
          <w:sz w:val="24"/>
          <w:szCs w:val="24"/>
          <w:u w:val="single"/>
        </w:rPr>
        <w:t>Está Europa acostumbrándose a Trump? Davos parece ser un ejemplo de que sí</w:t>
      </w:r>
      <w:r>
        <w:rPr>
          <w:rFonts w:ascii="Times New Roman" w:hAnsi="Times New Roman" w:cs="Times New Roman"/>
          <w:sz w:val="24"/>
          <w:szCs w:val="24"/>
        </w:rPr>
        <w:t xml:space="preserve"> (El Confidencial - </w:t>
      </w:r>
      <w:r w:rsidRPr="00C2052C">
        <w:rPr>
          <w:rFonts w:ascii="Times New Roman" w:hAnsi="Times New Roman" w:cs="Times New Roman"/>
          <w:b/>
          <w:sz w:val="24"/>
          <w:szCs w:val="24"/>
        </w:rPr>
        <w:t>29/1/20</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discurso del presidente Trump en el Foro Económico Mundial salió relativamente bien. Y, viendo las políticas que están aplicando el resto de países, parece que los países prefieren copiarle</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737DC2" w:rsidRPr="00E0009E" w:rsidRDefault="00737DC2" w:rsidP="00737DC2">
      <w:pPr>
        <w:spacing w:line="240" w:lineRule="auto"/>
        <w:jc w:val="both"/>
        <w:rPr>
          <w:rFonts w:ascii="Times New Roman" w:hAnsi="Times New Roman" w:cs="Times New Roman"/>
          <w:sz w:val="24"/>
          <w:szCs w:val="24"/>
          <w:u w:val="single"/>
        </w:rPr>
      </w:pPr>
      <w:r w:rsidRPr="00C2052C">
        <w:rPr>
          <w:rFonts w:ascii="Times New Roman" w:hAnsi="Times New Roman" w:cs="Times New Roman"/>
          <w:sz w:val="24"/>
          <w:szCs w:val="24"/>
        </w:rPr>
        <w:t xml:space="preserve">El discurso del presidente Donald Trump en el Foro Económico Mundial salió relativamente bien. Esto se debe en parte a que Davos es un cónclave de ejecutivos de negocios y a éstos les gusta el mensaje proempresarial de Trump. Pero principalmente, </w:t>
      </w:r>
      <w:r w:rsidRPr="00E0009E">
        <w:rPr>
          <w:rFonts w:ascii="Times New Roman" w:hAnsi="Times New Roman" w:cs="Times New Roman"/>
          <w:sz w:val="24"/>
          <w:szCs w:val="24"/>
          <w:u w:val="single"/>
        </w:rPr>
        <w:t>la buena acogida al presidente fue una prueba de que él y lo que representa ya no son inusuales o excepcionales. Mirad alrededor del</w:t>
      </w:r>
      <w:r>
        <w:rPr>
          <w:rFonts w:ascii="Times New Roman" w:hAnsi="Times New Roman" w:cs="Times New Roman"/>
          <w:sz w:val="24"/>
          <w:szCs w:val="24"/>
          <w:u w:val="single"/>
        </w:rPr>
        <w:t xml:space="preserve"> mundo y lo veréis: Trump y el “trumpismo”</w:t>
      </w:r>
      <w:r w:rsidRPr="00E0009E">
        <w:rPr>
          <w:rFonts w:ascii="Times New Roman" w:hAnsi="Times New Roman" w:cs="Times New Roman"/>
          <w:sz w:val="24"/>
          <w:szCs w:val="24"/>
          <w:u w:val="single"/>
        </w:rPr>
        <w:t xml:space="preserve"> se han normalizado.</w:t>
      </w:r>
    </w:p>
    <w:p w:rsidR="00737DC2" w:rsidRPr="00E0009E" w:rsidRDefault="00737DC2" w:rsidP="00737DC2">
      <w:pPr>
        <w:spacing w:line="240" w:lineRule="auto"/>
        <w:jc w:val="both"/>
        <w:rPr>
          <w:rFonts w:ascii="Times New Roman" w:hAnsi="Times New Roman" w:cs="Times New Roman"/>
          <w:sz w:val="24"/>
          <w:szCs w:val="24"/>
          <w:u w:val="single"/>
        </w:rPr>
      </w:pPr>
      <w:r w:rsidRPr="00E0009E">
        <w:rPr>
          <w:rFonts w:ascii="Times New Roman" w:hAnsi="Times New Roman" w:cs="Times New Roman"/>
          <w:sz w:val="24"/>
          <w:szCs w:val="24"/>
          <w:u w:val="single"/>
        </w:rPr>
        <w:t>Antes, Davos era el lugar donde los países lanzaban proclamas para demostrar su compromiso con el libre comercio y las sociedades abiertas. Después de todo, estas naciones eran las que estimulaban el crecimiento económico y sacaban a cientos millones de personas de la pobreza</w:t>
      </w:r>
      <w:r w:rsidRPr="00C2052C">
        <w:rPr>
          <w:rFonts w:ascii="Times New Roman" w:hAnsi="Times New Roman" w:cs="Times New Roman"/>
          <w:sz w:val="24"/>
          <w:szCs w:val="24"/>
        </w:rPr>
        <w:t xml:space="preserve">. Cada año, un país distinto se convertía en la estrella del fórum, normalmente con un ministro de finanzas que se </w:t>
      </w:r>
      <w:r>
        <w:rPr>
          <w:rFonts w:ascii="Times New Roman" w:hAnsi="Times New Roman" w:cs="Times New Roman"/>
          <w:sz w:val="24"/>
          <w:szCs w:val="24"/>
        </w:rPr>
        <w:t>convertía en el arquitecto del “boom”</w:t>
      </w:r>
      <w:r w:rsidRPr="00C2052C">
        <w:rPr>
          <w:rFonts w:ascii="Times New Roman" w:hAnsi="Times New Roman" w:cs="Times New Roman"/>
          <w:sz w:val="24"/>
          <w:szCs w:val="24"/>
        </w:rPr>
        <w:t xml:space="preserve"> de su país. </w:t>
      </w:r>
      <w:r w:rsidRPr="00E0009E">
        <w:rPr>
          <w:rFonts w:ascii="Times New Roman" w:hAnsi="Times New Roman" w:cs="Times New Roman"/>
          <w:sz w:val="24"/>
          <w:szCs w:val="24"/>
          <w:u w:val="single"/>
        </w:rPr>
        <w:t xml:space="preserve">Estados </w:t>
      </w:r>
      <w:r w:rsidRPr="00E0009E">
        <w:rPr>
          <w:rFonts w:ascii="Times New Roman" w:hAnsi="Times New Roman" w:cs="Times New Roman"/>
          <w:sz w:val="24"/>
          <w:szCs w:val="24"/>
          <w:u w:val="single"/>
        </w:rPr>
        <w:lastRenderedPageBreak/>
        <w:t>Unidos siempre ha sido el promotor más enérgico de estas ideas gemelas: apertura económica y libertad política.</w:t>
      </w:r>
    </w:p>
    <w:p w:rsidR="00737DC2" w:rsidRPr="00E0009E" w:rsidRDefault="00737DC2" w:rsidP="00737DC2">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Hoy, Davos parece un lugar muy distinto. Pese al hecho de que el crecimiento se mantenga sólido y los países sigan funcionando en el resto del mundo, el espíritu del tiempo ha cambiado. Allá donde la globalización era el tema principal, ahora es la reacción populista. Allá donde había firmes convicciones sobre el futuro, ahora solo hay incertidumbre y ansiedad.</w:t>
      </w:r>
    </w:p>
    <w:p w:rsidR="00737DC2" w:rsidRPr="006C20E4" w:rsidRDefault="00737DC2" w:rsidP="00737DC2">
      <w:pPr>
        <w:spacing w:line="240" w:lineRule="auto"/>
        <w:jc w:val="both"/>
        <w:rPr>
          <w:rFonts w:ascii="Times New Roman" w:hAnsi="Times New Roman" w:cs="Times New Roman"/>
          <w:sz w:val="24"/>
          <w:szCs w:val="24"/>
        </w:rPr>
      </w:pPr>
      <w:r w:rsidRPr="006C20E4">
        <w:rPr>
          <w:rFonts w:ascii="Times New Roman" w:hAnsi="Times New Roman" w:cs="Times New Roman"/>
          <w:sz w:val="24"/>
          <w:szCs w:val="24"/>
        </w:rPr>
        <w:t>Camino de la desglobalización</w:t>
      </w:r>
    </w:p>
    <w:p w:rsidR="00737DC2" w:rsidRPr="00C2052C" w:rsidRDefault="00737DC2" w:rsidP="00737DC2">
      <w:pPr>
        <w:spacing w:line="240" w:lineRule="auto"/>
        <w:jc w:val="both"/>
        <w:rPr>
          <w:rFonts w:ascii="Times New Roman" w:hAnsi="Times New Roman" w:cs="Times New Roman"/>
          <w:sz w:val="24"/>
          <w:szCs w:val="24"/>
        </w:rPr>
      </w:pPr>
      <w:r w:rsidRPr="00E0009E">
        <w:rPr>
          <w:rFonts w:ascii="Times New Roman" w:hAnsi="Times New Roman" w:cs="Times New Roman"/>
          <w:b/>
          <w:color w:val="FF0000"/>
          <w:sz w:val="24"/>
          <w:szCs w:val="24"/>
          <w:u w:val="single"/>
        </w:rPr>
        <w:t>Esto no es solo pura retórica. Tal y como señala Ruchir Sharma de Morgan Stanley Investment Management, desde 200</w:t>
      </w:r>
      <w:r>
        <w:rPr>
          <w:rFonts w:ascii="Times New Roman" w:hAnsi="Times New Roman" w:cs="Times New Roman"/>
          <w:b/>
          <w:color w:val="FF0000"/>
          <w:sz w:val="24"/>
          <w:szCs w:val="24"/>
          <w:u w:val="single"/>
        </w:rPr>
        <w:t>8 hemos entrado en una fase de “</w:t>
      </w:r>
      <w:r w:rsidRPr="00E0009E">
        <w:rPr>
          <w:rFonts w:ascii="Times New Roman" w:hAnsi="Times New Roman" w:cs="Times New Roman"/>
          <w:b/>
          <w:color w:val="FF0000"/>
          <w:sz w:val="24"/>
          <w:szCs w:val="24"/>
          <w:u w:val="single"/>
        </w:rPr>
        <w:t>desglo</w:t>
      </w:r>
      <w:r>
        <w:rPr>
          <w:rFonts w:ascii="Times New Roman" w:hAnsi="Times New Roman" w:cs="Times New Roman"/>
          <w:b/>
          <w:color w:val="FF0000"/>
          <w:sz w:val="24"/>
          <w:szCs w:val="24"/>
          <w:u w:val="single"/>
        </w:rPr>
        <w:t>balización”</w:t>
      </w:r>
      <w:r w:rsidRPr="00E0009E">
        <w:rPr>
          <w:rFonts w:ascii="Times New Roman" w:hAnsi="Times New Roman" w:cs="Times New Roman"/>
          <w:b/>
          <w:color w:val="FF0000"/>
          <w:sz w:val="24"/>
          <w:szCs w:val="24"/>
          <w:u w:val="single"/>
        </w:rPr>
        <w:t>. El comercio mundial, que aumentó casi de forma ininterrumpida desde la década de los setenta, se ha enfriado, mientras que el flujo de capital ha caído</w:t>
      </w:r>
      <w:r w:rsidRPr="00C2052C">
        <w:rPr>
          <w:rFonts w:ascii="Times New Roman" w:hAnsi="Times New Roman" w:cs="Times New Roman"/>
          <w:sz w:val="24"/>
          <w:szCs w:val="24"/>
        </w:rPr>
        <w:t>. Los flujos migratorios netos de los países pobres a los países ricos también han disminuido. En 2018, la migración neta en Estados Unidos alcanzó su m</w:t>
      </w:r>
      <w:r>
        <w:rPr>
          <w:rFonts w:ascii="Times New Roman" w:hAnsi="Times New Roman" w:cs="Times New Roman"/>
          <w:sz w:val="24"/>
          <w:szCs w:val="24"/>
        </w:rPr>
        <w:t>enor cifra en la última década.</w:t>
      </w:r>
    </w:p>
    <w:p w:rsidR="00737DC2" w:rsidRPr="00C2052C" w:rsidRDefault="00737DC2" w:rsidP="00737DC2">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Esta nueva tendencia puede verse muy bien en India. En 2018, el primer ministro indio Narendra Modi</w:t>
      </w:r>
      <w:r>
        <w:rPr>
          <w:rFonts w:ascii="Times New Roman" w:hAnsi="Times New Roman" w:cs="Times New Roman"/>
          <w:sz w:val="24"/>
          <w:szCs w:val="24"/>
        </w:rPr>
        <w:t xml:space="preserve"> fue a Davos a quejarse de que “</w:t>
      </w:r>
      <w:r w:rsidRPr="00C2052C">
        <w:rPr>
          <w:rFonts w:ascii="Times New Roman" w:hAnsi="Times New Roman" w:cs="Times New Roman"/>
          <w:sz w:val="24"/>
          <w:szCs w:val="24"/>
        </w:rPr>
        <w:t xml:space="preserve">muchos países se están encerrando en ellos mismos y la </w:t>
      </w:r>
      <w:r>
        <w:rPr>
          <w:rFonts w:ascii="Times New Roman" w:hAnsi="Times New Roman" w:cs="Times New Roman"/>
          <w:sz w:val="24"/>
          <w:szCs w:val="24"/>
        </w:rPr>
        <w:t>globalización se está hundiendo”</w:t>
      </w:r>
      <w:r w:rsidRPr="00C2052C">
        <w:rPr>
          <w:rFonts w:ascii="Times New Roman" w:hAnsi="Times New Roman" w:cs="Times New Roman"/>
          <w:sz w:val="24"/>
          <w:szCs w:val="24"/>
        </w:rPr>
        <w:t>. Desde entonces, su gobierno ha aumentado los aranceles en cientos de productos y ha tomado medidas para proteger a granjeros, comerciantes, empresas digitales y más de los peligros de la competición internacional. La Oficina del Representante de Comercio de Estados Unidos llamó la atención recientemente a India por tener los mayores aranceles de las grandes economías del mundo.</w:t>
      </w:r>
    </w:p>
    <w:p w:rsidR="00737DC2" w:rsidRPr="00C2052C" w:rsidRDefault="00737DC2" w:rsidP="00737DC2">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xml:space="preserve">Los funcionarios indios siempre han tratado de buscar inversión extranjera, muy necesaria para estimular el crecimiento. La semana pasada, ante una pronunciada ralentización de la economía india, Jeff Bezos anunció 1.000 millones de dólares de inversión en el país (Bezos es el dueño del Washington Post, periódico en el que se escribió esta columna). Pero el ministro de comercio e industria se mofó de la </w:t>
      </w:r>
      <w:r>
        <w:rPr>
          <w:rFonts w:ascii="Times New Roman" w:hAnsi="Times New Roman" w:cs="Times New Roman"/>
          <w:sz w:val="24"/>
          <w:szCs w:val="24"/>
        </w:rPr>
        <w:t>inversión, diciendo que Amazon “</w:t>
      </w:r>
      <w:r w:rsidRPr="00C2052C">
        <w:rPr>
          <w:rFonts w:ascii="Times New Roman" w:hAnsi="Times New Roman" w:cs="Times New Roman"/>
          <w:sz w:val="24"/>
          <w:szCs w:val="24"/>
        </w:rPr>
        <w:t>no estaba</w:t>
      </w:r>
      <w:r>
        <w:rPr>
          <w:rFonts w:ascii="Times New Roman" w:hAnsi="Times New Roman" w:cs="Times New Roman"/>
          <w:sz w:val="24"/>
          <w:szCs w:val="24"/>
        </w:rPr>
        <w:t xml:space="preserve"> haciendo un gran favor a India”</w:t>
      </w:r>
      <w:r w:rsidRPr="00C2052C">
        <w:rPr>
          <w:rFonts w:ascii="Times New Roman" w:hAnsi="Times New Roman" w:cs="Times New Roman"/>
          <w:sz w:val="24"/>
          <w:szCs w:val="24"/>
        </w:rPr>
        <w:t xml:space="preserve"> y que, probablemente, se estaba comportan</w:t>
      </w:r>
      <w:r>
        <w:rPr>
          <w:rFonts w:ascii="Times New Roman" w:hAnsi="Times New Roman" w:cs="Times New Roman"/>
          <w:sz w:val="24"/>
          <w:szCs w:val="24"/>
        </w:rPr>
        <w:t>do de manera anticompetitiva y “depredadora”</w:t>
      </w:r>
      <w:r w:rsidRPr="00C2052C">
        <w:rPr>
          <w:rFonts w:ascii="Times New Roman" w:hAnsi="Times New Roman" w:cs="Times New Roman"/>
          <w:sz w:val="24"/>
          <w:szCs w:val="24"/>
        </w:rPr>
        <w:t>. A menudo, políticas proteccionistas favorecen a los productores locales.</w:t>
      </w:r>
    </w:p>
    <w:p w:rsidR="00737DC2" w:rsidRDefault="00737DC2" w:rsidP="00737DC2">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primer ministro malasio Mahathir Mohamad criticó recientemente algunas de las políticas de Modi hacia los musulmanes. El gobierno indio, en respuesta, cortó de forma inmediata las importaciones malasias de aceite de palma. Uno de los principales beneficiarios era un multimillonario lo</w:t>
      </w:r>
      <w:r>
        <w:rPr>
          <w:rFonts w:ascii="Times New Roman" w:hAnsi="Times New Roman" w:cs="Times New Roman"/>
          <w:sz w:val="24"/>
          <w:szCs w:val="24"/>
        </w:rPr>
        <w:t>cal largamente asociado a Modi.</w:t>
      </w:r>
    </w:p>
    <w:p w:rsidR="00737DC2" w:rsidRPr="00C2052C" w:rsidRDefault="00737DC2" w:rsidP="00737DC2">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Una lógica muy dañina</w:t>
      </w:r>
    </w:p>
    <w:p w:rsidR="00737DC2" w:rsidRPr="00E0009E" w:rsidRDefault="00737DC2" w:rsidP="00737DC2">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The Economist subraya que Europa, antaño uno de los principales motores de la apertura económica y política, también está redescubriendo la intervención estatal para impulsar las industrias domésticas. Y si piensas que Internet está exento de estas tendencias, dale una vuelta. El Centro Europeo Internacional de Política Económica analiza el número de medidas proteccionistas establecidas para analizar la economía digital en 64 países. Y no ha parado de aumentar en los últimos años, especialmente desde 2008.</w:t>
      </w:r>
    </w:p>
    <w:p w:rsidR="00737DC2" w:rsidRPr="00E0009E" w:rsidRDefault="00737DC2" w:rsidP="00737DC2">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 xml:space="preserve">Es importante no exagerar el retroceso de la globalización. Tal y como demuestra el informe de DHL de 2019, la globalización aún está vigente y, de algún modo, continúa expandiéndose. La gente aún quiere comerciar, viajar y hacer negocios por el mundo. Pero en política gubernamental, donde la lógica económica antes se sobreponía a la política, ahora </w:t>
      </w:r>
      <w:r w:rsidRPr="00E0009E">
        <w:rPr>
          <w:rFonts w:ascii="Times New Roman" w:hAnsi="Times New Roman" w:cs="Times New Roman"/>
          <w:color w:val="FF0000"/>
          <w:sz w:val="24"/>
          <w:szCs w:val="24"/>
          <w:u w:val="single"/>
        </w:rPr>
        <w:lastRenderedPageBreak/>
        <w:t>suele ser al revés. El economista Nouriel Roubini argumenta que el resultado acumu</w:t>
      </w:r>
      <w:r>
        <w:rPr>
          <w:rFonts w:ascii="Times New Roman" w:hAnsi="Times New Roman" w:cs="Times New Roman"/>
          <w:color w:val="FF0000"/>
          <w:sz w:val="24"/>
          <w:szCs w:val="24"/>
          <w:u w:val="single"/>
        </w:rPr>
        <w:t>lativo de todas estas medidas -</w:t>
      </w:r>
      <w:r w:rsidRPr="00E0009E">
        <w:rPr>
          <w:rFonts w:ascii="Times New Roman" w:hAnsi="Times New Roman" w:cs="Times New Roman"/>
          <w:color w:val="FF0000"/>
          <w:sz w:val="24"/>
          <w:szCs w:val="24"/>
          <w:u w:val="single"/>
        </w:rPr>
        <w:t>proteger in</w:t>
      </w:r>
      <w:r>
        <w:rPr>
          <w:rFonts w:ascii="Times New Roman" w:hAnsi="Times New Roman" w:cs="Times New Roman"/>
          <w:color w:val="FF0000"/>
          <w:sz w:val="24"/>
          <w:szCs w:val="24"/>
          <w:u w:val="single"/>
        </w:rPr>
        <w:t>dustrias locales, subvencionar “campeones nacionales”</w:t>
      </w:r>
      <w:r w:rsidRPr="00E0009E">
        <w:rPr>
          <w:rFonts w:ascii="Times New Roman" w:hAnsi="Times New Roman" w:cs="Times New Roman"/>
          <w:color w:val="FF0000"/>
          <w:sz w:val="24"/>
          <w:szCs w:val="24"/>
          <w:u w:val="single"/>
        </w:rPr>
        <w:t>, restringir inmigración - es el de frenar el crecimiento.</w:t>
      </w:r>
    </w:p>
    <w:p w:rsidR="00737DC2" w:rsidRPr="00E0009E" w:rsidRDefault="00737DC2" w:rsidP="00737DC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E0009E">
        <w:rPr>
          <w:rFonts w:ascii="Times New Roman" w:hAnsi="Times New Roman" w:cs="Times New Roman"/>
          <w:color w:val="FF0000"/>
          <w:sz w:val="24"/>
          <w:szCs w:val="24"/>
          <w:u w:val="single"/>
        </w:rPr>
        <w:t>Significa menos crecimiento, menos traba</w:t>
      </w:r>
      <w:r>
        <w:rPr>
          <w:rFonts w:ascii="Times New Roman" w:hAnsi="Times New Roman" w:cs="Times New Roman"/>
          <w:color w:val="FF0000"/>
          <w:sz w:val="24"/>
          <w:szCs w:val="24"/>
          <w:u w:val="single"/>
        </w:rPr>
        <w:t>jo y economías menos eficientes”</w:t>
      </w:r>
      <w:r w:rsidRPr="00E0009E">
        <w:rPr>
          <w:rFonts w:ascii="Times New Roman" w:hAnsi="Times New Roman" w:cs="Times New Roman"/>
          <w:color w:val="FF0000"/>
          <w:sz w:val="24"/>
          <w:szCs w:val="24"/>
          <w:u w:val="single"/>
        </w:rPr>
        <w:t>, me dijo hace poco Roubini. Hemos visto cómo sucedía esto muchas veces en el pasado, como en India, país que sufrió décadas de parálisis económica como resultado de políticas proteccionistas. Veremos el impacto en los próximos años. Sin embargo, hoy el nacionalismo y el proteccionismo vencen.</w:t>
      </w:r>
    </w:p>
    <w:p w:rsidR="00737DC2" w:rsidRPr="00E0009E" w:rsidRDefault="00737DC2" w:rsidP="00737DC2">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Esta fase de desglobalización se está fomentando desde arriba. Las naciones líderes suelen ser, siempre, las que marcan la agenda. China es un ejemplo. El país asiático ha protegido alguno de sus mercados y, aun así, ha crecido a un buen ritmo. Han impresionado a la gran mayoría del mundo. Aún más profundo, quizás, es el ejemplo del principal líder del mundo libre, EEUU, país que tiene a un presidente que defiende un comercio controlado, una inmigración más controlada y medidas proteccionistas. En Davos, Trump invitó al resto a seguir su ejemplo. Y cada vez más países hacen caso.</w:t>
      </w:r>
    </w:p>
    <w:p w:rsidR="00737DC2" w:rsidRPr="001F4B28"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4B28">
        <w:rPr>
          <w:rFonts w:ascii="Times New Roman" w:hAnsi="Times New Roman" w:cs="Times New Roman"/>
          <w:sz w:val="24"/>
          <w:szCs w:val="24"/>
        </w:rPr>
        <w:t>¿</w:t>
      </w:r>
      <w:r>
        <w:rPr>
          <w:rFonts w:ascii="Times New Roman" w:hAnsi="Times New Roman" w:cs="Times New Roman"/>
          <w:sz w:val="24"/>
          <w:szCs w:val="24"/>
          <w:u w:val="single"/>
        </w:rPr>
        <w:t>”Low cost”</w:t>
      </w:r>
      <w:r w:rsidRPr="001F4B28">
        <w:rPr>
          <w:rFonts w:ascii="Times New Roman" w:hAnsi="Times New Roman" w:cs="Times New Roman"/>
          <w:sz w:val="24"/>
          <w:szCs w:val="24"/>
          <w:u w:val="single"/>
        </w:rPr>
        <w:t>? Por qué la política de precios baratos es una ruina</w:t>
      </w:r>
      <w:r>
        <w:rPr>
          <w:rFonts w:ascii="Times New Roman" w:hAnsi="Times New Roman" w:cs="Times New Roman"/>
          <w:sz w:val="24"/>
          <w:szCs w:val="24"/>
        </w:rPr>
        <w:t xml:space="preserve"> (El Confidencial - </w:t>
      </w:r>
      <w:r w:rsidRPr="001F4B28">
        <w:rPr>
          <w:rFonts w:ascii="Times New Roman" w:hAnsi="Times New Roman" w:cs="Times New Roman"/>
          <w:b/>
          <w:sz w:val="24"/>
          <w:szCs w:val="24"/>
        </w:rPr>
        <w:t>20/2/20</w:t>
      </w:r>
      <w:r>
        <w:rPr>
          <w:rFonts w:ascii="Times New Roman" w:hAnsi="Times New Roman" w:cs="Times New Roman"/>
          <w:sz w:val="24"/>
          <w:szCs w:val="24"/>
        </w:rPr>
        <w:t>)</w:t>
      </w:r>
    </w:p>
    <w:p w:rsidR="00737DC2" w:rsidRPr="00AD77A5"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sociedad “low cost”</w:t>
      </w:r>
      <w:r w:rsidRPr="00AD77A5">
        <w:rPr>
          <w:rFonts w:ascii="Times New Roman" w:hAnsi="Times New Roman" w:cs="Times New Roman"/>
          <w:color w:val="FF0000"/>
          <w:sz w:val="24"/>
          <w:szCs w:val="24"/>
        </w:rPr>
        <w:t xml:space="preserve"> se extiende como una mancha de aceite. Y con ella, los bajos salarios y la precariedad laboral. El proceso no ha hecho más que comenzar</w:t>
      </w:r>
    </w:p>
    <w:p w:rsidR="00737DC2" w:rsidRPr="00D05318" w:rsidRDefault="00737DC2" w:rsidP="00737DC2">
      <w:pPr>
        <w:spacing w:line="240" w:lineRule="auto"/>
        <w:jc w:val="both"/>
        <w:rPr>
          <w:rFonts w:ascii="Times New Roman" w:hAnsi="Times New Roman" w:cs="Times New Roman"/>
          <w:sz w:val="24"/>
          <w:szCs w:val="24"/>
        </w:rPr>
      </w:pPr>
      <w:r w:rsidRPr="00D05318">
        <w:rPr>
          <w:rFonts w:ascii="Times New Roman" w:hAnsi="Times New Roman" w:cs="Times New Roman"/>
          <w:sz w:val="24"/>
          <w:szCs w:val="24"/>
        </w:rPr>
        <w:t>(Por Carlos Sánchez)</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Qu</w:t>
      </w:r>
      <w:r>
        <w:rPr>
          <w:rFonts w:ascii="Times New Roman" w:hAnsi="Times New Roman" w:cs="Times New Roman"/>
          <w:color w:val="FF0000"/>
          <w:sz w:val="24"/>
          <w:szCs w:val="24"/>
          <w:u w:val="single"/>
        </w:rPr>
        <w:t>ién gana y quién pierde con el “low cost”</w:t>
      </w:r>
      <w:r w:rsidRPr="00AD77A5">
        <w:rPr>
          <w:rFonts w:ascii="Times New Roman" w:hAnsi="Times New Roman" w:cs="Times New Roman"/>
          <w:color w:val="FF0000"/>
          <w:sz w:val="24"/>
          <w:szCs w:val="24"/>
          <w:u w:val="single"/>
        </w:rPr>
        <w: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w:t>
      </w:r>
      <w:r>
        <w:rPr>
          <w:rFonts w:ascii="Times New Roman" w:hAnsi="Times New Roman" w:cs="Times New Roman"/>
          <w:color w:val="FF0000"/>
          <w:sz w:val="24"/>
          <w:szCs w:val="24"/>
          <w:u w:val="single"/>
        </w:rPr>
        <w:t>lases medias por el empuje del “low cost”</w:t>
      </w:r>
      <w:r w:rsidRPr="00AD77A5">
        <w:rPr>
          <w:rFonts w:ascii="Times New Roman" w:hAnsi="Times New Roman" w:cs="Times New Roman"/>
          <w:color w:val="FF0000"/>
          <w:sz w:val="24"/>
          <w:szCs w:val="24"/>
          <w:u w:val="single"/>
        </w:rPr>
        <w:t>?</w:t>
      </w:r>
    </w:p>
    <w:p w:rsidR="00737DC2" w:rsidRPr="001F4B28" w:rsidRDefault="00737DC2" w:rsidP="00737DC2">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Estas y otras preguntas pueden parecer ociosas en un mundo en el que la sociedad del 'low cost' se ha impuesto. Es ya una realidad. Pero, aun así, están en el centro del debate macroeconómico por sus consecuencias</w:t>
      </w:r>
      <w:r w:rsidRPr="001F4B28">
        <w:rPr>
          <w:rFonts w:ascii="Times New Roman" w:hAnsi="Times New Roman" w:cs="Times New Roman"/>
          <w:sz w:val="24"/>
          <w:szCs w:val="24"/>
        </w:rPr>
        <w:t xml:space="preserve">. Y, por supuesto, en el núcleo de la discusión política. </w:t>
      </w:r>
      <w:r w:rsidRPr="00AD77A5">
        <w:rPr>
          <w:rFonts w:ascii="Times New Roman" w:hAnsi="Times New Roman" w:cs="Times New Roman"/>
          <w:sz w:val="24"/>
          <w:szCs w:val="24"/>
          <w:u w:val="single"/>
        </w:rPr>
        <w:t>Entre otras razones, porque detrás de los precios baratos se encuentran importaciones masivas que han quebrado no solo los tejidos productivos de muchas naciones avanzadas hasta hacerlos irreconocibles sino también los viejos ecosistemas sociales, culturales y hasta de relaciones personales</w:t>
      </w:r>
      <w:r w:rsidRPr="001F4B28">
        <w:rPr>
          <w:rFonts w:ascii="Times New Roman" w:hAnsi="Times New Roman" w:cs="Times New Roman"/>
          <w:sz w:val="24"/>
          <w:szCs w:val="24"/>
        </w:rPr>
        <w:t>. El tendero de la esq</w:t>
      </w:r>
      <w:r>
        <w:rPr>
          <w:rFonts w:ascii="Times New Roman" w:hAnsi="Times New Roman" w:cs="Times New Roman"/>
          <w:sz w:val="24"/>
          <w:szCs w:val="24"/>
        </w:rPr>
        <w:t>uina está en vías de extinción.</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737DC2" w:rsidRPr="006C20E4"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¿Es el proteccionismo la solución? </w:t>
      </w:r>
      <w:r w:rsidRPr="00AD77A5">
        <w:rPr>
          <w:rFonts w:ascii="Times New Roman" w:hAnsi="Times New Roman" w:cs="Times New Roman"/>
          <w:sz w:val="24"/>
          <w:szCs w:val="24"/>
          <w:u w:val="single"/>
        </w:rPr>
        <w:t xml:space="preserve">¿Por qué culpar a los bajos precios de un problema estructural que tiene que ver con la baja productividad de las economías desarrolladas? ¿Cómo afecta el envejecimiento a los nuevos hábitos de consumo? ¿En qué medida han influido los avances tecnológicos en la provisión de bienes más baratos? ¿O es que las desregulaciones de los años ochenta y noventa son, en realidad, las culpables del empobrecimiento de las antiguas metrópolis? </w:t>
      </w:r>
      <w:r w:rsidRPr="00AD77A5">
        <w:rPr>
          <w:rFonts w:ascii="Times New Roman" w:hAnsi="Times New Roman" w:cs="Times New Roman"/>
          <w:color w:val="FF0000"/>
          <w:sz w:val="24"/>
          <w:szCs w:val="24"/>
          <w:u w:val="single"/>
        </w:rPr>
        <w:t>¿Tiene l</w:t>
      </w:r>
      <w:r>
        <w:rPr>
          <w:rFonts w:ascii="Times New Roman" w:hAnsi="Times New Roman" w:cs="Times New Roman"/>
          <w:color w:val="FF0000"/>
          <w:sz w:val="24"/>
          <w:szCs w:val="24"/>
          <w:u w:val="single"/>
        </w:rPr>
        <w:t>a culpa el desarme arancelario?</w:t>
      </w:r>
    </w:p>
    <w:p w:rsidR="00737DC2" w:rsidRPr="00AD77A5" w:rsidRDefault="00737DC2" w:rsidP="00737DC2">
      <w:pPr>
        <w:spacing w:line="240" w:lineRule="auto"/>
        <w:jc w:val="both"/>
        <w:rPr>
          <w:rFonts w:ascii="Times New Roman" w:hAnsi="Times New Roman" w:cs="Times New Roman"/>
          <w:sz w:val="24"/>
          <w:szCs w:val="24"/>
          <w:u w:val="single"/>
        </w:rPr>
      </w:pPr>
      <w:r w:rsidRPr="00AD77A5">
        <w:rPr>
          <w:rFonts w:ascii="Times New Roman" w:hAnsi="Times New Roman" w:cs="Times New Roman"/>
          <w:sz w:val="24"/>
          <w:szCs w:val="24"/>
          <w:u w:val="single"/>
        </w:rPr>
        <w:t xml:space="preserve">Josep Mestres, economista de CaixaBank Research, ofrece una primera respuesta. Probablemente, la más evidente: “El consumidor ha ganado con el 'low cost' y con la </w:t>
      </w:r>
      <w:r w:rsidRPr="00AD77A5">
        <w:rPr>
          <w:rFonts w:ascii="Times New Roman" w:hAnsi="Times New Roman" w:cs="Times New Roman"/>
          <w:sz w:val="24"/>
          <w:szCs w:val="24"/>
          <w:u w:val="single"/>
        </w:rPr>
        <w:lastRenderedPageBreak/>
        <w:t>globalización”. Pero introduce un matiz. Hay que diferenciar si los bajos precios son fruto de los avances tecnológicos o, por el contrario, reflejan la entrada masiva de bienes y servicios fabricados en condiciones inaceptables para los estándares de vida de los ciudadanos europeos.</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existe una tensión entre ciudadanos que reclaman derechos (mejorar el medio ambiente o favorecer condiciones laborales justas) y los consumidores que se benefician de los precios baratos, pero que, al mismo tiempo, sufren, en su condición de ciu</w:t>
      </w:r>
      <w:r>
        <w:rPr>
          <w:rFonts w:ascii="Times New Roman" w:hAnsi="Times New Roman" w:cs="Times New Roman"/>
          <w:color w:val="FF0000"/>
          <w:sz w:val="24"/>
          <w:szCs w:val="24"/>
          <w:u w:val="single"/>
        </w:rPr>
        <w:t>dadanos, las consecuencias del “low cost”</w:t>
      </w:r>
      <w:r w:rsidRPr="00AD77A5">
        <w:rPr>
          <w:rFonts w:ascii="Times New Roman" w:hAnsi="Times New Roman" w:cs="Times New Roman"/>
          <w:color w:val="FF0000"/>
          <w:sz w:val="24"/>
          <w:szCs w:val="24"/>
          <w:u w:val="single"/>
        </w:rPr>
        <w:t>: problemas para financiar las prestaciones sociales básicas (educación) o salarios bajos para ellos mismos o para sus hijos. ¿Se están alimentando negocios en los que ningún ciudadano querría que trabajaran sus hijos? ¿Qué pesa más, la ciudadanía o el consumo?</w:t>
      </w:r>
    </w:p>
    <w:p w:rsidR="00737DC2" w:rsidRPr="001F4B28" w:rsidRDefault="00737DC2" w:rsidP="00737DC2">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Precios irrisorios</w:t>
      </w:r>
    </w:p>
    <w:p w:rsidR="00737DC2" w:rsidRPr="001F4B28" w:rsidRDefault="00737DC2" w:rsidP="00737DC2">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El caso más evidente es el de la aviación, como sostiene José Armando Tellado, presidente de la Fundación Kno</w:t>
      </w:r>
      <w:r>
        <w:rPr>
          <w:rFonts w:ascii="Times New Roman" w:hAnsi="Times New Roman" w:cs="Times New Roman"/>
          <w:sz w:val="24"/>
          <w:szCs w:val="24"/>
        </w:rPr>
        <w:t>wcoster, quien reconoce que el “low cost”</w:t>
      </w:r>
      <w:r w:rsidRPr="001F4B28">
        <w:rPr>
          <w:rFonts w:ascii="Times New Roman" w:hAnsi="Times New Roman" w:cs="Times New Roman"/>
          <w:sz w:val="24"/>
          <w:szCs w:val="24"/>
        </w:rPr>
        <w:t xml:space="preserve"> “ha democratizado” los vuelos, pero, al mismo tiempo, ha hundido el salario de las tripulaciones y, en general, del sector. O expresado de otra manera, el poder adquisitivo de los pilotos o del personal de cabina, al igual que ha sucedido en otros negocios, se ha visto mermado pese a que cada vez más gente viaja en avión o adquiere nuevos productos a precios que ant</w:t>
      </w:r>
      <w:r>
        <w:rPr>
          <w:rFonts w:ascii="Times New Roman" w:hAnsi="Times New Roman" w:cs="Times New Roman"/>
          <w:sz w:val="24"/>
          <w:szCs w:val="24"/>
        </w:rPr>
        <w:t>es se considerarían irrisorios.</w:t>
      </w:r>
    </w:p>
    <w:p w:rsidR="00737DC2" w:rsidRPr="001F4B28"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ventaja del “low cost”</w:t>
      </w:r>
      <w:r w:rsidRPr="00AD77A5">
        <w:rPr>
          <w:rFonts w:ascii="Times New Roman" w:hAnsi="Times New Roman" w:cs="Times New Roman"/>
          <w:sz w:val="24"/>
          <w:szCs w:val="24"/>
          <w:u w:val="single"/>
        </w:rPr>
        <w:t>, por lo tanto, hay que relativizarla, pero sin olvidar que los avances tecnológicos, principalmente a través de multitud de plataformas, han hundido, y eso es una buena noticia, junto a la disciplina que introduce en el mercado, los costes de entrada para poner en marcha un negocio, como dice Mestres, y eso ha hecho aumentar de forma descomunal la competencia</w:t>
      </w:r>
      <w:r w:rsidRPr="001F4B28">
        <w:rPr>
          <w:rFonts w:ascii="Times New Roman" w:hAnsi="Times New Roman" w:cs="Times New Roman"/>
          <w:sz w:val="24"/>
          <w:szCs w:val="24"/>
        </w:rPr>
        <w:t>. “Un pequeño negocio puede ahora ser global”, asegura el economista de CaixaBank.</w:t>
      </w:r>
    </w:p>
    <w:p w:rsidR="00737DC2" w:rsidRPr="001F4B28" w:rsidRDefault="00737DC2" w:rsidP="00737DC2">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Las ventajas, sin embargo, también tienen su</w:t>
      </w:r>
      <w:r>
        <w:rPr>
          <w:rFonts w:ascii="Times New Roman" w:hAnsi="Times New Roman" w:cs="Times New Roman"/>
          <w:sz w:val="24"/>
          <w:szCs w:val="24"/>
          <w:u w:val="single"/>
        </w:rPr>
        <w:t xml:space="preserve"> cara amarga. “</w:t>
      </w:r>
      <w:r w:rsidRPr="00AD77A5">
        <w:rPr>
          <w:rFonts w:ascii="Times New Roman" w:hAnsi="Times New Roman" w:cs="Times New Roman"/>
          <w:sz w:val="24"/>
          <w:szCs w:val="24"/>
          <w:u w:val="single"/>
        </w:rPr>
        <w:t>The Ne</w:t>
      </w:r>
      <w:r>
        <w:rPr>
          <w:rFonts w:ascii="Times New Roman" w:hAnsi="Times New Roman" w:cs="Times New Roman"/>
          <w:sz w:val="24"/>
          <w:szCs w:val="24"/>
          <w:u w:val="single"/>
        </w:rPr>
        <w:t>w York Times” lo ha llamado el “</w:t>
      </w:r>
      <w:r w:rsidRPr="00AD77A5">
        <w:rPr>
          <w:rFonts w:ascii="Times New Roman" w:hAnsi="Times New Roman" w:cs="Times New Roman"/>
          <w:sz w:val="24"/>
          <w:szCs w:val="24"/>
          <w:u w:val="single"/>
        </w:rPr>
        <w:t>apocalipsis minorista</w:t>
      </w:r>
      <w:r>
        <w:rPr>
          <w:rFonts w:ascii="Times New Roman" w:hAnsi="Times New Roman" w:cs="Times New Roman"/>
          <w:sz w:val="24"/>
          <w:szCs w:val="24"/>
        </w:rPr>
        <w:t>”,</w:t>
      </w:r>
      <w:r w:rsidRPr="001F4B28">
        <w:rPr>
          <w:rFonts w:ascii="Times New Roman" w:hAnsi="Times New Roman" w:cs="Times New Roman"/>
          <w:sz w:val="24"/>
          <w:szCs w:val="24"/>
        </w:rPr>
        <w:t xml:space="preserve"> habida cuenta de las decenas de miles de tiendas y comercios medianos que han cerrado en los últimos años en EEUU. Y es que no siempre los precios baratos son fruto de la tecnología, y de ahí que desde Knowcoster, una fundación dedicada a analizar las consecuencias de una sociedad basada en tirar los precios, se proponga conocer la traz</w:t>
      </w:r>
      <w:r>
        <w:rPr>
          <w:rFonts w:ascii="Times New Roman" w:hAnsi="Times New Roman" w:cs="Times New Roman"/>
          <w:sz w:val="24"/>
          <w:szCs w:val="24"/>
        </w:rPr>
        <w:t>abilidad de cualquier producto.</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se trata de hacer posible que el consumidor (que ontológicamente no puede ser distinto del ciudadano) conozca si el fabricante ha pagado los impuestos correspondientes, los salarios adecuados a su sector, ha respetado la huella medioambiental e, incluso, su contribución a la creación de empleo. De este modo, asegura Tellado, el consumidor sería plenamente consciente de lo que compra, toda vez que en muchas ocasiones genera externalidades negativas que hacen que un producto, a la larga, salga caro: el Estado se ve obligado a subir los impuestos para que las ayudas sociales compensen los bajos salarios; más gasto público para luchar contra el cambio climático o financiación adicional para combatir la degradación de tejidos urbanos e industriales incapaces de sobrevivir. Sin contar el elevado coste que tiene el tratamient</w:t>
      </w:r>
      <w:r>
        <w:rPr>
          <w:rFonts w:ascii="Times New Roman" w:hAnsi="Times New Roman" w:cs="Times New Roman"/>
          <w:color w:val="FF0000"/>
          <w:sz w:val="24"/>
          <w:szCs w:val="24"/>
          <w:u w:val="single"/>
        </w:rPr>
        <w:t>o de los residuos urbanos. “El “low cost”</w:t>
      </w:r>
      <w:r w:rsidRPr="00AD77A5">
        <w:rPr>
          <w:rFonts w:ascii="Times New Roman" w:hAnsi="Times New Roman" w:cs="Times New Roman"/>
          <w:color w:val="FF0000"/>
          <w:sz w:val="24"/>
          <w:szCs w:val="24"/>
          <w:u w:val="single"/>
        </w:rPr>
        <w:t xml:space="preserve"> es pan para hoy y hambre para mañana”, sentencia Tellado.</w:t>
      </w:r>
    </w:p>
    <w:p w:rsidR="00737DC2" w:rsidRPr="001F4B28" w:rsidRDefault="00737DC2" w:rsidP="00737DC2">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Exportar empleo</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Y pone como ejemplo el mercado laboral. Las grandes plataformas tecnológicas, con un enorme poder de mercado, como ha advertido el FMI, han facilitado la adquisición de bienes </w:t>
      </w:r>
      <w:r w:rsidRPr="00AD77A5">
        <w:rPr>
          <w:rFonts w:ascii="Times New Roman" w:hAnsi="Times New Roman" w:cs="Times New Roman"/>
          <w:color w:val="FF0000"/>
          <w:sz w:val="24"/>
          <w:szCs w:val="24"/>
          <w:u w:val="single"/>
        </w:rPr>
        <w:lastRenderedPageBreak/>
        <w:t>a precios baratos, impensables hace pocos años, pero, al mismo tiempo, eso facilita que se exporte empleo a otros países. Lo que crece es el transporte, no el número de fabricantes interiores.</w:t>
      </w:r>
    </w:p>
    <w:p w:rsidR="00737DC2" w:rsidRPr="00AD77A5" w:rsidRDefault="00737DC2" w:rsidP="00737DC2">
      <w:pPr>
        <w:spacing w:line="240" w:lineRule="auto"/>
        <w:jc w:val="both"/>
        <w:rPr>
          <w:rFonts w:ascii="Times New Roman" w:hAnsi="Times New Roman" w:cs="Times New Roman"/>
          <w:sz w:val="24"/>
          <w:szCs w:val="24"/>
          <w:u w:val="single"/>
        </w:rPr>
      </w:pPr>
      <w:r w:rsidRPr="00AD77A5">
        <w:rPr>
          <w:rFonts w:ascii="Times New Roman" w:hAnsi="Times New Roman" w:cs="Times New Roman"/>
          <w:color w:val="FF0000"/>
          <w:sz w:val="24"/>
          <w:szCs w:val="24"/>
          <w:u w:val="single"/>
        </w:rPr>
        <w:t>Es decir, que lo que no se produce aquí se fabrica en otro lugar, lo que explica que compañías como Amazon valgan ya más de un billón de dólares en bolsa, mientras que otras, más pequeñas, han ahondado en la dualidad laboral entre trabajadores con contratos indefinidos, que hoy aparecen a ojos de muchos como unos privilegiados por disfrutar de unas relaciones laborales estables, y una enorme fuerza laboral de reserva que vive en torno al subempleo</w:t>
      </w:r>
      <w:r w:rsidRPr="001F4B28">
        <w:rPr>
          <w:rFonts w:ascii="Times New Roman" w:hAnsi="Times New Roman" w:cs="Times New Roman"/>
          <w:sz w:val="24"/>
          <w:szCs w:val="24"/>
        </w:rPr>
        <w:t xml:space="preserve">. </w:t>
      </w:r>
      <w:r w:rsidRPr="00AD77A5">
        <w:rPr>
          <w:rFonts w:ascii="Times New Roman" w:hAnsi="Times New Roman" w:cs="Times New Roman"/>
          <w:sz w:val="24"/>
          <w:szCs w:val="24"/>
          <w:u w:val="single"/>
        </w:rPr>
        <w:t>Tanto en salarios como en horas trabajadas. Y que tiene su máxima expresión en los falsos autónomos de los que se nutren muchas plataformas tecnológicas que comercializan productos a bajo precio.</w:t>
      </w:r>
    </w:p>
    <w:p w:rsidR="00737DC2" w:rsidRPr="001F4B28" w:rsidRDefault="00737DC2" w:rsidP="00737DC2">
      <w:pPr>
        <w:spacing w:line="240" w:lineRule="auto"/>
        <w:jc w:val="both"/>
        <w:rPr>
          <w:rFonts w:ascii="Times New Roman" w:hAnsi="Times New Roman" w:cs="Times New Roman"/>
          <w:sz w:val="24"/>
          <w:szCs w:val="24"/>
        </w:rPr>
      </w:pPr>
      <w:r w:rsidRPr="00AD77A5">
        <w:rPr>
          <w:rFonts w:ascii="Times New Roman" w:hAnsi="Times New Roman" w:cs="Times New Roman"/>
          <w:color w:val="FF0000"/>
          <w:sz w:val="24"/>
          <w:szCs w:val="24"/>
          <w:u w:val="single"/>
        </w:rPr>
        <w:t>¿La solución pasa por el proteccionismo? No parece que esa sea la mejor alternativa</w:t>
      </w:r>
      <w:r w:rsidRPr="001F4B28">
        <w:rPr>
          <w:rFonts w:ascii="Times New Roman" w:hAnsi="Times New Roman" w:cs="Times New Roman"/>
          <w:sz w:val="24"/>
          <w:szCs w:val="24"/>
        </w:rPr>
        <w:t>. Entre otras cosas, porque el cierre de las pequeñas tiendas no siempre está vinculado a un problema de</w:t>
      </w:r>
      <w:r>
        <w:rPr>
          <w:rFonts w:ascii="Times New Roman" w:hAnsi="Times New Roman" w:cs="Times New Roman"/>
          <w:sz w:val="24"/>
          <w:szCs w:val="24"/>
        </w:rPr>
        <w:t xml:space="preserve"> competencia desleal. La venta “online”</w:t>
      </w:r>
      <w:r w:rsidRPr="001F4B28">
        <w:rPr>
          <w:rFonts w:ascii="Times New Roman" w:hAnsi="Times New Roman" w:cs="Times New Roman"/>
          <w:sz w:val="24"/>
          <w:szCs w:val="24"/>
        </w:rPr>
        <w:t xml:space="preserve"> en EEUU, por ejemplo, apenas representa hoy el 11% del comercio minorista, lo que sugiere que hay problemas más de fondo. Probablemente, por las nuevas realidades sociales y la mayor movilidad geográfica y laboral de los trabajadores. De nuevo, vinculadas a la</w:t>
      </w:r>
      <w:r>
        <w:rPr>
          <w:rFonts w:ascii="Times New Roman" w:hAnsi="Times New Roman" w:cs="Times New Roman"/>
          <w:sz w:val="24"/>
          <w:szCs w:val="24"/>
        </w:rPr>
        <w:t xml:space="preserve"> digitalización de la economía.</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Ha</w:t>
      </w:r>
      <w:r>
        <w:rPr>
          <w:rFonts w:ascii="Times New Roman" w:hAnsi="Times New Roman" w:cs="Times New Roman"/>
          <w:color w:val="FF0000"/>
          <w:sz w:val="24"/>
          <w:szCs w:val="24"/>
          <w:u w:val="single"/>
        </w:rPr>
        <w:t>y consenso en los críticos del “low cost”</w:t>
      </w:r>
      <w:r w:rsidRPr="00AD77A5">
        <w:rPr>
          <w:rFonts w:ascii="Times New Roman" w:hAnsi="Times New Roman" w:cs="Times New Roman"/>
          <w:color w:val="FF0000"/>
          <w:sz w:val="24"/>
          <w:szCs w:val="24"/>
          <w:u w:val="single"/>
        </w:rPr>
        <w:t>, sin embargo, en que el modelo de globalización más equilibrado debe fomentar un comercio justo y equilibrado, un principio que no se ha respetado desde que China ingresó en la Organización Mundial de Comercio (OMC), en 2001. Lo que se propone, por lo tant</w:t>
      </w:r>
      <w:r>
        <w:rPr>
          <w:rFonts w:ascii="Times New Roman" w:hAnsi="Times New Roman" w:cs="Times New Roman"/>
          <w:color w:val="FF0000"/>
          <w:sz w:val="24"/>
          <w:szCs w:val="24"/>
          <w:u w:val="single"/>
        </w:rPr>
        <w:t>o, no es condenar al averno el “low cost”</w:t>
      </w:r>
      <w:r w:rsidRPr="00AD77A5">
        <w:rPr>
          <w:rFonts w:ascii="Times New Roman" w:hAnsi="Times New Roman" w:cs="Times New Roman"/>
          <w:color w:val="FF0000"/>
          <w:sz w:val="24"/>
          <w:szCs w:val="24"/>
          <w:u w:val="single"/>
        </w:rPr>
        <w:t xml:space="preserve">, o lo </w:t>
      </w:r>
      <w:r>
        <w:rPr>
          <w:rFonts w:ascii="Times New Roman" w:hAnsi="Times New Roman" w:cs="Times New Roman"/>
          <w:color w:val="FF0000"/>
          <w:sz w:val="24"/>
          <w:szCs w:val="24"/>
          <w:u w:val="single"/>
        </w:rPr>
        <w:t>que se ha llamado sociedad del “outlet”</w:t>
      </w:r>
      <w:r w:rsidRPr="00AD77A5">
        <w:rPr>
          <w:rFonts w:ascii="Times New Roman" w:hAnsi="Times New Roman" w:cs="Times New Roman"/>
          <w:color w:val="FF0000"/>
          <w:sz w:val="24"/>
          <w:szCs w:val="24"/>
          <w:u w:val="single"/>
        </w:rPr>
        <w:t>, sino informar a los consumidores, con carácter previo, de las condiciones en que se ha fabricado un determinado producto para que el ciudadano obre en consecuencia.</w:t>
      </w:r>
    </w:p>
    <w:p w:rsidR="00737DC2" w:rsidRPr="00AD77A5" w:rsidRDefault="00737DC2" w:rsidP="00737DC2">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Entre otras razones, porque la política de precios bajos les afecta directamente. Se estrechan los márgenes comerciales y, como consecuencia de ello, también bajan los salarios, arrastrados por</w:t>
      </w:r>
      <w:r>
        <w:rPr>
          <w:rFonts w:ascii="Times New Roman" w:hAnsi="Times New Roman" w:cs="Times New Roman"/>
          <w:color w:val="FF0000"/>
          <w:sz w:val="24"/>
          <w:szCs w:val="24"/>
          <w:u w:val="single"/>
        </w:rPr>
        <w:t xml:space="preserve"> empresas especializadas en el “low cost”</w:t>
      </w:r>
      <w:r w:rsidRPr="00AD77A5">
        <w:rPr>
          <w:rFonts w:ascii="Times New Roman" w:hAnsi="Times New Roman" w:cs="Times New Roman"/>
          <w:color w:val="FF0000"/>
          <w:sz w:val="24"/>
          <w:szCs w:val="24"/>
          <w:u w:val="single"/>
        </w:rPr>
        <w:t xml:space="preserve"> y no en la innovación. Aparece el precariado. Una nueva clase social emergente que, sin embargo, se justifica mediante la ilusión de un determinado estatus social vinculado al consumo (los Black Fridays). Florecen el consumismo y sus efectos devastadores sobre el clima. Un estudio de la Universidad Autónoma de Barcelona llegó a concluir que el río Ebro vierte anualmente al Mediterráneo 2.200 millones de microplásticos, de los que el 70% aparece en fibras sintéticas, y cuya erradicación cuesta enormes recursos públicos.</w:t>
      </w:r>
    </w:p>
    <w:p w:rsidR="00737DC2" w:rsidRPr="001F4B28" w:rsidRDefault="00737DC2" w:rsidP="00737DC2">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Degradación ambiental</w:t>
      </w:r>
    </w:p>
    <w:p w:rsidR="00737DC2" w:rsidRPr="00AD77A5" w:rsidRDefault="00737DC2" w:rsidP="00737DC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Un estudio publicado por “The Guardian”</w:t>
      </w:r>
      <w:r w:rsidRPr="001F4B28">
        <w:rPr>
          <w:rFonts w:ascii="Times New Roman" w:hAnsi="Times New Roman" w:cs="Times New Roman"/>
          <w:sz w:val="24"/>
          <w:szCs w:val="24"/>
        </w:rPr>
        <w:t>, realizado por el Parlamento británico en rela</w:t>
      </w:r>
      <w:r>
        <w:rPr>
          <w:rFonts w:ascii="Times New Roman" w:hAnsi="Times New Roman" w:cs="Times New Roman"/>
          <w:sz w:val="24"/>
          <w:szCs w:val="24"/>
        </w:rPr>
        <w:t>ción a la industria de la moda -</w:t>
      </w:r>
      <w:r w:rsidRPr="001F4B28">
        <w:rPr>
          <w:rFonts w:ascii="Times New Roman" w:hAnsi="Times New Roman" w:cs="Times New Roman"/>
          <w:sz w:val="24"/>
          <w:szCs w:val="24"/>
        </w:rPr>
        <w:t xml:space="preserve">en particular, por </w:t>
      </w:r>
      <w:r w:rsidRPr="00AD77A5">
        <w:rPr>
          <w:rFonts w:ascii="Times New Roman" w:hAnsi="Times New Roman" w:cs="Times New Roman"/>
          <w:sz w:val="24"/>
          <w:szCs w:val="24"/>
          <w:u w:val="single"/>
        </w:rPr>
        <w:t>los nocivos efectos que s</w:t>
      </w:r>
      <w:r>
        <w:rPr>
          <w:rFonts w:ascii="Times New Roman" w:hAnsi="Times New Roman" w:cs="Times New Roman"/>
          <w:sz w:val="24"/>
          <w:szCs w:val="24"/>
          <w:u w:val="single"/>
        </w:rPr>
        <w:t>upone la llamada “fast fashion”-</w:t>
      </w:r>
      <w:r w:rsidRPr="00AD77A5">
        <w:rPr>
          <w:rFonts w:ascii="Times New Roman" w:hAnsi="Times New Roman" w:cs="Times New Roman"/>
          <w:sz w:val="24"/>
          <w:szCs w:val="24"/>
          <w:u w:val="single"/>
        </w:rPr>
        <w:t>, estimaba que, en términos de degradación ambiental, la industria textil generaba 1.200 millones de toneladas de CO2 al año, más que la aviación internacional y el transporte marítimo juntos, consume volúmenes de agua del tamaño de un gran lago y crea productos químicos y contaminación de plásticos: hasta el 35% de los microplásticos encontrados en el océano proviene de ropa sintética.</w:t>
      </w:r>
    </w:p>
    <w:p w:rsidR="00737DC2" w:rsidRPr="00AD77A5" w:rsidRDefault="00737DC2" w:rsidP="00737DC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“low cost”</w:t>
      </w:r>
      <w:r w:rsidRPr="00AD77A5">
        <w:rPr>
          <w:rFonts w:ascii="Times New Roman" w:hAnsi="Times New Roman" w:cs="Times New Roman"/>
          <w:color w:val="FF0000"/>
          <w:sz w:val="24"/>
          <w:szCs w:val="24"/>
          <w:u w:val="single"/>
        </w:rPr>
        <w:t xml:space="preserve"> en la aviación, como se ha dicho, vuelve a ser el mejor ejemplo. Pilotos, azafatas y auxiliares de vuelo cobran menos que hace 10-15 o 20 años, pese al 'boom' del turismo. Ahí, al menos, han bajado los precios, pero no en todos los casos.</w:t>
      </w:r>
    </w:p>
    <w:p w:rsidR="00737DC2" w:rsidRPr="001F4B28" w:rsidRDefault="00737DC2" w:rsidP="00737DC2">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lastRenderedPageBreak/>
        <w:t>La vivienda, las tasas, los impuestos municipales y hasta las multas, también el transporte público, son inelásticos a la caída de los salarios, lo que hace que su coste real para el consumidor-ciudadano sea cada vez más elevado. También las deudas cuesta más pagarlas si los salarios empequeñecen en la medida que se abaratan los productos</w:t>
      </w:r>
      <w:r w:rsidRPr="001F4B28">
        <w:rPr>
          <w:rFonts w:ascii="Times New Roman" w:hAnsi="Times New Roman" w:cs="Times New Roman"/>
          <w:sz w:val="24"/>
          <w:szCs w:val="24"/>
        </w:rPr>
        <w:t>. Según CaixaBank Research, en España, el peso de la clase media se ha reducido unos 3,7 puntos porcentuales en tres décadas, mientras que el de las clases bajas crecía en la misma proporción. Aun así, la clase media todavía representa el</w:t>
      </w:r>
      <w:r>
        <w:rPr>
          <w:rFonts w:ascii="Times New Roman" w:hAnsi="Times New Roman" w:cs="Times New Roman"/>
          <w:sz w:val="24"/>
          <w:szCs w:val="24"/>
        </w:rPr>
        <w:t xml:space="preserve"> 59,3% de la población en 2017.</w:t>
      </w:r>
    </w:p>
    <w:p w:rsidR="00737DC2" w:rsidRPr="00C761C4" w:rsidRDefault="00737DC2" w:rsidP="00737DC2">
      <w:pPr>
        <w:spacing w:line="240" w:lineRule="auto"/>
        <w:jc w:val="both"/>
        <w:rPr>
          <w:rFonts w:ascii="Times New Roman" w:hAnsi="Times New Roman" w:cs="Times New Roman"/>
          <w:color w:val="FF0000"/>
          <w:sz w:val="24"/>
          <w:szCs w:val="24"/>
          <w:u w:val="single"/>
        </w:rPr>
      </w:pPr>
      <w:r w:rsidRPr="00C761C4">
        <w:rPr>
          <w:rFonts w:ascii="Times New Roman" w:hAnsi="Times New Roman" w:cs="Times New Roman"/>
          <w:color w:val="FF0000"/>
          <w:sz w:val="24"/>
          <w:szCs w:val="24"/>
          <w:u w:val="single"/>
        </w:rPr>
        <w:t>De esta manera</w:t>
      </w:r>
      <w:r>
        <w:rPr>
          <w:rFonts w:ascii="Times New Roman" w:hAnsi="Times New Roman" w:cs="Times New Roman"/>
          <w:color w:val="FF0000"/>
          <w:sz w:val="24"/>
          <w:szCs w:val="24"/>
          <w:u w:val="single"/>
        </w:rPr>
        <w:t>, aparece una nueva cohorte de “pudientes”</w:t>
      </w:r>
      <w:r w:rsidRPr="00C761C4">
        <w:rPr>
          <w:rFonts w:ascii="Times New Roman" w:hAnsi="Times New Roman" w:cs="Times New Roman"/>
          <w:color w:val="FF0000"/>
          <w:sz w:val="24"/>
          <w:szCs w:val="24"/>
          <w:u w:val="single"/>
        </w:rPr>
        <w:t xml:space="preserve"> (funcionarios, pensionistas, directivos o rentistas) para quienes viajar o comer es más barato, ya que sus rentas son inelásticas al estar aseguradas. Por el contrario, quienes están expuestos </w:t>
      </w:r>
      <w:r>
        <w:rPr>
          <w:rFonts w:ascii="Times New Roman" w:hAnsi="Times New Roman" w:cs="Times New Roman"/>
          <w:color w:val="FF0000"/>
          <w:sz w:val="24"/>
          <w:szCs w:val="24"/>
          <w:u w:val="single"/>
        </w:rPr>
        <w:t>al mercado sufren el rigor del “low cost”</w:t>
      </w:r>
      <w:r w:rsidRPr="00C761C4">
        <w:rPr>
          <w:rFonts w:ascii="Times New Roman" w:hAnsi="Times New Roman" w:cs="Times New Roman"/>
          <w:color w:val="FF0000"/>
          <w:sz w:val="24"/>
          <w:szCs w:val="24"/>
          <w:u w:val="single"/>
        </w:rPr>
        <w:t>. Su sueldo baja en la misma medida que se reducen los precios. En definitiva, una especie de nueva estratificación social, pero esta vez basada en los precios. Sobre todo, en un contexto de ensanchamiento de la desigualdad de renta.</w:t>
      </w:r>
    </w:p>
    <w:p w:rsidR="00737DC2" w:rsidRDefault="00737DC2" w:rsidP="00737DC2">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Y es una evidencia que, a medida que aumenta la concentración de ingresos en la parte superior de la pirámide, el comercio minorista general sufre más. Simplemente, porque las personas de altos ingresos, la nueva aristocracia económica, ahorran una parte mucho mayor de su patrimonio que quienes se encuentran en la parte baja. Y son estos, precisamente, los más propensas a comprar en los comercios minoristas. En definitiva, una pescadilla que se muerde la cola. Lo barato, a veces, sale caro, que se decía antes.</w:t>
      </w:r>
    </w:p>
    <w:p w:rsidR="00737DC2" w:rsidRDefault="00737DC2" w:rsidP="00737DC2">
      <w:pPr>
        <w:pStyle w:val="NormalWeb"/>
        <w:shd w:val="clear" w:color="auto" w:fill="FFFFFF"/>
        <w:spacing w:after="0"/>
        <w:jc w:val="both"/>
        <w:textAlignment w:val="baseline"/>
      </w:pPr>
      <w:r>
        <w:t xml:space="preserve">- </w:t>
      </w:r>
      <w:r w:rsidRPr="00D73FFD">
        <w:rPr>
          <w:u w:val="single"/>
        </w:rPr>
        <w:t>Mango, Nike, Apple... por qué las empresas</w:t>
      </w:r>
      <w:r>
        <w:rPr>
          <w:u w:val="single"/>
        </w:rPr>
        <w:t xml:space="preserve"> cierran sus fábricas chinas y “</w:t>
      </w:r>
      <w:r w:rsidRPr="00D73FFD">
        <w:rPr>
          <w:u w:val="single"/>
        </w:rPr>
        <w:t>vuelven a c</w:t>
      </w:r>
      <w:r>
        <w:rPr>
          <w:u w:val="single"/>
        </w:rPr>
        <w:t>asa”</w:t>
      </w:r>
      <w:r>
        <w:t xml:space="preserve"> (El Confidencial - </w:t>
      </w:r>
      <w:r w:rsidRPr="00D73FFD">
        <w:rPr>
          <w:b/>
        </w:rPr>
        <w:t>23/2/20</w:t>
      </w:r>
      <w:r>
        <w:t>)</w:t>
      </w:r>
    </w:p>
    <w:p w:rsidR="00737DC2" w:rsidRPr="005E28FC" w:rsidRDefault="00737DC2" w:rsidP="00737DC2">
      <w:pPr>
        <w:pStyle w:val="NormalWeb"/>
        <w:shd w:val="clear" w:color="auto" w:fill="FFFFFF"/>
        <w:spacing w:after="0"/>
        <w:jc w:val="both"/>
        <w:textAlignment w:val="baseline"/>
        <w:rPr>
          <w:color w:val="FF0000"/>
        </w:rPr>
      </w:pPr>
      <w:r w:rsidRPr="005E28FC">
        <w:rPr>
          <w:color w:val="FF0000"/>
        </w:rPr>
        <w:t>Varios informes muestran que las empresas que se fueron a producir a Asia por sus costes ahora vuelven, no solo por el clima arancelario de Trump, sino porque algo está cambiando</w:t>
      </w:r>
    </w:p>
    <w:p w:rsidR="00737DC2" w:rsidRDefault="00737DC2" w:rsidP="00737DC2">
      <w:pPr>
        <w:pStyle w:val="NormalWeb"/>
        <w:shd w:val="clear" w:color="auto" w:fill="FFFFFF"/>
        <w:spacing w:after="0"/>
        <w:jc w:val="both"/>
        <w:textAlignment w:val="baseline"/>
      </w:pPr>
      <w:r>
        <w:t>(Por A. Moreno)</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t>El mundo en el que la única alternativa para las empresas manufactureras era llevar sus fábricas a China y al sureste asiático es algo del pasado. Está cobrando cada vez má</w:t>
      </w:r>
      <w:r>
        <w:rPr>
          <w:color w:val="FF0000"/>
          <w:u w:val="single"/>
        </w:rPr>
        <w:t>s fuerza la opción opuesta: el “reshoring”</w:t>
      </w:r>
      <w:r w:rsidRPr="005E28FC">
        <w:rPr>
          <w:color w:val="FF0000"/>
          <w:u w:val="single"/>
        </w:rPr>
        <w:t xml:space="preserve"> o relocalización, por el que estas mismas compañías repatrían parte o toda su producción a sus países originarios o a zonas más cercanas. Según señala un informe de Bank of America Merrill Lynch, un 83% de las empresas de EEUU tienen planes de relocalización.</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t>Sin embargo, no se trata de un fenómeno exclusivamente americano. En los últimos 3 años 153 empresas han retornado a los Estados Unidos, mientras que 208 han hecho lo propio en la Unión Europea. La eurozona, a diferencia de EEUU, no está tan influenciada por las guerras comerciales y medidas proteccionistas que emprende la Casa Blanca desde la llegada de Donald Trump.</w:t>
      </w:r>
    </w:p>
    <w:p w:rsidR="00737DC2" w:rsidRPr="005E28FC" w:rsidRDefault="00737DC2" w:rsidP="00737DC2">
      <w:pPr>
        <w:pStyle w:val="NormalWeb"/>
        <w:shd w:val="clear" w:color="auto" w:fill="FFFFFF"/>
        <w:spacing w:after="0"/>
        <w:jc w:val="both"/>
        <w:textAlignment w:val="baseline"/>
        <w:rPr>
          <w:u w:val="single"/>
        </w:rPr>
      </w:pPr>
      <w:r w:rsidRPr="005E28FC">
        <w:rPr>
          <w:u w:val="single"/>
        </w:rPr>
        <w:t>Una de las mayores consignas que el líder republicano abanderó en la campaña electoral es detener la marcha de empresas a países como México o China.</w:t>
      </w:r>
      <w:r>
        <w:t xml:space="preserve"> Entre otras cosas, Ford y General Motors cancelaron inversiones en el vecino del sur ante la amenaza de impuestos a modo de castigo desde el Gobierno de EEUU. </w:t>
      </w:r>
      <w:r w:rsidRPr="005E28FC">
        <w:rPr>
          <w:u w:val="single"/>
        </w:rPr>
        <w:t>Desde entonces, las empresas prestan más atención y se cuidan mucho de llevar a cabo un proceso de deslocalización. Según el informe del banco americano, esta tendencia proteccionista estaría contagiando al mundo.</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lastRenderedPageBreak/>
        <w:t>Sin embargo, un informe de la EAE Business Schoo</w:t>
      </w:r>
      <w:r>
        <w:rPr>
          <w:color w:val="FF0000"/>
          <w:u w:val="single"/>
        </w:rPr>
        <w:t>l justifica este movimiento de “repatriación”</w:t>
      </w:r>
      <w:r w:rsidRPr="005E28FC">
        <w:rPr>
          <w:color w:val="FF0000"/>
          <w:u w:val="single"/>
        </w:rPr>
        <w:t xml:space="preserve"> de la producción con dos motivos: los costes, especialmente el hecho de que los gastos salariales emergentes han subido y que los propios clientes de estas empresas les piden que hagan volver sus industrias para mejorar sus servicios.</w:t>
      </w:r>
    </w:p>
    <w:p w:rsidR="00737DC2" w:rsidRDefault="00737DC2" w:rsidP="00737DC2">
      <w:pPr>
        <w:pStyle w:val="NormalWeb"/>
        <w:shd w:val="clear" w:color="auto" w:fill="FFFFFF"/>
        <w:spacing w:after="0"/>
        <w:jc w:val="both"/>
        <w:textAlignment w:val="baseline"/>
      </w:pPr>
      <w:r>
        <w:t>Mango, Orbea… los casos españoles</w:t>
      </w:r>
    </w:p>
    <w:p w:rsidR="00737DC2" w:rsidRDefault="00737DC2" w:rsidP="00737DC2">
      <w:pPr>
        <w:pStyle w:val="NormalWeb"/>
        <w:shd w:val="clear" w:color="auto" w:fill="FFFFFF"/>
        <w:spacing w:after="0"/>
        <w:jc w:val="both"/>
        <w:textAlignment w:val="baseline"/>
      </w:pPr>
      <w:r w:rsidRPr="005E28FC">
        <w:rPr>
          <w:color w:val="FF0000"/>
          <w:u w:val="single"/>
        </w:rPr>
        <w:t>Rei</w:t>
      </w:r>
      <w:r>
        <w:rPr>
          <w:color w:val="FF0000"/>
          <w:u w:val="single"/>
        </w:rPr>
        <w:t>no Unido y Francia lideran el ra</w:t>
      </w:r>
      <w:r w:rsidRPr="005E28FC">
        <w:rPr>
          <w:color w:val="FF0000"/>
          <w:u w:val="single"/>
        </w:rPr>
        <w:t>nking europeo de relocalizaciones</w:t>
      </w:r>
      <w:r>
        <w:t>. España está más rezagada. De las más de 200 empresas europeas que han relocalizado sus industrias hay seis españolas: Mango, Orbea, Dicarcono, Berria Bike y NBI Bearings Europe y también incluyen el caso de la Brava Beer, que aunque aún no lo ha hecho, afirma que está buscando fórmulas económicas para traer su producción a España. Estas compañías, en su mayoría, afirman que han emprendido este proceso para satisfacer a sus clientes, que piden más cercanía de la producción y, en segundo lugar, por la subida de los costes de sus factorías en Asia.</w:t>
      </w:r>
    </w:p>
    <w:p w:rsidR="00737DC2" w:rsidRDefault="00737DC2" w:rsidP="00737DC2">
      <w:pPr>
        <w:pStyle w:val="NormalWeb"/>
        <w:shd w:val="clear" w:color="auto" w:fill="FFFFFF"/>
        <w:spacing w:after="0"/>
        <w:jc w:val="both"/>
        <w:textAlignment w:val="baseline"/>
      </w:pPr>
      <w:r>
        <w:t>El caso de Mango el 40% de sus fábricas está en España o países cercanos mientras que hace tan solo 3 años esta cifra era mucho menor. En 2015 sus industrias en proximidad no llegaban al 25% del total. A pesar de ello, la mayoría de las empresas de proximidad se sitúan en Marruecos y Turquía. En los dos países suman 379 fábricas, mientras que en toda Europa tienen 97.</w:t>
      </w:r>
    </w:p>
    <w:p w:rsidR="00737DC2" w:rsidRDefault="00737DC2" w:rsidP="00737DC2">
      <w:pPr>
        <w:pStyle w:val="NormalWeb"/>
        <w:shd w:val="clear" w:color="auto" w:fill="FFFFFF"/>
        <w:spacing w:after="0"/>
        <w:jc w:val="both"/>
        <w:textAlignment w:val="baseline"/>
      </w:pPr>
      <w:r>
        <w:rPr>
          <w:noProof/>
          <w:lang w:val="en-GB" w:eastAsia="zh-CN"/>
        </w:rPr>
        <w:drawing>
          <wp:inline distT="0" distB="0" distL="0" distR="0">
            <wp:extent cx="5726371" cy="3124200"/>
            <wp:effectExtent l="0" t="0" r="8255" b="0"/>
            <wp:docPr id="218" name="Imagen 166" descr="Mapa de las fábricas de Mango en el mundo al cierre d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as fábricas de Mango en el mundo al cierre de 2018"/>
                    <pic:cNvPicPr>
                      <a:picLocks noChangeAspect="1" noChangeArrowheads="1"/>
                    </pic:cNvPicPr>
                  </pic:nvPicPr>
                  <pic:blipFill>
                    <a:blip r:embed="rId3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27004"/>
                    </a:xfrm>
                    <a:prstGeom prst="rect">
                      <a:avLst/>
                    </a:prstGeom>
                    <a:noFill/>
                    <a:ln>
                      <a:noFill/>
                    </a:ln>
                  </pic:spPr>
                </pic:pic>
              </a:graphicData>
            </a:graphic>
          </wp:inline>
        </w:drawing>
      </w:r>
    </w:p>
    <w:p w:rsidR="00737DC2" w:rsidRDefault="00737DC2" w:rsidP="00737DC2">
      <w:pPr>
        <w:pStyle w:val="NormalWeb"/>
        <w:shd w:val="clear" w:color="auto" w:fill="FFFFFF"/>
        <w:spacing w:after="0"/>
        <w:jc w:val="both"/>
        <w:textAlignment w:val="baseline"/>
      </w:pPr>
      <w:r>
        <w:t>Desde la compañía explican a El Confidencial que sostuvieron esta ampliación en zonas próximas porque “aunque la capacidad de producción no alcanza los niveles de países asiáticos ni la oferta de productos es tan amplia y versátil”, a cambio “permite una respuesta más ágil en todo el proceso productivo así como facilidades en la distribución logística”.</w:t>
      </w:r>
    </w:p>
    <w:p w:rsidR="00737DC2" w:rsidRDefault="00737DC2" w:rsidP="00737DC2">
      <w:pPr>
        <w:pStyle w:val="NormalWeb"/>
        <w:shd w:val="clear" w:color="auto" w:fill="FFFFFF"/>
        <w:spacing w:after="0"/>
        <w:jc w:val="both"/>
        <w:textAlignment w:val="baseline"/>
      </w:pPr>
      <w:r>
        <w:t>Orbea, por su parte, también ha traído algunas de sus plantas a España. Llevó a cabo esta iniciativa entre 2014 y 2015. Según la propia compañía, el motivo fundamental sería “mejorar nuestros procesos de fabricación”; en concreto, “mejorar la personalización del producto y la cercanía al mercado”.</w:t>
      </w:r>
    </w:p>
    <w:p w:rsidR="00737DC2" w:rsidRDefault="00737DC2" w:rsidP="00737DC2">
      <w:pPr>
        <w:pStyle w:val="NormalWeb"/>
        <w:shd w:val="clear" w:color="auto" w:fill="FFFFFF"/>
        <w:spacing w:after="0"/>
        <w:jc w:val="both"/>
        <w:textAlignment w:val="baseline"/>
      </w:pPr>
      <w:r>
        <w:lastRenderedPageBreak/>
        <w:t>A pesar de ello, afirman que “no creemos que el consumidor valore dónde se fabrica el producto final". Sin embargo, creen que es más fácil aportar valor desde la cercanía que teniendo en el otro extremo del mundo tus fábricas”.</w:t>
      </w:r>
    </w:p>
    <w:p w:rsidR="00737DC2" w:rsidRDefault="00737DC2" w:rsidP="00737DC2">
      <w:pPr>
        <w:pStyle w:val="NormalWeb"/>
        <w:shd w:val="clear" w:color="auto" w:fill="FFFFFF"/>
        <w:spacing w:after="0"/>
        <w:jc w:val="both"/>
        <w:textAlignment w:val="baseline"/>
      </w:pPr>
      <w:r>
        <w:t>Otra de las compañías que quieren “volver a casa” es la Brava Beer. Esta pequeña cervecera forma parte del estudio pero aún no ha logrado trasladar su producción. Sin embargo, según comenta a El Confidencial, está negociando una ronda de financiación en la que este será uno de los más importantes objetivos.</w:t>
      </w:r>
    </w:p>
    <w:p w:rsidR="00737DC2" w:rsidRDefault="00737DC2" w:rsidP="00737DC2">
      <w:pPr>
        <w:pStyle w:val="NormalWeb"/>
        <w:shd w:val="clear" w:color="auto" w:fill="FFFFFF"/>
        <w:spacing w:after="0"/>
        <w:jc w:val="both"/>
        <w:textAlignment w:val="baseline"/>
      </w:pPr>
      <w:r>
        <w:t>Desde la empresa explican que en su momento eligieron elaborar sus cervezas en la República Checa, país con una tradición muy importante en el sector. Uno de los motivos más importantes era la reducción de costes, sin embargo, el estilo de cervezas que realiza la compañía se llama “Pilsen”. Textualmente, la idea era “aprender de los mejores”. Ahora creen que “necesitamos más control de la cadena de producción” que pase por ser “más dinámico” que, “aunque cueste más”, es lo que le pide más el mercado a día de hoy.</w:t>
      </w:r>
    </w:p>
    <w:p w:rsidR="00737DC2" w:rsidRDefault="00737DC2" w:rsidP="00737DC2">
      <w:pPr>
        <w:pStyle w:val="NormalWeb"/>
        <w:shd w:val="clear" w:color="auto" w:fill="FFFFFF"/>
        <w:spacing w:after="0"/>
        <w:jc w:val="both"/>
        <w:textAlignment w:val="baseline"/>
      </w:pPr>
      <w:r>
        <w:t>Nike y Apple vuelven a casa por los robots</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t>Firmas del tamaño de Adidas, General Motors, Nike, Apple o Caterpillar también están emprendiendo procesos de relocalización. El informe de Bank of America afirma que el 80% de las empresas tienen planes para llevar a cabo este proceso y evaluar resultados entre 2021 y 2022.</w:t>
      </w:r>
    </w:p>
    <w:p w:rsidR="00737DC2" w:rsidRPr="005E28FC" w:rsidRDefault="00737DC2" w:rsidP="00737DC2">
      <w:pPr>
        <w:pStyle w:val="NormalWeb"/>
        <w:shd w:val="clear" w:color="auto" w:fill="FFFFFF"/>
        <w:spacing w:after="0"/>
        <w:jc w:val="both"/>
        <w:textAlignment w:val="baseline"/>
        <w:rPr>
          <w:b/>
          <w:color w:val="FF0000"/>
          <w:u w:val="single"/>
        </w:rPr>
      </w:pPr>
      <w:r w:rsidRPr="005E28FC">
        <w:rPr>
          <w:b/>
          <w:color w:val="FF0000"/>
          <w:u w:val="single"/>
        </w:rPr>
        <w:t>Además de los ya antes mencionados, los motivos que destacan para el caso americano son los costes y, especialmente, la mayor accesibilidad de la robotización. Con una producción automatizada los costes de hacerlos en China, Vietnam, Etiopía o Noruega son los mismos por lo que ¿para qué llevarse las fábricas fuera?</w:t>
      </w:r>
    </w:p>
    <w:p w:rsidR="00737DC2" w:rsidRPr="005E28FC" w:rsidRDefault="00737DC2" w:rsidP="00737DC2">
      <w:pPr>
        <w:pStyle w:val="NormalWeb"/>
        <w:shd w:val="clear" w:color="auto" w:fill="FFFFFF"/>
        <w:spacing w:after="0"/>
        <w:jc w:val="both"/>
        <w:textAlignment w:val="baseline"/>
        <w:rPr>
          <w:u w:val="single"/>
        </w:rPr>
      </w:pPr>
      <w:r w:rsidRPr="005E28FC">
        <w:rPr>
          <w:u w:val="single"/>
        </w:rPr>
        <w:t xml:space="preserve">Desde el banco americano esperan que el número de robots instalados en la cadena mundial de producción se duplique para </w:t>
      </w:r>
      <w:r>
        <w:rPr>
          <w:u w:val="single"/>
        </w:rPr>
        <w:t>2025 llegando a los 5 millones “</w:t>
      </w:r>
      <w:r w:rsidRPr="005E28FC">
        <w:rPr>
          <w:u w:val="single"/>
        </w:rPr>
        <w:t>lo que ya no hace t</w:t>
      </w:r>
      <w:r>
        <w:rPr>
          <w:u w:val="single"/>
        </w:rPr>
        <w:t>an atractiva la deslocalización”</w:t>
      </w:r>
      <w:r w:rsidRPr="005E28FC">
        <w:rPr>
          <w:u w:val="single"/>
        </w:rPr>
        <w:t>.</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t>Aunque el motivo fundamental por el que Estados Unidos estaría viviendo de</w:t>
      </w:r>
      <w:r>
        <w:rPr>
          <w:color w:val="FF0000"/>
          <w:u w:val="single"/>
        </w:rPr>
        <w:t xml:space="preserve"> forma especialmente activa el “</w:t>
      </w:r>
      <w:r w:rsidRPr="005E28FC">
        <w:rPr>
          <w:color w:val="FF0000"/>
          <w:u w:val="single"/>
        </w:rPr>
        <w:t>reshoring</w:t>
      </w:r>
      <w:r>
        <w:rPr>
          <w:color w:val="FF0000"/>
          <w:u w:val="single"/>
        </w:rPr>
        <w:t>” por “</w:t>
      </w:r>
      <w:r w:rsidRPr="005E28FC">
        <w:rPr>
          <w:color w:val="FF0000"/>
          <w:u w:val="single"/>
        </w:rPr>
        <w:t>la inseguridad mun</w:t>
      </w:r>
      <w:r>
        <w:rPr>
          <w:color w:val="FF0000"/>
          <w:u w:val="single"/>
        </w:rPr>
        <w:t>dial en aumento y los aranceles”</w:t>
      </w:r>
      <w:r w:rsidRPr="005E28FC">
        <w:rPr>
          <w:color w:val="FF0000"/>
          <w:u w:val="single"/>
        </w:rPr>
        <w:t>. Que vendrían apoyando esta el fin de uno de los mayores efectos de la globalización.</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t>Por su parte, indican que, en su opinión, e</w:t>
      </w:r>
      <w:r>
        <w:rPr>
          <w:color w:val="FF0000"/>
          <w:u w:val="single"/>
        </w:rPr>
        <w:t>stos movimientos y cambios son “tectónicos”</w:t>
      </w:r>
      <w:r w:rsidRPr="005E28FC">
        <w:rPr>
          <w:color w:val="FF0000"/>
          <w:u w:val="single"/>
        </w:rPr>
        <w:t>, es decir que se trata de</w:t>
      </w:r>
      <w:r>
        <w:rPr>
          <w:color w:val="FF0000"/>
          <w:u w:val="single"/>
        </w:rPr>
        <w:t xml:space="preserve"> “</w:t>
      </w:r>
      <w:r w:rsidRPr="005E28FC">
        <w:rPr>
          <w:color w:val="FF0000"/>
          <w:u w:val="single"/>
        </w:rPr>
        <w:t xml:space="preserve">avances lentos pero que serán persistentes </w:t>
      </w:r>
      <w:r>
        <w:rPr>
          <w:color w:val="FF0000"/>
          <w:u w:val="single"/>
        </w:rPr>
        <w:t>e importantes para las empresas”</w:t>
      </w:r>
      <w:r w:rsidRPr="005E28FC">
        <w:rPr>
          <w:color w:val="FF0000"/>
          <w:u w:val="single"/>
        </w:rPr>
        <w:t>.</w:t>
      </w:r>
    </w:p>
    <w:p w:rsidR="00737DC2" w:rsidRDefault="00737DC2" w:rsidP="00737DC2">
      <w:pPr>
        <w:pStyle w:val="NormalWeb"/>
        <w:shd w:val="clear" w:color="auto" w:fill="FFFFFF"/>
        <w:spacing w:after="0"/>
        <w:jc w:val="both"/>
        <w:textAlignment w:val="baseline"/>
      </w:pPr>
      <w:r>
        <w:t>Los chinos ahora cobran más</w:t>
      </w:r>
    </w:p>
    <w:p w:rsidR="00737DC2" w:rsidRPr="005E28FC" w:rsidRDefault="00737DC2" w:rsidP="00737DC2">
      <w:pPr>
        <w:pStyle w:val="NormalWeb"/>
        <w:shd w:val="clear" w:color="auto" w:fill="FFFFFF"/>
        <w:spacing w:after="0"/>
        <w:jc w:val="both"/>
        <w:textAlignment w:val="baseline"/>
        <w:rPr>
          <w:color w:val="FF0000"/>
          <w:u w:val="single"/>
        </w:rPr>
      </w:pPr>
      <w:r w:rsidRPr="005E28FC">
        <w:rPr>
          <w:color w:val="FF0000"/>
          <w:u w:val="single"/>
        </w:rPr>
        <w:t>Pero no hay que olvidar una de las causas más importantes: los chinos ya no cobran como antes. La que fuera la fábrica del mundo está empezando a avanzar hacia un modelo de economía más parecida a la de los países occidentales, en la que los salarios son más altos y hay una mayor calidad de vida.</w:t>
      </w:r>
    </w:p>
    <w:p w:rsidR="00737DC2" w:rsidRDefault="00737DC2" w:rsidP="00737DC2">
      <w:pPr>
        <w:pStyle w:val="NormalWeb"/>
        <w:shd w:val="clear" w:color="auto" w:fill="FFFFFF"/>
        <w:spacing w:after="0"/>
        <w:jc w:val="both"/>
        <w:textAlignment w:val="baseline"/>
      </w:pPr>
      <w:r>
        <w:t>Esto no solo está haciendo que empresas de países de la otra punta del mundo cierren sus puertas, sino que está provocando el éxodo de compañías asiáticas que están a en la misma puerta de Pekín.</w:t>
      </w:r>
    </w:p>
    <w:p w:rsidR="00737DC2" w:rsidRDefault="00737DC2" w:rsidP="00737DC2">
      <w:pPr>
        <w:pStyle w:val="NormalWeb"/>
        <w:shd w:val="clear" w:color="auto" w:fill="FFFFFF"/>
        <w:spacing w:after="0"/>
        <w:jc w:val="both"/>
        <w:textAlignment w:val="baseline"/>
        <w:rPr>
          <w:color w:val="FF0000"/>
          <w:u w:val="single"/>
        </w:rPr>
      </w:pPr>
      <w:r w:rsidRPr="005E28FC">
        <w:rPr>
          <w:color w:val="FF0000"/>
          <w:u w:val="single"/>
        </w:rPr>
        <w:lastRenderedPageBreak/>
        <w:t>Samsung (Corea) o Sony (Japón) decidieron durante 2019 mar</w:t>
      </w:r>
      <w:r>
        <w:rPr>
          <w:color w:val="FF0000"/>
          <w:u w:val="single"/>
        </w:rPr>
        <w:t>charse del país asegurando que “</w:t>
      </w:r>
      <w:r w:rsidRPr="005E28FC">
        <w:rPr>
          <w:color w:val="FF0000"/>
          <w:u w:val="single"/>
        </w:rPr>
        <w:t xml:space="preserve">el </w:t>
      </w:r>
      <w:r>
        <w:rPr>
          <w:color w:val="FF0000"/>
          <w:u w:val="single"/>
        </w:rPr>
        <w:t>aumento de los costes laborales”</w:t>
      </w:r>
      <w:r w:rsidRPr="005E28FC">
        <w:rPr>
          <w:color w:val="FF0000"/>
          <w:u w:val="single"/>
        </w:rPr>
        <w:t xml:space="preserve"> es la responsable de que cierren sus plantas allí y las abran en Vietnam y la India. También culpaban de su marcha a la desaceleración económica que sufre el país.</w:t>
      </w:r>
    </w:p>
    <w:p w:rsidR="00737DC2" w:rsidRPr="00563288"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1BE8">
        <w:rPr>
          <w:rFonts w:ascii="Times New Roman" w:hAnsi="Times New Roman" w:cs="Times New Roman"/>
          <w:sz w:val="24"/>
          <w:szCs w:val="24"/>
          <w:u w:val="single"/>
        </w:rPr>
        <w:t>El Chernóbil de China: un virus contra la globalización</w:t>
      </w:r>
      <w:r>
        <w:rPr>
          <w:rFonts w:ascii="Times New Roman" w:hAnsi="Times New Roman" w:cs="Times New Roman"/>
          <w:sz w:val="24"/>
          <w:szCs w:val="24"/>
        </w:rPr>
        <w:t xml:space="preserve"> (El Confidencial - </w:t>
      </w:r>
      <w:r w:rsidRPr="00521BE8">
        <w:rPr>
          <w:rFonts w:ascii="Times New Roman" w:hAnsi="Times New Roman" w:cs="Times New Roman"/>
          <w:b/>
          <w:sz w:val="24"/>
          <w:szCs w:val="24"/>
        </w:rPr>
        <w:t>1/3/20</w:t>
      </w:r>
      <w:r>
        <w:rPr>
          <w:rFonts w:ascii="Times New Roman" w:hAnsi="Times New Roman" w:cs="Times New Roman"/>
          <w:sz w:val="24"/>
          <w:szCs w:val="24"/>
        </w:rPr>
        <w:t>)</w:t>
      </w:r>
    </w:p>
    <w:p w:rsidR="00737DC2" w:rsidRPr="00B743B3" w:rsidRDefault="00737DC2" w:rsidP="00737DC2">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El COVID-19 es algo más que un virus. Es una amenaza a la globalización. Las cadenas globales de suministro empiezan a romperse. El coronavirus llega en el peor momento</w:t>
      </w:r>
    </w:p>
    <w:p w:rsidR="00737DC2" w:rsidRPr="00521BE8"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737DC2" w:rsidRDefault="00737DC2" w:rsidP="00737DC2">
      <w:pPr>
        <w:pStyle w:val="NormalWeb"/>
        <w:shd w:val="clear" w:color="auto" w:fill="FFFFFF"/>
        <w:spacing w:before="0" w:beforeAutospacing="0" w:after="0" w:afterAutospacing="0"/>
        <w:jc w:val="both"/>
        <w:textAlignment w:val="baseline"/>
      </w:pPr>
      <w:r w:rsidRPr="00AE22C8">
        <w:t>El </w:t>
      </w:r>
      <w:hyperlink r:id="rId309" w:history="1">
        <w:r w:rsidRPr="00CE3602">
          <w:rPr>
            <w:rStyle w:val="Hipervnculo"/>
            <w:rFonts w:eastAsiaTheme="majorEastAsia"/>
          </w:rPr>
          <w:t>relato</w:t>
        </w:r>
      </w:hyperlink>
      <w:r w:rsidRPr="00CE3602">
        <w:t> </w:t>
      </w:r>
      <w:r w:rsidRPr="00AE22C8">
        <w:t>más sobrio sobre las consecuencias de una pandemia, sin apenas literatura, lo escribió </w:t>
      </w:r>
      <w:r w:rsidRPr="00F31766">
        <w:rPr>
          <w:rStyle w:val="Textoennegrita"/>
          <w:rFonts w:eastAsiaTheme="majorEastAsia"/>
          <w:bdr w:val="none" w:sz="0" w:space="0" w:color="auto" w:frame="1"/>
        </w:rPr>
        <w:t>Daniel Defoe</w:t>
      </w:r>
      <w:r w:rsidRPr="00AE22C8">
        <w:t> a comienzos del siglo XVIII. En su </w:t>
      </w:r>
      <w:hyperlink r:id="rId310" w:anchor="/media/Archivo:Defoe_Journal_of_the_Plague_Year.jpg" w:history="1">
        <w:r w:rsidRPr="00F31766">
          <w:rPr>
            <w:rStyle w:val="Textoennegrita"/>
            <w:rFonts w:eastAsiaTheme="majorEastAsia"/>
            <w:bdr w:val="none" w:sz="0" w:space="0" w:color="auto" w:frame="1"/>
          </w:rPr>
          <w:t>Diario</w:t>
        </w:r>
      </w:hyperlink>
      <w:r w:rsidRPr="00F31766">
        <w:rPr>
          <w:rStyle w:val="Textoennegrita"/>
          <w:rFonts w:eastAsiaTheme="majorEastAsia"/>
          <w:bdr w:val="none" w:sz="0" w:space="0" w:color="auto" w:frame="1"/>
        </w:rPr>
        <w:t> del año de la peste</w:t>
      </w:r>
      <w:r w:rsidRPr="00AE22C8">
        <w:t>, que firmó con las iniciales H.F., narra con una precisión de cirujano cómo el contagio de la enfermedad fue conocido en Londres a través de la correspondencia entre comercian</w:t>
      </w:r>
      <w:r>
        <w:t>tes. Eran tiempos, dice Defoe, “</w:t>
      </w:r>
      <w:r w:rsidRPr="00AE22C8">
        <w:t>en los que carecíamos de periódicos impresos para divulgar</w:t>
      </w:r>
      <w:r w:rsidRPr="00AE22C8">
        <w:rPr>
          <w:rStyle w:val="Textoennegrita"/>
          <w:rFonts w:eastAsiaTheme="majorEastAsia"/>
          <w:bdr w:val="none" w:sz="0" w:space="0" w:color="auto" w:frame="1"/>
        </w:rPr>
        <w:t> </w:t>
      </w:r>
      <w:r w:rsidRPr="00F31766">
        <w:rPr>
          <w:rStyle w:val="Textoennegrita"/>
          <w:rFonts w:eastAsiaTheme="majorEastAsia"/>
          <w:bdr w:val="none" w:sz="0" w:space="0" w:color="auto" w:frame="1"/>
        </w:rPr>
        <w:t>rumores y noticias</w:t>
      </w:r>
      <w:r w:rsidRPr="00AE22C8">
        <w:rPr>
          <w:rStyle w:val="Textoennegrita"/>
          <w:rFonts w:eastAsiaTheme="majorEastAsia"/>
          <w:bdr w:val="none" w:sz="0" w:space="0" w:color="auto" w:frame="1"/>
        </w:rPr>
        <w:t> </w:t>
      </w:r>
      <w:r w:rsidRPr="00AE22C8">
        <w:t>de los hechos, o para embellecerlos por obra de la imaginación hu</w:t>
      </w:r>
      <w:r>
        <w:t>mana, como hoy se ve hacer”</w:t>
      </w:r>
      <w:r w:rsidRPr="00AE22C8">
        <w:t>. Nada nuevo bajo el sol. Defoe sabía de lo que hablaba. De hecho, se le considera el pionero en la prensa económica a través de sus </w:t>
      </w:r>
      <w:hyperlink r:id="rId311" w:history="1">
        <w:r w:rsidRPr="00CE3602">
          <w:rPr>
            <w:rStyle w:val="Hipervnculo"/>
            <w:rFonts w:eastAsiaTheme="majorEastAsia"/>
          </w:rPr>
          <w:t>artículos</w:t>
        </w:r>
      </w:hyperlink>
      <w:r w:rsidRPr="00CE3602">
        <w:t> </w:t>
      </w:r>
      <w:r w:rsidRPr="00AE22C8">
        <w:t>sobre el comercio.</w:t>
      </w:r>
    </w:p>
    <w:p w:rsidR="00737DC2" w:rsidRPr="00AE22C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AE22C8">
        <w:t>En aquel tiempo solo se sabía que la peste se había mostrado muy v</w:t>
      </w:r>
      <w:r>
        <w:t>iolenta en 1663, sobre todo en Á</w:t>
      </w:r>
      <w:r w:rsidRPr="00AE22C8">
        <w:t>msterdam y Rotterda</w:t>
      </w:r>
      <w:r>
        <w:t>m, adonde habría sido llevada, “según unos, de Italia”, dice Defoe, “</w:t>
      </w:r>
      <w:r w:rsidRPr="00AE22C8">
        <w:t xml:space="preserve">según otros, de Levante, entre las mercancías transportadas por la flota turca; otros decían </w:t>
      </w:r>
      <w:r>
        <w:t>que la habían traído de Candia (Creta)</w:t>
      </w:r>
      <w:r w:rsidRPr="00AE22C8">
        <w:t>, y otros que de Chipre. Pero no importaba de dónde había venido; todo el mundo coincidía en</w:t>
      </w:r>
      <w:r>
        <w:t xml:space="preserve"> que estaba otra vez en Holanda”</w:t>
      </w:r>
      <w:r w:rsidRPr="00AE22C8">
        <w:t>, contó el autor de </w:t>
      </w:r>
      <w:r w:rsidRPr="00CE3602">
        <w:rPr>
          <w:rStyle w:val="Textoennegrita"/>
          <w:rFonts w:eastAsiaTheme="majorEastAsia"/>
          <w:b w:val="0"/>
          <w:bdr w:val="none" w:sz="0" w:space="0" w:color="auto" w:frame="1"/>
        </w:rPr>
        <w:t>Robinson Crusoe</w:t>
      </w:r>
      <w:r>
        <w:t> hace casi trescientos años.</w:t>
      </w:r>
    </w:p>
    <w:p w:rsidR="00737DC2" w:rsidRPr="00AE22C8" w:rsidRDefault="00737DC2" w:rsidP="00737DC2">
      <w:pPr>
        <w:pStyle w:val="NormalWeb"/>
        <w:shd w:val="clear" w:color="auto" w:fill="FFFFFF"/>
        <w:spacing w:before="0" w:beforeAutospacing="0" w:after="0" w:afterAutospacing="0"/>
        <w:jc w:val="both"/>
        <w:textAlignment w:val="baseline"/>
      </w:pPr>
    </w:p>
    <w:p w:rsidR="00737DC2" w:rsidRPr="00CE3602" w:rsidRDefault="00737DC2" w:rsidP="00737DC2">
      <w:pPr>
        <w:pStyle w:val="NormalWeb"/>
        <w:shd w:val="clear" w:color="auto" w:fill="FFFFFF"/>
        <w:spacing w:before="0" w:beforeAutospacing="0" w:after="0" w:afterAutospacing="0"/>
        <w:jc w:val="both"/>
        <w:textAlignment w:val="baseline"/>
        <w:rPr>
          <w:b/>
        </w:rPr>
      </w:pPr>
      <w:r>
        <w:t xml:space="preserve">Hoy se sabe que el coronavirus </w:t>
      </w:r>
      <w:r w:rsidRPr="00AE22C8">
        <w:t>ha venido también de oriente. Concretamente, de la ciudad china de Wuhan, y, muy probablemente, de su imponente </w:t>
      </w:r>
      <w:hyperlink r:id="rId312" w:history="1">
        <w:r w:rsidRPr="00CE3602">
          <w:rPr>
            <w:rStyle w:val="Textoennegrita"/>
            <w:rFonts w:eastAsiaTheme="majorEastAsia"/>
            <w:b w:val="0"/>
            <w:bdr w:val="none" w:sz="0" w:space="0" w:color="auto" w:frame="1"/>
          </w:rPr>
          <w:t>mercado mayorista de mariscos</w:t>
        </w:r>
      </w:hyperlink>
      <w:r w:rsidRPr="00CE3602">
        <w:rPr>
          <w:b/>
        </w:rPr>
        <w:t>.</w:t>
      </w:r>
    </w:p>
    <w:p w:rsidR="00737DC2" w:rsidRPr="00AE22C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AE22C8">
        <w:t>El resultado es muy conocido, como lo han denominado algunos, China se enfrenta a su </w:t>
      </w:r>
      <w:r w:rsidRPr="00CE3602">
        <w:rPr>
          <w:rStyle w:val="Textoennegrita"/>
          <w:rFonts w:eastAsiaTheme="majorEastAsia"/>
          <w:b w:val="0"/>
          <w:bdr w:val="none" w:sz="0" w:space="0" w:color="auto" w:frame="1"/>
        </w:rPr>
        <w:t>Chernóbil</w:t>
      </w:r>
      <w:r w:rsidRPr="00AE22C8">
        <w:rPr>
          <w:rStyle w:val="Textoennegrita"/>
          <w:rFonts w:eastAsiaTheme="majorEastAsia"/>
          <w:bdr w:val="none" w:sz="0" w:space="0" w:color="auto" w:frame="1"/>
        </w:rPr>
        <w:t> </w:t>
      </w:r>
      <w:r w:rsidRPr="00AE22C8">
        <w:t>particular. Tanto en lo económico, por su impacto sobre el crecimiento del PIB, como en lo político, por la pérdida de </w:t>
      </w:r>
      <w:hyperlink r:id="rId313" w:history="1">
        <w:r w:rsidRPr="00CE3602">
          <w:rPr>
            <w:rStyle w:val="Hipervnculo"/>
            <w:rFonts w:eastAsiaTheme="majorEastAsia"/>
          </w:rPr>
          <w:t>credibilidad</w:t>
        </w:r>
      </w:hyperlink>
      <w:r w:rsidRPr="00CE3602">
        <w:t> </w:t>
      </w:r>
      <w:r w:rsidRPr="00AE22C8">
        <w:t>de la administración en términos de transparencia. Pero también por las graves consecuencias que tendrá el COVID-19 para medio mundo a través del contagio de las cadenas de aprovisionamiento de las empresas.</w:t>
      </w:r>
    </w:p>
    <w:p w:rsidR="00737DC2" w:rsidRPr="00AE22C8" w:rsidRDefault="00737DC2" w:rsidP="00737DC2">
      <w:pPr>
        <w:pStyle w:val="NormalWeb"/>
        <w:shd w:val="clear" w:color="auto" w:fill="FFFFFF"/>
        <w:spacing w:before="0" w:beforeAutospacing="0" w:after="0" w:afterAutospacing="0"/>
        <w:jc w:val="both"/>
        <w:textAlignment w:val="baseline"/>
      </w:pPr>
    </w:p>
    <w:p w:rsidR="00737DC2" w:rsidRPr="00AE22C8" w:rsidRDefault="00737DC2" w:rsidP="00737DC2">
      <w:pPr>
        <w:pStyle w:val="NormalWeb"/>
        <w:shd w:val="clear" w:color="auto" w:fill="FFFFFF"/>
        <w:spacing w:before="0" w:beforeAutospacing="0" w:after="0" w:afterAutospacing="0"/>
        <w:jc w:val="both"/>
        <w:textAlignment w:val="baseline"/>
      </w:pPr>
      <w:r w:rsidRPr="00AE22C8">
        <w:t>Las cadenas de suministro globales, como se sabe, son redes de producción que ensamblan productos utilizando partes fabricadas de todo el mundo (los llamados bienes intermedios). Hoy, nada menos que el 80% del comercio mundial está impulsado por estas cadenas de aprovisionamiento dirigidas, en su mayoría, por grandes corporaciones. De hecho, el comercio de </w:t>
      </w:r>
      <w:r w:rsidRPr="00CE3602">
        <w:rPr>
          <w:rStyle w:val="Textoennegrita"/>
          <w:rFonts w:eastAsiaTheme="majorEastAsia"/>
          <w:b w:val="0"/>
          <w:bdr w:val="none" w:sz="0" w:space="0" w:color="auto" w:frame="1"/>
        </w:rPr>
        <w:t>bienes intermedios</w:t>
      </w:r>
      <w:r w:rsidRPr="00AE22C8">
        <w:t> (los que sirven para fabricar productos) duplica en estos momentos el comercio de </w:t>
      </w:r>
      <w:r w:rsidRPr="00CE3602">
        <w:rPr>
          <w:rStyle w:val="Textoennegrita"/>
          <w:rFonts w:eastAsiaTheme="majorEastAsia"/>
          <w:b w:val="0"/>
          <w:bdr w:val="none" w:sz="0" w:space="0" w:color="auto" w:frame="1"/>
        </w:rPr>
        <w:t>bienes finales</w:t>
      </w:r>
      <w:r w:rsidRPr="00AE22C8">
        <w:t> y es especialmente importante en la fabricación avanzada, como los automóviles, cuyo peso en algunas economías, también en la española, es algo más que significativo. Como le sucede al turismo. Precisamente, dos de los tres sectores estratégicos de la economía española (el tercero es la industria agroalimentaria).</w:t>
      </w:r>
    </w:p>
    <w:p w:rsidR="00737DC2" w:rsidRPr="00AE22C8" w:rsidRDefault="00737DC2" w:rsidP="00737DC2">
      <w:pPr>
        <w:pStyle w:val="NormalWeb"/>
        <w:shd w:val="clear" w:color="auto" w:fill="FFFFFF"/>
        <w:spacing w:before="0" w:beforeAutospacing="0" w:after="0" w:afterAutospacing="0"/>
        <w:jc w:val="both"/>
        <w:textAlignment w:val="baseline"/>
      </w:pPr>
    </w:p>
    <w:p w:rsidR="00737DC2" w:rsidRDefault="00737DC2" w:rsidP="00737DC2">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val="en-GB" w:eastAsia="zh-CN"/>
        </w:rPr>
        <w:lastRenderedPageBreak/>
        <w:drawing>
          <wp:inline distT="0" distB="0" distL="0" distR="0">
            <wp:extent cx="5664200" cy="2489200"/>
            <wp:effectExtent l="0" t="0" r="0" b="6350"/>
            <wp:docPr id="219" name="Imagen 1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3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4200" cy="248920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0" w:afterAutospacing="0"/>
        <w:jc w:val="both"/>
        <w:textAlignment w:val="baseline"/>
      </w:pPr>
      <w:r>
        <w:t>Pasar factura</w:t>
      </w:r>
    </w:p>
    <w:p w:rsidR="00737DC2"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Es decir, el coronavirus pasa factura a la economía real, pero también a la financiera y ambas se retroalimentan, lo que explica que solo las cinco grandes tecnológicas americanas (Apple, Google y compañía) se hayan dejado por el camino en seis sesiones el equivalente a 700.000 millones de dólares de capitalización, lo que supone el 58% del PIB de España.</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 xml:space="preserve">Es verdad que Wall Street ha pulverizado en los últimos años récord tras récord y que hay razones para pensar en la existencia de una burbuja de valoración de los activos, pero no es menos cierto que </w:t>
      </w:r>
      <w:r w:rsidRPr="006562CF">
        <w:rPr>
          <w:color w:val="FF0000"/>
          <w:u w:val="single"/>
        </w:rPr>
        <w:t>hay razones económicas de peso para e</w:t>
      </w:r>
      <w:r>
        <w:rPr>
          <w:color w:val="FF0000"/>
          <w:u w:val="single"/>
        </w:rPr>
        <w:t>xplicar lo que está sucediendo -el viejo pánico bursátil-</w:t>
      </w:r>
      <w:r w:rsidRPr="006562CF">
        <w:rPr>
          <w:color w:val="FF0000"/>
          <w:u w:val="single"/>
        </w:rPr>
        <w:t xml:space="preserve"> más allá de la mera especulación</w:t>
      </w:r>
      <w:r w:rsidRPr="00521BE8">
        <w:t>.</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No se trata, por lo tanto, de una simple corrección técnica de los mercados. Como ha recordado </w:t>
      </w:r>
      <w:r w:rsidRPr="00CE3602">
        <w:rPr>
          <w:rStyle w:val="Textoennegrita"/>
          <w:rFonts w:eastAsiaTheme="majorEastAsia"/>
          <w:b w:val="0"/>
          <w:bdr w:val="none" w:sz="0" w:space="0" w:color="auto" w:frame="1"/>
        </w:rPr>
        <w:t>José Ramón Díez Guijarro</w:t>
      </w:r>
      <w:r w:rsidRPr="00521BE8">
        <w:t>, jefe de Bankia Research, el consumo de </w:t>
      </w:r>
      <w:r w:rsidRPr="00CC0A39">
        <w:rPr>
          <w:rStyle w:val="Textoennegrita"/>
          <w:rFonts w:eastAsiaTheme="majorEastAsia"/>
          <w:bdr w:val="none" w:sz="0" w:space="0" w:color="auto" w:frame="1"/>
        </w:rPr>
        <w:t>carbón</w:t>
      </w:r>
      <w:r w:rsidRPr="00521BE8">
        <w:t> en China se encuentra un 40% por debajo de los niveles del año pasado por estas fechas (y hay que tener en cuenta que el carbón </w:t>
      </w:r>
      <w:hyperlink r:id="rId315" w:history="1">
        <w:r w:rsidRPr="00CE3602">
          <w:rPr>
            <w:rStyle w:val="Hipervnculo"/>
            <w:rFonts w:eastAsiaTheme="majorEastAsia"/>
          </w:rPr>
          <w:t>representa</w:t>
        </w:r>
      </w:hyperlink>
      <w:r w:rsidRPr="00687F9F">
        <w:t> </w:t>
      </w:r>
      <w:r w:rsidRPr="00521BE8">
        <w:t>el 60% del consumo total de energía de China); la demanda de </w:t>
      </w:r>
      <w:r w:rsidRPr="006A0188">
        <w:rPr>
          <w:rStyle w:val="Textoennegrita"/>
          <w:rFonts w:eastAsiaTheme="majorEastAsia"/>
          <w:bdr w:val="none" w:sz="0" w:space="0" w:color="auto" w:frame="1"/>
        </w:rPr>
        <w:t>acero</w:t>
      </w:r>
      <w:r w:rsidRPr="00521BE8">
        <w:t> también se ha desplomado en una proporción parecida; mientras que, al mismo tiempo, se estima que solo entre un 50% y un 80% de los trabajadores es</w:t>
      </w:r>
      <w:r>
        <w:t>tá físicamente en sus puestos. “Es decir”, concluye, “</w:t>
      </w:r>
      <w:r w:rsidRPr="00521BE8">
        <w:t>el mes de febrero ha supuesto una </w:t>
      </w:r>
      <w:r w:rsidRPr="00F31766">
        <w:rPr>
          <w:rStyle w:val="Textoennegrita"/>
          <w:rFonts w:eastAsiaTheme="majorEastAsia"/>
          <w:bdr w:val="none" w:sz="0" w:space="0" w:color="auto" w:frame="1"/>
        </w:rPr>
        <w:t>disrupción total</w:t>
      </w:r>
      <w:r w:rsidRPr="00521BE8">
        <w:t> en l</w:t>
      </w:r>
      <w:r>
        <w:t>a cadena de producción del país”</w:t>
      </w:r>
      <w:r w:rsidRPr="00521BE8">
        <w:t>.</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Pr>
          <w:u w:val="single"/>
        </w:rPr>
        <w:t>Y en un mundo globalizado -es una obviedad-</w:t>
      </w:r>
      <w:r w:rsidRPr="006562CF">
        <w:rPr>
          <w:u w:val="single"/>
        </w:rPr>
        <w:t>, lo que pasa en China se traslada con la misma rapidez que el virus al resto del planeta</w:t>
      </w:r>
      <w:r w:rsidRPr="00521BE8">
        <w:t>. La patronal de estiba y desestiba de los puertos españoles ha estimado, inicialmente, que, la actividad en algunas instalaciones de contenedores caerá hasta el 30%, y lo que es más preo</w:t>
      </w:r>
      <w:r>
        <w:t>cupante, esa cifra se puede ir “acrecentando”</w:t>
      </w:r>
      <w:r w:rsidRPr="00521BE8">
        <w:t xml:space="preserve"> en las próximas semanas.</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 xml:space="preserve">No en vano, según datos del Puertos del Estado, 8,7 millones de toneladas con origen o destino hacia China utilizan los puertos españoles, principalmente los de Barcelona, Valencia y Algeciras. </w:t>
      </w:r>
      <w:r w:rsidRPr="006562CF">
        <w:rPr>
          <w:u w:val="single"/>
        </w:rPr>
        <w:t>Y hay que tener en cuenta que lo peor puede estar por venir</w:t>
      </w:r>
      <w:r w:rsidRPr="00521BE8">
        <w:t>. Según Anesco, la paralización de los puertos chinos tarda en trasladarse a España unas cuatro semanas, y teniendo en cuenta que la alerta por el contagio saltó a finales de enero, eso quiere decir que sus efectos han comenzado a notarse con rotundidad a partir de la última semana de febrero. Ningún buque había salido del puerto de Ningbo-Zhoushan, el mayor de China, hasta el pasado 25 de febrero.</w:t>
      </w:r>
    </w:p>
    <w:p w:rsidR="00737DC2" w:rsidRDefault="00737DC2" w:rsidP="00737DC2">
      <w:pPr>
        <w:pStyle w:val="NormalWeb"/>
        <w:shd w:val="clear" w:color="auto" w:fill="FFFFFF"/>
        <w:spacing w:before="0" w:beforeAutospacing="0" w:after="0" w:afterAutospacing="0"/>
        <w:jc w:val="both"/>
        <w:textAlignment w:val="baseline"/>
      </w:pPr>
      <w:r w:rsidRPr="00521BE8">
        <w:lastRenderedPageBreak/>
        <w:t>No hay que olvidar que cerca del 40% de las mercancías procedentes de China lo son en tránsito; es decir, que tienen como destino final terceros países, y que, por lo tanto, utilizan los puertos españoles como las mejores conexiones para llegar a su destino final. Nada menos que el 9,1% de las importaciones españolas vienen de China.</w:t>
      </w:r>
    </w:p>
    <w:p w:rsidR="00737DC2"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t>Cisnes negros</w:t>
      </w:r>
    </w:p>
    <w:p w:rsidR="00737DC2"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Las cifras solo ponen de manifiesto una realidad. Mientras que el </w:t>
      </w:r>
      <w:hyperlink r:id="rId316" w:history="1">
        <w:r w:rsidRPr="00CE3602">
          <w:rPr>
            <w:rStyle w:val="Hipervnculo"/>
            <w:rFonts w:eastAsiaTheme="majorEastAsia"/>
          </w:rPr>
          <w:t>SARS,</w:t>
        </w:r>
      </w:hyperlink>
      <w:r w:rsidRPr="00687F9F">
        <w:t> el antecedente más directo del COVID-19, surgió en 2003, un tiempo en el que la integración económica del planeta era todavía limitada y la actividad estaba en pleno auge, hoy la </w:t>
      </w:r>
      <w:hyperlink r:id="rId317" w:history="1">
        <w:r w:rsidRPr="00CE3602">
          <w:rPr>
            <w:rStyle w:val="Hipervnculo"/>
            <w:rFonts w:eastAsiaTheme="majorEastAsia"/>
          </w:rPr>
          <w:t>globalización</w:t>
        </w:r>
      </w:hyperlink>
      <w:r w:rsidRPr="00CE3602">
        <w:t> </w:t>
      </w:r>
      <w:r w:rsidRPr="00687F9F">
        <w:t>h</w:t>
      </w:r>
      <w:r w:rsidRPr="00521BE8">
        <w:t>a hecho a la economía mundial más interdependiente que nunca. La cara positiva es que se fomenta el comercio, pero la más amarga es que también es más vulnerable a la aparición de cisnes negros, la célebre metáfora de </w:t>
      </w:r>
      <w:r w:rsidRPr="00CE3602">
        <w:rPr>
          <w:rStyle w:val="Textoennegrita"/>
          <w:rFonts w:eastAsiaTheme="majorEastAsia"/>
          <w:b w:val="0"/>
          <w:bdr w:val="none" w:sz="0" w:space="0" w:color="auto" w:frame="1"/>
        </w:rPr>
        <w:t>Taleb</w:t>
      </w:r>
      <w:r w:rsidRPr="00521BE8">
        <w:t>.</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Una significativa diferencia que explica la preocupación mundial. Entre otras cosas, porque está demostrado que detrás de una crisis financiera y de la economía real siempre aparecen los populismos, y con ellos el nacionalismo económico. Pero ahora en un contexto de bajo crecimiento. Cuando estalló el SARS, hace 17 años, China crecía un 10% y el PIB mundial lo hacía por encima del 4%.</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Pr="00521BE8" w:rsidRDefault="00737DC2" w:rsidP="00737DC2">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val="en-GB" w:eastAsia="zh-CN"/>
        </w:rPr>
        <w:drawing>
          <wp:inline distT="0" distB="0" distL="0" distR="0">
            <wp:extent cx="5708650" cy="3289300"/>
            <wp:effectExtent l="0" t="0" r="6350" b="6350"/>
            <wp:docPr id="220" name="Imagen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3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650" cy="328930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0" w:afterAutospacing="0"/>
        <w:jc w:val="both"/>
        <w:textAlignment w:val="baseline"/>
      </w:pPr>
      <w:r w:rsidRPr="00521BE8">
        <w:t>Hoy China crece casi la mitad (la menor tasa en 30 años) y el planeta no llega al 3%, con grandes áreas, como la eurozona, que </w:t>
      </w:r>
      <w:hyperlink r:id="rId319" w:history="1">
        <w:r w:rsidRPr="00CE3602">
          <w:rPr>
            <w:rStyle w:val="Hipervnculo"/>
            <w:rFonts w:eastAsiaTheme="majorEastAsia"/>
          </w:rPr>
          <w:t>apenas avanzará</w:t>
        </w:r>
      </w:hyperlink>
      <w:r w:rsidRPr="00C401AF">
        <w:t> </w:t>
      </w:r>
      <w:r w:rsidRPr="00521BE8">
        <w:t>un 1,2% este año. China entonces representaba menos del 9% de la producción mundial y hoy llega al 20%.</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Pr="00D56C32" w:rsidRDefault="00737DC2" w:rsidP="00737DC2">
      <w:pPr>
        <w:pStyle w:val="NormalWeb"/>
        <w:shd w:val="clear" w:color="auto" w:fill="FFFFFF"/>
        <w:spacing w:before="0" w:beforeAutospacing="0" w:after="0" w:afterAutospacing="0"/>
        <w:jc w:val="both"/>
        <w:textAlignment w:val="baseline"/>
        <w:rPr>
          <w:rStyle w:val="Textoennegrita"/>
          <w:rFonts w:eastAsiaTheme="majorEastAsia"/>
          <w:b w:val="0"/>
          <w:bdr w:val="none" w:sz="0" w:space="0" w:color="auto" w:frame="1"/>
        </w:rPr>
      </w:pPr>
      <w:r w:rsidRPr="006562CF">
        <w:rPr>
          <w:u w:val="single"/>
        </w:rPr>
        <w:t>¿Qué significa esto? Pues que la </w:t>
      </w:r>
      <w:r w:rsidRPr="00CE3602">
        <w:rPr>
          <w:rStyle w:val="Textoennegrita"/>
          <w:rFonts w:eastAsiaTheme="majorEastAsia"/>
          <w:b w:val="0"/>
          <w:u w:val="single"/>
          <w:bdr w:val="none" w:sz="0" w:space="0" w:color="auto" w:frame="1"/>
        </w:rPr>
        <w:t>salida en V</w:t>
      </w:r>
      <w:r w:rsidRPr="006562CF">
        <w:rPr>
          <w:u w:val="single"/>
        </w:rPr>
        <w:t> a la crisis del coronavirus (caída pronunciada seguida de una recuperación intensa) es más improbable. Y la globalización, por primera vez de una forma relevante, está en el centro del problema. Ya hay pocas dudas de que la expansión mundial del comercio ha tocado techo y ya solo queda la </w:t>
      </w:r>
      <w:hyperlink r:id="rId320" w:history="1">
        <w:r w:rsidRPr="00CE3602">
          <w:rPr>
            <w:rStyle w:val="Hipervnculo"/>
            <w:rFonts w:eastAsiaTheme="majorEastAsia"/>
          </w:rPr>
          <w:t>desglobalización</w:t>
        </w:r>
      </w:hyperlink>
      <w:r w:rsidRPr="00687F9F">
        <w:t>. Un dato lo acredita. Según la OMC, entre octubre de 2018 y octubre de 2019 el comercio afectado por </w:t>
      </w:r>
      <w:hyperlink r:id="rId321" w:history="1">
        <w:r w:rsidRPr="00CE3602">
          <w:rPr>
            <w:rStyle w:val="Hipervnculo"/>
            <w:rFonts w:eastAsiaTheme="majorEastAsia"/>
          </w:rPr>
          <w:t>medidas restrictivas</w:t>
        </w:r>
      </w:hyperlink>
      <w:r w:rsidRPr="00687F9F">
        <w:t xml:space="preserve"> sobre las importaciones adoptadas por miembros de la organización ascendió a 747.000 millones de dólares, con un aumento del 27% en relación </w:t>
      </w:r>
      <w:r w:rsidRPr="00687F9F">
        <w:lastRenderedPageBreak/>
        <w:t>con el anterior periodo. Como </w:t>
      </w:r>
      <w:hyperlink r:id="rId322" w:history="1">
        <w:r w:rsidRPr="00CE3602">
          <w:rPr>
            <w:rStyle w:val="Hipervnculo"/>
            <w:rFonts w:eastAsiaTheme="majorEastAsia"/>
          </w:rPr>
          <w:t>sostiene</w:t>
        </w:r>
      </w:hyperlink>
      <w:r w:rsidRPr="00AE22C8">
        <w:t> </w:t>
      </w:r>
      <w:r w:rsidRPr="00CE3602">
        <w:rPr>
          <w:rStyle w:val="Textoennegrita"/>
          <w:rFonts w:eastAsiaTheme="majorEastAsia"/>
          <w:b w:val="0"/>
          <w:bdr w:val="none" w:sz="0" w:space="0" w:color="auto" w:frame="1"/>
        </w:rPr>
        <w:t>Enrique Fanjul</w:t>
      </w:r>
      <w:r w:rsidRPr="00521BE8">
        <w:t>, del Instituto Elcano, diversos factores (ascenso de salarios en los países en desarrollo, robotización, proteccionismo) están haciendo que </w:t>
      </w:r>
      <w:r w:rsidRPr="00CE3602">
        <w:rPr>
          <w:rStyle w:val="Textoennegrita"/>
          <w:rFonts w:eastAsiaTheme="majorEastAsia"/>
          <w:b w:val="0"/>
          <w:bdr w:val="none" w:sz="0" w:space="0" w:color="auto" w:frame="1"/>
        </w:rPr>
        <w:t>las cadenas globales de valor pierdan fuerza</w:t>
      </w:r>
      <w:r w:rsidRPr="00F31766">
        <w:rPr>
          <w:rStyle w:val="Textoennegrita"/>
          <w:rFonts w:eastAsiaTheme="majorEastAsia"/>
          <w:bdr w:val="none" w:sz="0" w:space="0" w:color="auto" w:frame="1"/>
        </w:rPr>
        <w:t>.</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Fundamentalmente, por tres razones. La </w:t>
      </w:r>
      <w:r w:rsidRPr="00CE3602">
        <w:rPr>
          <w:rStyle w:val="Textoennegrita"/>
          <w:rFonts w:eastAsiaTheme="majorEastAsia"/>
          <w:b w:val="0"/>
          <w:bdr w:val="none" w:sz="0" w:space="0" w:color="auto" w:frame="1"/>
        </w:rPr>
        <w:t>inteligencia artificial</w:t>
      </w:r>
      <w:r w:rsidRPr="00521BE8">
        <w:t> alienta la vuelta de muchas instalaciones industriales a los países de origen; los </w:t>
      </w:r>
      <w:r w:rsidRPr="00F31766">
        <w:rPr>
          <w:rStyle w:val="Textoennegrita"/>
          <w:rFonts w:eastAsiaTheme="majorEastAsia"/>
          <w:bdr w:val="none" w:sz="0" w:space="0" w:color="auto" w:frame="1"/>
        </w:rPr>
        <w:t>aranceles</w:t>
      </w:r>
      <w:r w:rsidRPr="00521BE8">
        <w:rPr>
          <w:rStyle w:val="Textoennegrita"/>
          <w:rFonts w:eastAsiaTheme="majorEastAsia"/>
          <w:bdr w:val="none" w:sz="0" w:space="0" w:color="auto" w:frame="1"/>
        </w:rPr>
        <w:t> </w:t>
      </w:r>
      <w:r w:rsidRPr="00521BE8">
        <w:t>a determinados productos han venido para quedarse (la Organización Mundial de Comercio es una institución moribunda sin jueces que diriman los litigios porque EEUU no quiere) y, por último, el virus ha alertado a muchas empresas de la vulnerabilidad de sus cadenas de aprovisionamiento por su gran dependencia de China. Algo que puede animar a sacrificar </w:t>
      </w:r>
      <w:r w:rsidRPr="00CE3602">
        <w:rPr>
          <w:rStyle w:val="Textoennegrita"/>
          <w:rFonts w:eastAsiaTheme="majorEastAsia"/>
          <w:b w:val="0"/>
          <w:bdr w:val="none" w:sz="0" w:space="0" w:color="auto" w:frame="1"/>
        </w:rPr>
        <w:t>eficiencia</w:t>
      </w:r>
      <w:r w:rsidRPr="00521BE8">
        <w:rPr>
          <w:rStyle w:val="Textoennegrita"/>
          <w:rFonts w:eastAsiaTheme="majorEastAsia"/>
          <w:bdr w:val="none" w:sz="0" w:space="0" w:color="auto" w:frame="1"/>
        </w:rPr>
        <w:t> </w:t>
      </w:r>
      <w:r w:rsidRPr="00521BE8">
        <w:t>(producir en sitios más baratos) a cambio de mayor </w:t>
      </w:r>
      <w:r w:rsidRPr="00CE3602">
        <w:rPr>
          <w:rStyle w:val="Textoennegrita"/>
          <w:rFonts w:eastAsiaTheme="majorEastAsia"/>
          <w:b w:val="0"/>
          <w:bdr w:val="none" w:sz="0" w:space="0" w:color="auto" w:frame="1"/>
        </w:rPr>
        <w:t>seguridad</w:t>
      </w:r>
      <w:r w:rsidRPr="00AE22C8">
        <w:rPr>
          <w:rStyle w:val="Textoennegrita"/>
          <w:rFonts w:eastAsiaTheme="majorEastAsia"/>
          <w:bdr w:val="none" w:sz="0" w:space="0" w:color="auto" w:frame="1"/>
        </w:rPr>
        <w:t> </w:t>
      </w:r>
      <w:r w:rsidRPr="00521BE8">
        <w:t>(producir donde el aprovisionamiento está garantizado, aunque los costes laborales sean más elevados).</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Pr="00CC0A39" w:rsidRDefault="00737DC2" w:rsidP="00737DC2">
      <w:pPr>
        <w:pStyle w:val="NormalWeb"/>
        <w:shd w:val="clear" w:color="auto" w:fill="FFFFFF"/>
        <w:spacing w:before="0" w:beforeAutospacing="0" w:after="0" w:afterAutospacing="0"/>
        <w:jc w:val="both"/>
        <w:textAlignment w:val="baseline"/>
      </w:pPr>
      <w:r w:rsidRPr="00CC0A39">
        <w:t>Sin margen</w:t>
      </w:r>
    </w:p>
    <w:p w:rsidR="00737DC2" w:rsidRDefault="00737DC2" w:rsidP="00737DC2">
      <w:pPr>
        <w:pStyle w:val="NormalWeb"/>
        <w:shd w:val="clear" w:color="auto" w:fill="FFFFFF"/>
        <w:spacing w:before="0" w:beforeAutospacing="0" w:after="0" w:afterAutospacing="0"/>
        <w:jc w:val="both"/>
        <w:textAlignment w:val="baseline"/>
        <w:rPr>
          <w:u w:val="single"/>
        </w:rPr>
      </w:pPr>
    </w:p>
    <w:p w:rsidR="00737DC2" w:rsidRDefault="00737DC2" w:rsidP="00737DC2">
      <w:pPr>
        <w:pStyle w:val="NormalWeb"/>
        <w:shd w:val="clear" w:color="auto" w:fill="FFFFFF"/>
        <w:spacing w:before="0" w:beforeAutospacing="0" w:after="0" w:afterAutospacing="0"/>
        <w:jc w:val="both"/>
        <w:textAlignment w:val="baseline"/>
        <w:rPr>
          <w:u w:val="single"/>
        </w:rPr>
      </w:pPr>
      <w:r w:rsidRPr="0045191A">
        <w:rPr>
          <w:u w:val="single"/>
        </w:rPr>
        <w:t>Es decir, a largo</w:t>
      </w:r>
      <w:r>
        <w:rPr>
          <w:u w:val="single"/>
        </w:rPr>
        <w:t xml:space="preserve"> plazo se trata de reconstruir “stocks”</w:t>
      </w:r>
      <w:r w:rsidRPr="0045191A">
        <w:rPr>
          <w:u w:val="single"/>
        </w:rPr>
        <w:t xml:space="preserve"> que permitan a las empresas disponer de bienes intermedios sin depender tanto de China, que si antes era la fábrica del mundo ahora acapara la mayoría de los eslabones de la economía global, y cuyo desacoplamiento con EEUU es cada vez más evidente.</w:t>
      </w:r>
    </w:p>
    <w:p w:rsidR="00737DC2" w:rsidRPr="0045191A" w:rsidRDefault="00737DC2" w:rsidP="00737DC2">
      <w:pPr>
        <w:pStyle w:val="NormalWeb"/>
        <w:shd w:val="clear" w:color="auto" w:fill="FFFFFF"/>
        <w:spacing w:before="0" w:beforeAutospacing="0" w:after="0" w:afterAutospacing="0"/>
        <w:jc w:val="both"/>
        <w:textAlignment w:val="baseline"/>
        <w:rPr>
          <w:u w:val="single"/>
        </w:rPr>
      </w:pPr>
    </w:p>
    <w:p w:rsidR="00737DC2" w:rsidRDefault="00737DC2" w:rsidP="00737DC2">
      <w:pPr>
        <w:pStyle w:val="NormalWeb"/>
        <w:shd w:val="clear" w:color="auto" w:fill="FFFFFF"/>
        <w:spacing w:before="0" w:beforeAutospacing="0" w:after="0" w:afterAutospacing="0"/>
        <w:jc w:val="both"/>
        <w:textAlignment w:val="baseline"/>
        <w:rPr>
          <w:u w:val="single"/>
        </w:rPr>
      </w:pPr>
      <w:r w:rsidRPr="0045191A">
        <w:rPr>
          <w:u w:val="single"/>
        </w:rPr>
        <w:t>¿Qué hacer? No parece que el escenario mundial sea el mejor. La política monetaria está prácticamente </w:t>
      </w:r>
      <w:hyperlink r:id="rId323" w:history="1">
        <w:r w:rsidRPr="00CE3602">
          <w:rPr>
            <w:rStyle w:val="Hipervnculo"/>
            <w:rFonts w:eastAsiaTheme="majorEastAsia"/>
          </w:rPr>
          <w:t>agotada</w:t>
        </w:r>
      </w:hyperlink>
      <w:r w:rsidRPr="00CE3602">
        <w:rPr>
          <w:u w:val="single"/>
        </w:rPr>
        <w:t> </w:t>
      </w:r>
      <w:r w:rsidRPr="0045191A">
        <w:rPr>
          <w:u w:val="single"/>
        </w:rPr>
        <w:t>y no puede dar mucho más de sí, salvo en EEUU, donde ya hay un 100% de probabilidades de que la Reserva Federal rebaje un cuarto de puntos los tipos de interés en marzo y medio punto adicional, si la situación se tuerce más de lo previsto, en junio. Un margen que no tiene el BCE, a quien el COVID-19 ha pillado, nuevamente, con el pie cambiado.</w:t>
      </w:r>
    </w:p>
    <w:p w:rsidR="00737DC2" w:rsidRPr="0045191A" w:rsidRDefault="00737DC2" w:rsidP="00737DC2">
      <w:pPr>
        <w:pStyle w:val="NormalWeb"/>
        <w:shd w:val="clear" w:color="auto" w:fill="FFFFFF"/>
        <w:spacing w:before="0" w:beforeAutospacing="0" w:after="0" w:afterAutospacing="0"/>
        <w:jc w:val="both"/>
        <w:textAlignment w:val="baseline"/>
        <w:rPr>
          <w:u w:val="single"/>
        </w:rPr>
      </w:pPr>
    </w:p>
    <w:p w:rsidR="00737DC2" w:rsidRDefault="00737DC2" w:rsidP="00737DC2">
      <w:pPr>
        <w:pStyle w:val="NormalWeb"/>
        <w:shd w:val="clear" w:color="auto" w:fill="FFFFFF"/>
        <w:spacing w:before="0" w:beforeAutospacing="0" w:after="0" w:afterAutospacing="0"/>
        <w:jc w:val="both"/>
        <w:textAlignment w:val="baseline"/>
      </w:pPr>
      <w:r w:rsidRPr="00521BE8">
        <w:t>Como </w:t>
      </w:r>
      <w:hyperlink r:id="rId324" w:history="1">
        <w:r w:rsidRPr="00CE3602">
          <w:rPr>
            <w:rStyle w:val="Hipervnculo"/>
            <w:rFonts w:eastAsiaTheme="majorEastAsia"/>
          </w:rPr>
          <w:t>ha explicado</w:t>
        </w:r>
      </w:hyperlink>
      <w:r w:rsidRPr="00521BE8">
        <w:t> en este diario </w:t>
      </w:r>
      <w:r w:rsidRPr="00CE3602">
        <w:rPr>
          <w:rStyle w:val="Textoennegrita"/>
          <w:rFonts w:eastAsiaTheme="majorEastAsia"/>
          <w:b w:val="0"/>
          <w:bdr w:val="none" w:sz="0" w:space="0" w:color="auto" w:frame="1"/>
        </w:rPr>
        <w:t>Juan Ramón Rallo</w:t>
      </w:r>
      <w:r w:rsidRPr="00521BE8">
        <w:t>, los daños económicos d</w:t>
      </w:r>
      <w:r>
        <w:t>el virus tienen que ver con un “shock”</w:t>
      </w:r>
      <w:r w:rsidRPr="00521BE8">
        <w:t xml:space="preserve"> de oferta (caída de la producción por la paralización de las fábricas) y, por lo tanto, aunque la política monetaria fuera más expansiva (en el caso del BCE adentrándose en el tenebroso mundo de los </w:t>
      </w:r>
      <w:r w:rsidRPr="00CE3602">
        <w:rPr>
          <w:rStyle w:val="Textoennegrita"/>
          <w:rFonts w:eastAsiaTheme="majorEastAsia"/>
          <w:b w:val="0"/>
          <w:bdr w:val="none" w:sz="0" w:space="0" w:color="auto" w:frame="1"/>
        </w:rPr>
        <w:t>tipos negativos</w:t>
      </w:r>
      <w:r w:rsidRPr="00521BE8">
        <w:t>) poco puede hacer.</w:t>
      </w:r>
    </w:p>
    <w:p w:rsidR="00737DC2"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La política fiscal, por su parte, tiene serias limitaciones, y no solamente por las restricciones que vienen de Bruselas. En algunos países, entre ellos España, no se aprovechó la fase más expansiva del ciclo para reducir la </w:t>
      </w:r>
      <w:r w:rsidRPr="00CE3602">
        <w:rPr>
          <w:rStyle w:val="Textoennegrita"/>
          <w:rFonts w:eastAsiaTheme="majorEastAsia"/>
          <w:b w:val="0"/>
          <w:bdr w:val="none" w:sz="0" w:space="0" w:color="auto" w:frame="1"/>
        </w:rPr>
        <w:t>deuda pública</w:t>
      </w:r>
      <w:r w:rsidRPr="00521BE8">
        <w:t>, que no es más que la acumulación de abultados déficits. En su lugar, como ha reprochado de forma reiterada la Comisión Europea, se optó por bajar los impuestos por razones electorales o se renunció a encontrar nuevas bases imponibles, lo que ha dejado al Estado sin márgenes para hacer políticas de demanda. Tampoco de oferta, más allá de cambios normativos, para ensanchar el potencial de crecimiento de la economía. La </w:t>
      </w:r>
      <w:hyperlink r:id="rId325" w:history="1">
        <w:r w:rsidRPr="00085EA7">
          <w:rPr>
            <w:rStyle w:val="Hipervnculo"/>
            <w:rFonts w:eastAsiaTheme="majorEastAsia"/>
          </w:rPr>
          <w:t xml:space="preserve">curva de </w:t>
        </w:r>
        <w:r w:rsidRPr="00CE3602">
          <w:rPr>
            <w:rStyle w:val="Hipervnculo"/>
            <w:rFonts w:eastAsiaTheme="majorEastAsia"/>
          </w:rPr>
          <w:t>Laffer</w:t>
        </w:r>
      </w:hyperlink>
      <w:r w:rsidRPr="00BD0415">
        <w:t>, ni está ni se la espera. El cuadro macro de la ministra </w:t>
      </w:r>
      <w:r w:rsidRPr="00CE3602">
        <w:rPr>
          <w:rStyle w:val="Textoennegrita"/>
          <w:rFonts w:eastAsiaTheme="majorEastAsia"/>
          <w:b w:val="0"/>
          <w:bdr w:val="none" w:sz="0" w:space="0" w:color="auto" w:frame="1"/>
        </w:rPr>
        <w:t>Calviño</w:t>
      </w:r>
      <w:r w:rsidRPr="00BD0415">
        <w:rPr>
          <w:rStyle w:val="Textoennegrita"/>
          <w:rFonts w:eastAsiaTheme="majorEastAsia"/>
          <w:bdr w:val="none" w:sz="0" w:space="0" w:color="auto" w:frame="1"/>
        </w:rPr>
        <w:t> </w:t>
      </w:r>
      <w:r w:rsidRPr="00BD0415">
        <w:t>está en apuros.</w:t>
      </w: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Default="00737DC2" w:rsidP="00737DC2">
      <w:pPr>
        <w:pStyle w:val="NormalWeb"/>
        <w:shd w:val="clear" w:color="auto" w:fill="FFFFFF"/>
        <w:spacing w:before="0" w:beforeAutospacing="0" w:after="0" w:afterAutospacing="0"/>
        <w:jc w:val="both"/>
        <w:textAlignment w:val="baseline"/>
      </w:pPr>
      <w:r w:rsidRPr="00521BE8">
        <w:t>No en vano, la expansión de los últimos años se ha basado en el consumo privado, cuya </w:t>
      </w:r>
      <w:r w:rsidRPr="00CE3602">
        <w:rPr>
          <w:rStyle w:val="Textoennegrita"/>
          <w:rFonts w:eastAsiaTheme="majorEastAsia"/>
          <w:b w:val="0"/>
          <w:bdr w:val="none" w:sz="0" w:space="0" w:color="auto" w:frame="1"/>
        </w:rPr>
        <w:t>propensión al ahorro</w:t>
      </w:r>
      <w:r w:rsidRPr="00521BE8">
        <w:t> (menos gasto) aumenta en la misma medida que crecen las incertidumbres, y hay pocas dudas de que caídas pronunciadas de las bolsas y el enfriamiento de algunas economías claves para las exportaciones españolas, como Italia, Francia o Alemania, suponen un incremento de la aversión al riesgo económico, que, a veces, es más contumaz que el propio virus. Acostúmbrese a esta expresión: aversión al riego.</w:t>
      </w:r>
    </w:p>
    <w:p w:rsidR="00737DC2" w:rsidRDefault="00737DC2" w:rsidP="00737DC2">
      <w:pPr>
        <w:pStyle w:val="NormalWeb"/>
        <w:shd w:val="clear" w:color="auto" w:fill="FFFFFF"/>
        <w:spacing w:before="0" w:beforeAutospacing="0" w:after="0" w:afterAutospacing="0"/>
        <w:jc w:val="both"/>
        <w:textAlignment w:val="baseline"/>
      </w:pPr>
    </w:p>
    <w:p w:rsidR="00737DC2" w:rsidRPr="00521BE8" w:rsidRDefault="00737DC2" w:rsidP="00737DC2">
      <w:pPr>
        <w:pStyle w:val="NormalWeb"/>
        <w:shd w:val="clear" w:color="auto" w:fill="FFFFFF"/>
        <w:spacing w:before="0" w:beforeAutospacing="0" w:after="0" w:afterAutospacing="0"/>
        <w:jc w:val="both"/>
        <w:textAlignment w:val="baseline"/>
      </w:pPr>
    </w:p>
    <w:p w:rsidR="00737DC2" w:rsidRPr="00401D24"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401D24">
        <w:rPr>
          <w:rFonts w:ascii="Times New Roman" w:hAnsi="Times New Roman" w:cs="Times New Roman"/>
          <w:sz w:val="24"/>
          <w:szCs w:val="24"/>
          <w:u w:val="single"/>
        </w:rPr>
        <w:t>La fiesta ha terminado: el virus que mató la estupidez</w:t>
      </w:r>
      <w:r>
        <w:rPr>
          <w:rFonts w:ascii="Times New Roman" w:hAnsi="Times New Roman" w:cs="Times New Roman"/>
          <w:sz w:val="24"/>
          <w:szCs w:val="24"/>
        </w:rPr>
        <w:t xml:space="preserve"> (El Confidencial - </w:t>
      </w:r>
      <w:r w:rsidRPr="00401D24">
        <w:rPr>
          <w:rFonts w:ascii="Times New Roman" w:hAnsi="Times New Roman" w:cs="Times New Roman"/>
          <w:b/>
          <w:sz w:val="24"/>
          <w:szCs w:val="24"/>
        </w:rPr>
        <w:t>15/3/20</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401D24">
        <w:rPr>
          <w:rFonts w:ascii="Times New Roman" w:hAnsi="Times New Roman" w:cs="Times New Roman"/>
          <w:sz w:val="24"/>
          <w:szCs w:val="24"/>
        </w:rPr>
        <w:t>La fiesta ha terminado. Tanta condescendencia con China ha acabado en tragedia. El mundo debe repensar la globalización. No para frenarla, sino para hacerla más inteligente.</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737DC2" w:rsidRPr="00A13B48" w:rsidRDefault="00737DC2" w:rsidP="00737DC2">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Ya hay pocas dudas de que la Gran Recesión de 2008 reveló las verdades del barquero: el euro estaba desnudo. Sin instituciones que lo gobernara con los instrumentos necesarios para impedir choques asimétricos; sin convergencia real entre economías que compartían una misma moneda e, incluso, sin un sistema de garantías recíprocas, Europa se lanzó a un proyecto de integración monetaria que estuvo a punto de naufragar.</w:t>
      </w:r>
    </w:p>
    <w:p w:rsidR="00737DC2" w:rsidRPr="00A13B48" w:rsidRDefault="00737DC2" w:rsidP="00737DC2">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Ya hay pocas dudas, igualmente, de que la globalización tiene agujeros negros en su gobernanza. Y que, como casi le sucedió al euro, puede naufragar dramáticamente. Fundamentalmente, por su enorme capacidad para generar incertidumbres. El coronavirus, de hecho, no es más que la expresión trágica de un fracaso: problemas globales se combaten con soluciones nacionales. China ha hipotecado al mundo.</w:t>
      </w:r>
    </w:p>
    <w:p w:rsidR="00737DC2" w:rsidRPr="00A13B48" w:rsidRDefault="00737DC2" w:rsidP="00737DC2">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han recordado algunos expertos, cuando Italia solicitó suministros médicos urgentes bajo un mecanismo especial europeo de crisis, ningún país de la UE respondió por miedo a su propia escasez. Alemania, incluso, prohibió la exportación de mascarillas y otros equipos de protección.</w:t>
      </w:r>
      <w:r w:rsidRPr="00635982">
        <w:rPr>
          <w:rFonts w:ascii="Times New Roman" w:hAnsi="Times New Roman" w:cs="Times New Roman"/>
          <w:sz w:val="24"/>
          <w:szCs w:val="24"/>
        </w:rPr>
        <w:t xml:space="preserve"> Luego fue Austria quien cerró unilateralmente sus fronteras a las personas que llegaban de Italia a menos que pudieran probar que estaban libres de virus. Y </w:t>
      </w:r>
      <w:r w:rsidRPr="00A13B48">
        <w:rPr>
          <w:rFonts w:ascii="Times New Roman" w:hAnsi="Times New Roman" w:cs="Times New Roman"/>
          <w:sz w:val="24"/>
          <w:szCs w:val="24"/>
          <w:u w:val="single"/>
        </w:rPr>
        <w:t>así una cadena de errores observados desde la incompetencia por Bruselas, que, como ya se manifestó en la crisis migratoria de 2015, ha contribuido, a su modo, a llevar al mundo a su mayor crisis sanitaria no provocada por guerras en más de un siglo, y que tiene ahora a Europa en el epicentro.</w:t>
      </w:r>
    </w:p>
    <w:p w:rsidR="00737DC2" w:rsidRPr="00A13B48" w:rsidRDefault="00737DC2" w:rsidP="00737DC2">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La globalización, como se sabe, ha hecho crecer de forma intensa el flujo de personas, el intercambio de mercancías y de servicios, los conocimientos técnicos, culturales y científicos, y hasta el tráfico de creencias apocalípticas, pero también los microorganismos, que, a diferencia de otros periodos históricos, han encontrado en las grandes ciudades, donde habita ya más de la mitad de la población, un caldo de cultivo extraordinario.</w:t>
      </w:r>
    </w:p>
    <w:p w:rsidR="00737DC2" w:rsidRPr="00635982" w:rsidRDefault="00737DC2" w:rsidP="00737DC2">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Enfermedades contagiosas</w:t>
      </w:r>
    </w:p>
    <w:p w:rsidR="00737DC2" w:rsidRPr="00635982" w:rsidRDefault="00737DC2" w:rsidP="00737DC2">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No es que antes no hubiera pandemias, que las había y eran infinitamente más letales que la actual, sino que su periodo de propagación era mucho más lento. Y, sobre todo, no había medios para atacarlas, al contrario que ahora, que s</w:t>
      </w:r>
      <w:r>
        <w:rPr>
          <w:rFonts w:ascii="Times New Roman" w:hAnsi="Times New Roman" w:cs="Times New Roman"/>
          <w:sz w:val="24"/>
          <w:szCs w:val="24"/>
        </w:rPr>
        <w:t>e pueden minimizar sus efectos.</w:t>
      </w:r>
    </w:p>
    <w:p w:rsidR="00737DC2" w:rsidRPr="00A13B48" w:rsidRDefault="00737DC2" w:rsidP="00737DC2">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 escrito el doctor José Luis Puerta, una autoridad en la materia, de los aproximadamente 400 patógenos emergentes o reemergentes observados en los últimos 70 años y que afectan a nuestra especie, se sabe que el 60% son zoonóticos. Es decir, transmitidas por animales. El virus del ébola, el mal de las vacas locas, la gripe aviar, la salmonelosis, la tuberculosis, la peste... y así hasta más de un centenar de enfermedades contagiosas tienen un origen zoonótico. Y muchas vienen de China.</w:t>
      </w:r>
    </w:p>
    <w:p w:rsidR="00737DC2" w:rsidRPr="00635982" w:rsidRDefault="00737DC2" w:rsidP="00737DC2">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Cuando China ingresó en la Organización Mundial de Comercio en 2001 se comprometió a reducir sus aranceles, a no restringir la entrada de proveedores extranjeros, a ser transparente y a eliminar todas las subvenciones no autorizadas.</w:t>
      </w:r>
      <w:r w:rsidRPr="00635982">
        <w:rPr>
          <w:rFonts w:ascii="Times New Roman" w:hAnsi="Times New Roman" w:cs="Times New Roman"/>
          <w:sz w:val="24"/>
          <w:szCs w:val="24"/>
        </w:rPr>
        <w:t xml:space="preserve"> También a que sus empresas públicas operaran con criterios comerciales y de mercado, si cabe en un país que planifica su economía</w:t>
      </w:r>
      <w:r>
        <w:rPr>
          <w:rFonts w:ascii="Times New Roman" w:hAnsi="Times New Roman" w:cs="Times New Roman"/>
          <w:sz w:val="24"/>
          <w:szCs w:val="24"/>
        </w:rPr>
        <w:t xml:space="preserve"> a modo de planes quinquenales.</w:t>
      </w:r>
    </w:p>
    <w:p w:rsidR="00737DC2" w:rsidRPr="00635982" w:rsidRDefault="00737DC2" w:rsidP="00737DC2">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lastRenderedPageBreak/>
        <w:t>A cambio, países como EEUU le otorgaron la cláusula de nación más favorecida, lo que le ha permitido, disfrutar de unas condiciones excepciones en el comercio mundial.</w:t>
      </w:r>
      <w:r w:rsidRPr="00635982">
        <w:rPr>
          <w:rFonts w:ascii="Times New Roman" w:hAnsi="Times New Roman" w:cs="Times New Roman"/>
          <w:sz w:val="24"/>
          <w:szCs w:val="24"/>
        </w:rPr>
        <w:t xml:space="preserve"> Y que explican el enorme avance de su economía y de las condi</w:t>
      </w:r>
      <w:r>
        <w:rPr>
          <w:rFonts w:ascii="Times New Roman" w:hAnsi="Times New Roman" w:cs="Times New Roman"/>
          <w:sz w:val="24"/>
          <w:szCs w:val="24"/>
        </w:rPr>
        <w:t>ciones de vida de su población.</w:t>
      </w:r>
    </w:p>
    <w:p w:rsidR="00737DC2" w:rsidRDefault="00737DC2" w:rsidP="00737DC2">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Han pasado ya casi dos décadas y China, paradójicamente, se ha convertido en el problema del mundo. Cuando ingresó en la OMC, un club que aboga por la liberalización del comercio mundial, muchos pensaban que la democracia (como le sucedió a las España de los años 60 tras el Plan de Estabilización) era irreversible</w:t>
      </w:r>
      <w:r w:rsidRPr="00635982">
        <w:rPr>
          <w:rFonts w:ascii="Times New Roman" w:hAnsi="Times New Roman" w:cs="Times New Roman"/>
          <w:sz w:val="24"/>
          <w:szCs w:val="24"/>
        </w:rPr>
        <w:t xml:space="preserve">. Antes o después los intercambios comerciales acabarían con el régimen. El aire fresco, como se sabe, es el mejor </w:t>
      </w:r>
      <w:r>
        <w:rPr>
          <w:rFonts w:ascii="Times New Roman" w:hAnsi="Times New Roman" w:cs="Times New Roman"/>
          <w:sz w:val="24"/>
          <w:szCs w:val="24"/>
        </w:rPr>
        <w:t>antídoto contra las dictaduras.</w:t>
      </w:r>
    </w:p>
    <w:p w:rsidR="00737DC2" w:rsidRPr="00635982" w:rsidRDefault="00737DC2" w:rsidP="00737DC2">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Demasiado tarde</w:t>
      </w:r>
    </w:p>
    <w:p w:rsidR="00737DC2" w:rsidRPr="00A13B48" w:rsidRDefault="00737DC2" w:rsidP="00737DC2">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No ha sido así. Ya hay pocas dudas de que la propagación del virus tiene mucho que ver, como ocurrió en 2002 con el SARS, con la irresponsabilidad del Gobierno chino al ocultarlo inicialmente.</w:t>
      </w:r>
      <w:r w:rsidRPr="00635982">
        <w:rPr>
          <w:rFonts w:ascii="Times New Roman" w:hAnsi="Times New Roman" w:cs="Times New Roman"/>
          <w:sz w:val="24"/>
          <w:szCs w:val="24"/>
        </w:rPr>
        <w:t xml:space="preserve"> Solo cuando ya era imposible mantenerlo en secreto, procedió a imponer duras restricciones a su población, pero, al llegar demasiado tarde, han sido incapaces de detener la propagación del virus. </w:t>
      </w:r>
      <w:r w:rsidRPr="00A13B48">
        <w:rPr>
          <w:rFonts w:ascii="Times New Roman" w:hAnsi="Times New Roman" w:cs="Times New Roman"/>
          <w:sz w:val="24"/>
          <w:szCs w:val="24"/>
          <w:u w:val="single"/>
        </w:rPr>
        <w:t>Como ha asegurado Robert O’Brien, asesor de seguridad nacional de EEUU, China “encubrió” el brote retrasando dos meses una respuesta global.</w:t>
      </w:r>
    </w:p>
    <w:p w:rsidR="00737DC2" w:rsidRPr="00A13B48" w:rsidRDefault="00737DC2" w:rsidP="00737DC2">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sz w:val="24"/>
          <w:szCs w:val="24"/>
          <w:u w:val="single"/>
        </w:rPr>
        <w:t>China, por lo tanto, es el problema</w:t>
      </w:r>
      <w:r w:rsidRPr="00635982">
        <w:rPr>
          <w:rFonts w:ascii="Times New Roman" w:hAnsi="Times New Roman" w:cs="Times New Roman"/>
          <w:sz w:val="24"/>
          <w:szCs w:val="24"/>
        </w:rPr>
        <w:t xml:space="preserve">. </w:t>
      </w:r>
      <w:r w:rsidRPr="00A13B48">
        <w:rPr>
          <w:rFonts w:ascii="Times New Roman" w:hAnsi="Times New Roman" w:cs="Times New Roman"/>
          <w:color w:val="FF0000"/>
          <w:sz w:val="24"/>
          <w:szCs w:val="24"/>
          <w:u w:val="single"/>
        </w:rPr>
        <w:t>Como ha escrito el profesor Brahma Chellaney, si cualquier otro país hubiera desencadenado una crisis tan dañina, que llevará a la recesión a la economía mundial durante el primer trimestre, ahora sería un “paria global”. Pero China, con su enorme influencia económica, ha escapado de las críticas. Incluso, ahora quiere aparecer ante el mundo como el que salva a países como Italia enviándole mecanismos de protección, cuando la mejor solidaridad hubiera sido una alerta lanzada a tiempo.</w:t>
      </w:r>
    </w:p>
    <w:p w:rsidR="00737DC2" w:rsidRPr="00A13B48" w:rsidRDefault="00737DC2" w:rsidP="00737DC2">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China, sin embargo, tiene la sartén por el mango. Como ha recordado la agencia de noticias estatal, un verdadero aviso a navegantes, el planeta, y en particular EEUU y Europa, dependen de la fábrica del mundo: los bienes intermedios, que sirven para fabricar productos finales que llegan a los consumidores y a las empresas, se fabrican allí. También los servicios vinculados a las tecnologías de la información y las comunicaciones y los bienes de consumo más pequeños. Hasta las mascarillas y los medicamentos proceden de China. El 97% de los antibióticos que se venden en EEUU vienen de la fábrica del mundo.</w:t>
      </w:r>
    </w:p>
    <w:p w:rsidR="00737DC2" w:rsidRPr="00635982" w:rsidRDefault="00737DC2" w:rsidP="00737DC2">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Sanciones</w:t>
      </w:r>
    </w:p>
    <w:p w:rsidR="00737DC2" w:rsidRPr="00A13B48" w:rsidRDefault="00737DC2" w:rsidP="00737DC2">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La globalización, por lo tanto, ha sido económica, pero no se han globalizado ni los derechos humanos, ni la lucha contra el cambio climático, ni la generalización de productos fitosanitarios, ni un sistema eficaz de sanciones para los países que incumplen las normas más elementales de convivencia en el planeta. ¿Cómo se pueden cuestionar las soberanías nacionales cuando el mundo carece de instituciones que lo gobiernen?</w:t>
      </w:r>
    </w:p>
    <w:p w:rsidR="00737DC2" w:rsidRPr="00635982" w:rsidRDefault="00737DC2" w:rsidP="00737DC2">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Obviamente, la solución no es el regreso a las fronteras nacionales, ni a poner barreras artificiales al comercio. Ni volver a viejas recetas fracasadas. Pero convendría que el mundo repensara la globalización si no quiere caer en las consecuencias imprevisibles de lo que Ulrich Beck llamó la sociedad del riesgo</w:t>
      </w:r>
      <w:r w:rsidRPr="00635982">
        <w:rPr>
          <w:rFonts w:ascii="Times New Roman" w:hAnsi="Times New Roman" w:cs="Times New Roman"/>
          <w:sz w:val="24"/>
          <w:szCs w:val="24"/>
        </w:rPr>
        <w:t>, y que indefectiblemente lleva a crear comunidades más intransigentes, más conservadoras, sobre todo si están envejecidas, y menos abiertas por miedo a lo que</w:t>
      </w:r>
      <w:r>
        <w:rPr>
          <w:rFonts w:ascii="Times New Roman" w:hAnsi="Times New Roman" w:cs="Times New Roman"/>
          <w:sz w:val="24"/>
          <w:szCs w:val="24"/>
        </w:rPr>
        <w:t xml:space="preserve"> viene de fuera. Al extranjero.</w:t>
      </w:r>
    </w:p>
    <w:p w:rsidR="00737DC2" w:rsidRPr="00635982" w:rsidRDefault="00737DC2" w:rsidP="00737DC2">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 xml:space="preserve">Hay razones para preocuparse. La impotencia es tal que el Gobierno italiano ha ordenado al único fabricante de ventiladores del país que cuadruplique su producción, incluso desplegando miembros de las fuerzas armadas para ayudar a cumplir con la nueva cuota. Una </w:t>
      </w:r>
      <w:r w:rsidRPr="00635982">
        <w:rPr>
          <w:rFonts w:ascii="Times New Roman" w:hAnsi="Times New Roman" w:cs="Times New Roman"/>
          <w:sz w:val="24"/>
          <w:szCs w:val="24"/>
        </w:rPr>
        <w:lastRenderedPageBreak/>
        <w:t>muestra inequívoca de hasta qué punto se ha destruido el tejido productivo d</w:t>
      </w:r>
      <w:r>
        <w:rPr>
          <w:rFonts w:ascii="Times New Roman" w:hAnsi="Times New Roman" w:cs="Times New Roman"/>
          <w:sz w:val="24"/>
          <w:szCs w:val="24"/>
        </w:rPr>
        <w:t>e la tercera economía del euro.</w:t>
      </w:r>
    </w:p>
    <w:p w:rsidR="00737DC2" w:rsidRPr="00A13B48" w:rsidRDefault="00737DC2" w:rsidP="00737DC2">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Beck ya advirtió que las tradicionales coordenadas que marcaban las fronteras de desigualdad y de inseguridad (basadas en las viejas estructuras de clase y que afectaban a colectivos sociales homogéneos) han sido profundamente alteradas por fuertes procesos de individualización y de fragmentación familiar y social, que hoy cabalgan a caballo de los cambios generados por la globalización y la revolución tecnológica.</w:t>
      </w:r>
    </w:p>
    <w:p w:rsidR="00737DC2" w:rsidRPr="00A13B48" w:rsidRDefault="00737DC2" w:rsidP="00737DC2">
      <w:pPr>
        <w:spacing w:line="240" w:lineRule="auto"/>
        <w:jc w:val="both"/>
        <w:rPr>
          <w:rFonts w:ascii="Times New Roman" w:hAnsi="Times New Roman" w:cs="Times New Roman"/>
          <w:b/>
          <w:color w:val="FF0000"/>
          <w:sz w:val="24"/>
          <w:szCs w:val="24"/>
          <w:u w:val="single"/>
        </w:rPr>
      </w:pPr>
      <w:r w:rsidRPr="00635982">
        <w:rPr>
          <w:rFonts w:ascii="Times New Roman" w:hAnsi="Times New Roman" w:cs="Times New Roman"/>
          <w:sz w:val="24"/>
          <w:szCs w:val="24"/>
        </w:rPr>
        <w:t>Y hay razones para pensar que ese escenario seguirá alimentándose si nada se hace. Si nada lo remedia. Nada volverá a ser igual después del Covid-19 si los países se pliegan a una política cortoplacista. Pero, en todo caso, distinguiendo entre las respuestas inteligentes y las que son solo oportunismo ideológico.</w:t>
      </w:r>
      <w:r w:rsidRPr="00A13B48">
        <w:rPr>
          <w:rFonts w:ascii="Times New Roman" w:hAnsi="Times New Roman" w:cs="Times New Roman"/>
          <w:b/>
          <w:color w:val="FF0000"/>
          <w:sz w:val="24"/>
          <w:szCs w:val="24"/>
          <w:u w:val="single"/>
        </w:rPr>
        <w:t>Al fin y al cabo, el populismo es hijo de la mala globalización.</w:t>
      </w:r>
    </w:p>
    <w:p w:rsidR="00737DC2" w:rsidRDefault="00737DC2" w:rsidP="00737DC2">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737DC2" w:rsidRPr="00CB28F7" w:rsidRDefault="00737DC2" w:rsidP="00737DC2">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715000" cy="2425700"/>
            <wp:effectExtent l="0" t="0" r="0" b="0"/>
            <wp:docPr id="221" name="Imagen 173"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3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425700"/>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737DC2" w:rsidRPr="00CB28F7" w:rsidRDefault="00737DC2" w:rsidP="00737DC2">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327" w:history="1">
        <w:r w:rsidRPr="00CE3602">
          <w:rPr>
            <w:rStyle w:val="Hipervnculo"/>
            <w:rFonts w:ascii="Times New Roman" w:hAnsi="Times New Roman" w:cs="Times New Roman"/>
            <w:sz w:val="24"/>
            <w:szCs w:val="24"/>
          </w:rPr>
          <w:t>Francisco S. Jiménez</w:t>
        </w:r>
      </w:hyperlink>
      <w:r w:rsidRPr="00CE3602">
        <w:rPr>
          <w:rFonts w:ascii="Times New Roman" w:hAnsi="Times New Roman" w:cs="Times New Roman"/>
          <w:bCs/>
          <w:sz w:val="24"/>
          <w:szCs w:val="24"/>
        </w:rPr>
        <w:t>)</w:t>
      </w:r>
    </w:p>
    <w:p w:rsidR="00737DC2" w:rsidRPr="00A661FA" w:rsidRDefault="00737DC2" w:rsidP="00737DC2">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737DC2" w:rsidRPr="00A661FA" w:rsidRDefault="00737DC2" w:rsidP="00737DC2">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xml:space="preserve">. La necesidad de inversión disminuye por la escasez de mano de obra y por otro lado se produce un shock en el ahorro. La tasa de ahorro sube durante los siguientes </w:t>
      </w:r>
      <w:r w:rsidRPr="00A661FA">
        <w:rPr>
          <w:color w:val="FF0000"/>
          <w:spacing w:val="-1"/>
          <w:u w:val="single"/>
        </w:rPr>
        <w:lastRenderedPageBreak/>
        <w:t>años a medida que surgen nuevos motivos de precaución o simplemente para reemplazar la riqueza perdida utilizada durante el pico de la calamidad. Esta situación es </w:t>
      </w:r>
      <w:hyperlink r:id="rId328" w:tgtFrame="_self" w:history="1">
        <w:r w:rsidRPr="00A661FA">
          <w:rPr>
            <w:rStyle w:val="Hipervnculo"/>
            <w:rFonts w:eastAsiaTheme="majorEastAsia"/>
            <w:color w:val="FF0000"/>
            <w:spacing w:val="-1"/>
          </w:rPr>
          <w:t>demoledora para los tipos de interés</w:t>
        </w:r>
      </w:hyperlink>
      <w:r w:rsidRPr="00A661FA">
        <w:rPr>
          <w:color w:val="FF0000"/>
          <w:spacing w:val="-1"/>
          <w:u w:val="single"/>
        </w:rPr>
        <w:t>, que terminan por los suelos.</w:t>
      </w:r>
    </w:p>
    <w:p w:rsidR="00737DC2" w:rsidRPr="00CB28F7" w:rsidRDefault="00737DC2" w:rsidP="00737DC2">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7A58">
        <w:rPr>
          <w:bCs/>
          <w:color w:val="212529"/>
          <w:spacing w:val="-1"/>
          <w:u w:val="single"/>
        </w:rPr>
        <w:t>peste negra del Siglo XIV</w:t>
      </w:r>
      <w:r w:rsidRPr="00A661FA">
        <w:rPr>
          <w:b/>
          <w:bCs/>
          <w:color w:val="212529"/>
          <w:spacing w:val="-1"/>
          <w:u w:val="single"/>
        </w:rPr>
        <w:t>.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A67A58">
        <w:rPr>
          <w:bCs/>
          <w:color w:val="212529"/>
          <w:spacing w:val="-1"/>
        </w:rPr>
        <w:t>Gran levantamiento de 1381 en Inglaterra</w:t>
      </w:r>
      <w:r w:rsidRPr="00CB28F7">
        <w:rPr>
          <w:b/>
          <w:bCs/>
          <w:color w:val="212529"/>
          <w:spacing w:val="-1"/>
        </w:rPr>
        <w:t> </w:t>
      </w:r>
      <w:r w:rsidRPr="00CB28F7">
        <w:rPr>
          <w:color w:val="212529"/>
          <w:spacing w:val="-1"/>
        </w:rPr>
        <w:t>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mano de obra entre un 25% y un 40%, lo que provocó que </w:t>
      </w:r>
      <w:r w:rsidRPr="00A67A58">
        <w:rPr>
          <w:bCs/>
          <w:color w:val="212529"/>
          <w:spacing w:val="-1"/>
        </w:rPr>
        <w:t>los salarios entre las clases pobres crecieran un 100%</w:t>
      </w:r>
      <w:r w:rsidRPr="00CB28F7">
        <w:rPr>
          <w:color w:val="212529"/>
          <w:spacing w:val="-1"/>
        </w:rPr>
        <w:t>. Estos porcentajes se tradujeron en mayores sueldos, pero también en menos horas de trabajo y libertad para elegir al señor a quien servir.</w:t>
      </w:r>
    </w:p>
    <w:p w:rsidR="00737DC2" w:rsidRDefault="00737DC2" w:rsidP="00737DC2">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 peste negra dejó una lección importante, </w:t>
      </w:r>
      <w:r w:rsidRPr="00A67A58">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los investigadores de la Fed de San Francisco Òscar Jordà, Sanjay R. Singh y Alan M. Taylor han analizado el impacto que tuvieron epidemias pasadas teniendo en cuenta los salarios en un </w:t>
      </w:r>
      <w:hyperlink r:id="rId329" w:tgtFrame="_blank" w:history="1">
        <w:r w:rsidRPr="00085EA7">
          <w:rPr>
            <w:rStyle w:val="Hipervnculo"/>
            <w:rFonts w:eastAsiaTheme="majorEastAsia"/>
            <w:spacing w:val="-1"/>
          </w:rPr>
          <w:t>estudio para la Reserva Federal de San Francisco</w:t>
        </w:r>
      </w:hyperlink>
      <w:r w:rsidRPr="00085EA7">
        <w:rPr>
          <w:spacing w:val="-1"/>
          <w:u w:val="single"/>
        </w:rPr>
        <w:t xml:space="preserve">. </w:t>
      </w:r>
      <w:r w:rsidRPr="00A661FA">
        <w:rPr>
          <w:color w:val="212529"/>
          <w:spacing w:val="-1"/>
          <w:u w:val="single"/>
        </w:rPr>
        <w:t>Constatan el incremento de salarios, pero van más allá y hallan que la mejora se prolonga durante décadas.</w:t>
      </w:r>
    </w:p>
    <w:p w:rsidR="00737DC2" w:rsidRPr="00015C30" w:rsidRDefault="00737DC2" w:rsidP="00737DC2">
      <w:pPr>
        <w:pStyle w:val="NormalWeb"/>
        <w:shd w:val="clear" w:color="auto" w:fill="FFFFFF"/>
        <w:spacing w:before="0" w:beforeAutospacing="0" w:after="270" w:afterAutospacing="0"/>
        <w:jc w:val="both"/>
        <w:rPr>
          <w:bCs/>
          <w:color w:val="212529"/>
        </w:rPr>
      </w:pPr>
      <w:r w:rsidRPr="006D7D22">
        <w:rPr>
          <w:bCs/>
          <w:color w:val="212529"/>
        </w:rPr>
        <w:t>Respuesta de los salarios a las pandemias</w:t>
      </w:r>
    </w:p>
    <w:p w:rsidR="00737DC2" w:rsidRDefault="00737DC2" w:rsidP="00737DC2">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38800" cy="2216150"/>
            <wp:effectExtent l="0" t="0" r="0" b="0"/>
            <wp:docPr id="222" name="Imagen 176"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3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21615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737DC2" w:rsidRDefault="00737DC2" w:rsidP="00737DC2">
      <w:pPr>
        <w:pStyle w:val="Ttulo2"/>
        <w:shd w:val="clear" w:color="auto" w:fill="FFFFFF"/>
        <w:spacing w:before="0"/>
        <w:jc w:val="both"/>
        <w:rPr>
          <w:b w:val="0"/>
          <w:bCs w:val="0"/>
          <w:color w:val="212529"/>
          <w:sz w:val="24"/>
          <w:szCs w:val="24"/>
        </w:rPr>
      </w:pPr>
      <w:r w:rsidRPr="00CB28F7">
        <w:rPr>
          <w:b w:val="0"/>
          <w:bCs w:val="0"/>
          <w:color w:val="212529"/>
          <w:sz w:val="24"/>
          <w:szCs w:val="24"/>
        </w:rPr>
        <w:t>Durante décadas los retornos de capital quedan deprimidos</w:t>
      </w:r>
    </w:p>
    <w:p w:rsidR="00737DC2" w:rsidRPr="006D7D22" w:rsidRDefault="00737DC2" w:rsidP="00737DC2">
      <w:pPr>
        <w:pStyle w:val="Ttulo2"/>
        <w:shd w:val="clear" w:color="auto" w:fill="FFFFFF"/>
        <w:spacing w:before="0"/>
        <w:jc w:val="both"/>
        <w:rPr>
          <w:b w:val="0"/>
          <w:color w:val="FF0000"/>
          <w:spacing w:val="-1"/>
          <w:sz w:val="24"/>
          <w:szCs w:val="24"/>
          <w:u w:val="single"/>
        </w:rPr>
      </w:pPr>
      <w:r w:rsidRPr="006D7D22">
        <w:rPr>
          <w:b w:val="0"/>
          <w:color w:val="FF0000"/>
          <w:spacing w:val="-1"/>
          <w:sz w:val="24"/>
          <w:szCs w:val="24"/>
          <w:u w:val="single"/>
        </w:rPr>
        <w:t xml:space="preserve">Por contra, descubren que la depresión en los tipos son seguidas por períodos sostenidos, durante varias décadas, de retornos de rentabilidad de inversión muy bajos, debido al exceso </w:t>
      </w:r>
      <w:r w:rsidRPr="006D7D22">
        <w:rPr>
          <w:b w:val="0"/>
          <w:color w:val="FF0000"/>
          <w:spacing w:val="-1"/>
          <w:sz w:val="24"/>
          <w:szCs w:val="24"/>
          <w:u w:val="single"/>
        </w:rPr>
        <w:lastRenderedPageBreak/>
        <w:t>de capital que se queda en menos manos, y al </w:t>
      </w:r>
      <w:r w:rsidRPr="006D7D22">
        <w:rPr>
          <w:b w:val="0"/>
          <w:bCs w:val="0"/>
          <w:color w:val="FF0000"/>
          <w:spacing w:val="-1"/>
          <w:sz w:val="24"/>
          <w:szCs w:val="24"/>
          <w:u w:val="single"/>
        </w:rPr>
        <w:t>incremento del ahorro</w:t>
      </w:r>
      <w:r w:rsidRPr="006D7D22">
        <w:rPr>
          <w:b w:val="0"/>
          <w:color w:val="FF0000"/>
          <w:spacing w:val="-1"/>
          <w:sz w:val="24"/>
          <w:szCs w:val="24"/>
          <w:u w:val="single"/>
        </w:rPr>
        <w:t> como medida de prevención o para recuperar parte de la riqueza agotada.</w:t>
      </w:r>
    </w:p>
    <w:p w:rsidR="00737DC2" w:rsidRPr="00A661FA" w:rsidRDefault="00737DC2" w:rsidP="00737DC2">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331" w:tgtFrame="_self" w:history="1">
        <w:r w:rsidRPr="00A661FA">
          <w:rPr>
            <w:rStyle w:val="Hipervnculo"/>
            <w:rFonts w:eastAsiaTheme="majorEastAsia"/>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737DC2" w:rsidRPr="00A661FA" w:rsidRDefault="00737DC2" w:rsidP="00737DC2">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 xml:space="preserve">A la conclusión que </w:t>
      </w:r>
      <w:proofErr w:type="gramStart"/>
      <w:r w:rsidRPr="00A661FA">
        <w:rPr>
          <w:color w:val="FF0000"/>
          <w:spacing w:val="-1"/>
          <w:u w:val="single"/>
        </w:rPr>
        <w:t>llegan</w:t>
      </w:r>
      <w:proofErr w:type="gramEnd"/>
      <w:r w:rsidRPr="00A661FA">
        <w:rPr>
          <w:color w:val="FF0000"/>
          <w:spacing w:val="-1"/>
          <w:u w:val="single"/>
        </w:rPr>
        <w:t xml:space="preserve"> es que todas las plagas dejaron una larga secuela que tarda en desaparecer décadas.</w:t>
      </w:r>
      <w:r w:rsidRPr="00CB28F7">
        <w:rPr>
          <w:color w:val="212529"/>
          <w:spacing w:val="-1"/>
        </w:rPr>
        <w:t xml:space="preserve"> Los académicos utilizan en su estudio la </w:t>
      </w:r>
      <w:r w:rsidRPr="00A67A58">
        <w:rPr>
          <w:bCs/>
          <w:color w:val="212529"/>
          <w:spacing w:val="-1"/>
        </w:rPr>
        <w:t>tasa de interés natural</w:t>
      </w:r>
      <w:r w:rsidRPr="00CB28F7">
        <w:rPr>
          <w:color w:val="212529"/>
          <w:spacing w:val="-1"/>
        </w:rPr>
        <w:t> para medir los efectos a largo plazo que han tenido las pandemias en las economías europeas. A grandes rasgos se podría definir como el punto de equilibrio entre salarios y precios para que una economía se encuentre equilibrada. Este concepto les sirve a los autores, utilizando datos disponibles de sueldos y activos, como un </w:t>
      </w:r>
      <w:r w:rsidRPr="00A67A58">
        <w:rPr>
          <w:bCs/>
          <w:color w:val="212529"/>
          <w:spacing w:val="-1"/>
        </w:rPr>
        <w:t>barómetro útil de las fluctuaciones a largo plazo del dinamismo económico</w:t>
      </w:r>
      <w:r w:rsidRPr="00A67A58">
        <w:rPr>
          <w:color w:val="212529"/>
          <w:spacing w:val="-1"/>
        </w:rPr>
        <w:t>.</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737DC2" w:rsidRDefault="00737DC2" w:rsidP="00737DC2">
      <w:pPr>
        <w:pStyle w:val="Ttulo2"/>
        <w:shd w:val="clear" w:color="auto" w:fill="FFFFFF"/>
        <w:spacing w:before="0"/>
        <w:jc w:val="both"/>
        <w:rPr>
          <w:b w:val="0"/>
          <w:bCs w:val="0"/>
          <w:color w:val="212529"/>
          <w:sz w:val="24"/>
          <w:szCs w:val="24"/>
        </w:rPr>
      </w:pPr>
      <w:r>
        <w:rPr>
          <w:b w:val="0"/>
          <w:bCs w:val="0"/>
          <w:color w:val="212529"/>
          <w:sz w:val="24"/>
          <w:szCs w:val="24"/>
        </w:rPr>
        <w:t>El efecto de la</w:t>
      </w:r>
      <w:r w:rsidRPr="00CB28F7">
        <w:rPr>
          <w:b w:val="0"/>
          <w:bCs w:val="0"/>
          <w:color w:val="212529"/>
          <w:sz w:val="24"/>
          <w:szCs w:val="24"/>
        </w:rPr>
        <w:t xml:space="preserve"> crisis financiera sobre los tipos se pueden alargar 10 años</w:t>
      </w:r>
    </w:p>
    <w:p w:rsidR="00737DC2" w:rsidRPr="00A661FA" w:rsidRDefault="00737DC2" w:rsidP="00737DC2">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sidRPr="00FE3030">
        <w:rPr>
          <w:color w:val="FF0000"/>
          <w:spacing w:val="-1"/>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Pr="00A661FA">
        <w:rPr>
          <w:color w:val="FF0000"/>
          <w:spacing w:val="-1"/>
          <w:u w:val="single"/>
        </w:rPr>
        <w:t>, señalan.</w:t>
      </w:r>
    </w:p>
    <w:p w:rsidR="00737DC2" w:rsidRDefault="00737DC2" w:rsidP="00737DC2">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737DC2" w:rsidRDefault="00737DC2" w:rsidP="00737DC2">
      <w:pPr>
        <w:pStyle w:val="NormalWeb"/>
        <w:shd w:val="clear" w:color="auto" w:fill="FFFFFF"/>
        <w:spacing w:before="0" w:beforeAutospacing="0" w:after="270" w:afterAutospacing="0"/>
        <w:jc w:val="both"/>
        <w:rPr>
          <w:color w:val="212529"/>
          <w:spacing w:val="-1"/>
        </w:rPr>
      </w:pPr>
      <w:r w:rsidRPr="00CB28F7">
        <w:rPr>
          <w:color w:val="212529"/>
          <w:spacing w:val="-1"/>
        </w:rPr>
        <w:t>En </w:t>
      </w:r>
      <w:r w:rsidRPr="00A67A58">
        <w:rPr>
          <w:bCs/>
          <w:color w:val="212529"/>
          <w:spacing w:val="-1"/>
        </w:rPr>
        <w:t>las guerras, los tipos suelen reaccionar bruscamente a la baja, para luego repuntar en línea con la subida de precios</w:t>
      </w:r>
      <w:r>
        <w:rPr>
          <w:color w:val="212529"/>
          <w:spacing w:val="-1"/>
        </w:rPr>
        <w:t> ante la escasez de productos. “</w:t>
      </w:r>
      <w:r w:rsidRPr="00CB28F7">
        <w:rPr>
          <w:color w:val="212529"/>
          <w:spacing w:val="-1"/>
        </w:rPr>
        <w:t>El sesgo sobre los tipos de interés natural puede</w:t>
      </w:r>
      <w:r>
        <w:rPr>
          <w:color w:val="212529"/>
          <w:spacing w:val="-1"/>
        </w:rPr>
        <w:t xml:space="preserve"> leerse fácilmente a la inversa”</w:t>
      </w:r>
      <w:r w:rsidRPr="00CB28F7">
        <w:rPr>
          <w:color w:val="212529"/>
          <w:spacing w:val="-1"/>
        </w:rPr>
        <w:t>, comentan los expertos.</w:t>
      </w:r>
    </w:p>
    <w:p w:rsidR="00737DC2" w:rsidRDefault="00737DC2" w:rsidP="00737DC2">
      <w:pPr>
        <w:pStyle w:val="NormalWeb"/>
        <w:shd w:val="clear" w:color="auto" w:fill="FFFFFF"/>
        <w:spacing w:before="0" w:beforeAutospacing="0" w:after="270" w:afterAutospacing="0"/>
        <w:jc w:val="both"/>
        <w:rPr>
          <w:color w:val="212529"/>
          <w:spacing w:val="-1"/>
        </w:rPr>
      </w:pPr>
    </w:p>
    <w:p w:rsidR="00737DC2" w:rsidRDefault="00737DC2" w:rsidP="00737DC2">
      <w:pPr>
        <w:pStyle w:val="NormalWeb"/>
        <w:shd w:val="clear" w:color="auto" w:fill="FFFFFF"/>
        <w:spacing w:before="0" w:beforeAutospacing="0" w:after="270" w:afterAutospacing="0"/>
        <w:jc w:val="both"/>
        <w:rPr>
          <w:color w:val="212529"/>
          <w:spacing w:val="-1"/>
        </w:rPr>
      </w:pPr>
    </w:p>
    <w:p w:rsidR="00737DC2" w:rsidRDefault="00737DC2" w:rsidP="00737DC2">
      <w:pPr>
        <w:pStyle w:val="NormalWeb"/>
        <w:shd w:val="clear" w:color="auto" w:fill="FFFFFF"/>
        <w:spacing w:before="0" w:beforeAutospacing="0" w:after="270" w:afterAutospacing="0"/>
        <w:jc w:val="both"/>
        <w:rPr>
          <w:color w:val="212529"/>
          <w:spacing w:val="-1"/>
        </w:rPr>
      </w:pPr>
    </w:p>
    <w:p w:rsidR="00737DC2" w:rsidRPr="00CB28F7" w:rsidRDefault="00737DC2" w:rsidP="00737DC2">
      <w:pPr>
        <w:pStyle w:val="NormalWeb"/>
        <w:shd w:val="clear" w:color="auto" w:fill="FFFFFF"/>
        <w:spacing w:before="0" w:beforeAutospacing="0" w:after="270" w:afterAutospacing="0"/>
        <w:jc w:val="both"/>
        <w:rPr>
          <w:color w:val="212529"/>
          <w:spacing w:val="-1"/>
        </w:rPr>
      </w:pPr>
    </w:p>
    <w:p w:rsidR="00737DC2" w:rsidRPr="00CB28F7" w:rsidRDefault="00737DC2" w:rsidP="00737DC2">
      <w:pPr>
        <w:pStyle w:val="Ttulo2"/>
        <w:shd w:val="clear" w:color="auto" w:fill="FFFFFF"/>
        <w:spacing w:before="300" w:after="225"/>
        <w:jc w:val="both"/>
        <w:rPr>
          <w:b w:val="0"/>
          <w:bCs w:val="0"/>
          <w:color w:val="212529"/>
          <w:sz w:val="24"/>
          <w:szCs w:val="24"/>
        </w:rPr>
      </w:pPr>
      <w:r w:rsidRPr="00CB28F7">
        <w:rPr>
          <w:b w:val="0"/>
          <w:bCs w:val="0"/>
          <w:color w:val="212529"/>
          <w:sz w:val="24"/>
          <w:szCs w:val="24"/>
        </w:rPr>
        <w:lastRenderedPageBreak/>
        <w:t>Respuesta de los tipos naturales a las guerra</w:t>
      </w:r>
      <w:r>
        <w:rPr>
          <w:b w:val="0"/>
          <w:bCs w:val="0"/>
          <w:color w:val="212529"/>
          <w:sz w:val="24"/>
          <w:szCs w:val="24"/>
        </w:rPr>
        <w:t>s</w:t>
      </w:r>
      <w:r w:rsidRPr="00CB28F7">
        <w:rPr>
          <w:b w:val="0"/>
          <w:bCs w:val="0"/>
          <w:color w:val="212529"/>
          <w:sz w:val="24"/>
          <w:szCs w:val="24"/>
        </w:rPr>
        <w:t xml:space="preserve"> y a las pandemias</w:t>
      </w:r>
    </w:p>
    <w:p w:rsidR="00737DC2" w:rsidRPr="00CB28F7" w:rsidRDefault="00737DC2" w:rsidP="00737DC2">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83250" cy="2114550"/>
            <wp:effectExtent l="0" t="0" r="0" b="0"/>
            <wp:docPr id="223" name="Imagen 211"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3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3250" cy="2114550"/>
                    </a:xfrm>
                    <a:prstGeom prst="rect">
                      <a:avLst/>
                    </a:prstGeom>
                    <a:noFill/>
                    <a:ln>
                      <a:noFill/>
                    </a:ln>
                  </pic:spPr>
                </pic:pic>
              </a:graphicData>
            </a:graphic>
          </wp:inline>
        </w:drawing>
      </w:r>
    </w:p>
    <w:p w:rsidR="00737DC2" w:rsidRPr="002E6274" w:rsidRDefault="00737DC2" w:rsidP="00737DC2">
      <w:pPr>
        <w:pStyle w:val="Ttulo2"/>
        <w:shd w:val="clear" w:color="auto" w:fill="FFFFFF"/>
        <w:spacing w:before="0"/>
        <w:jc w:val="both"/>
        <w:rPr>
          <w:b w:val="0"/>
          <w:bCs w:val="0"/>
          <w:color w:val="212529"/>
          <w:sz w:val="24"/>
          <w:szCs w:val="24"/>
        </w:rPr>
      </w:pPr>
      <w:r w:rsidRPr="00CB28F7">
        <w:rPr>
          <w:b w:val="0"/>
          <w:bCs w:val="0"/>
          <w:color w:val="212529"/>
          <w:sz w:val="24"/>
          <w:szCs w:val="24"/>
        </w:rPr>
        <w:t>Los bonos, un invento de la guerra para financiarse</w:t>
      </w:r>
    </w:p>
    <w:p w:rsidR="00737DC2" w:rsidRPr="00CB28F7" w:rsidRDefault="00737DC2" w:rsidP="00737DC2">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Pr>
          <w:color w:val="FF0000"/>
          <w:spacing w:val="-1"/>
          <w:u w:val="single"/>
        </w:rPr>
        <w:t>tando a la mano de obra. Pero, “</w:t>
      </w:r>
      <w:r w:rsidRPr="002503CF">
        <w:rPr>
          <w:color w:val="FF0000"/>
          <w:spacing w:val="-1"/>
          <w:u w:val="single"/>
        </w:rPr>
        <w:t>la escasez de capital creada por la destrucción física es una cara</w:t>
      </w:r>
      <w:r>
        <w:rPr>
          <w:color w:val="FF0000"/>
          <w:spacing w:val="-1"/>
          <w:u w:val="single"/>
        </w:rPr>
        <w:t>cterística ausente en pandemias”</w:t>
      </w:r>
      <w:r w:rsidRPr="002503CF">
        <w:rPr>
          <w:color w:val="FF0000"/>
          <w:spacing w:val="-1"/>
          <w:u w:val="single"/>
        </w:rPr>
        <w:t>, lo que impacta directamente en la oferta y estimula los precios, a pesar de que 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Pr>
          <w:color w:val="212529"/>
          <w:spacing w:val="-1"/>
        </w:rPr>
        <w:t>a para financiar la contienda. “</w:t>
      </w:r>
      <w:r w:rsidRPr="00CB28F7">
        <w:rPr>
          <w:color w:val="212529"/>
          <w:spacing w:val="-1"/>
        </w:rPr>
        <w:t xml:space="preserve">La carga de recaudar grandes sumas de dinero a través implica </w:t>
      </w:r>
      <w:r>
        <w:rPr>
          <w:color w:val="212529"/>
          <w:spacing w:val="-1"/>
        </w:rPr>
        <w:t>unos tipos de interés más altos”</w:t>
      </w:r>
      <w:r w:rsidRPr="00CB28F7">
        <w:rPr>
          <w:color w:val="212529"/>
          <w:spacing w:val="-1"/>
        </w:rPr>
        <w:t>, subrayan.</w:t>
      </w:r>
    </w:p>
    <w:p w:rsidR="00737DC2" w:rsidRPr="002503CF" w:rsidRDefault="00737DC2" w:rsidP="00737DC2">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La gran pregunta es si las economías europeas se van a comportar igual ante la pandemia del coronavirus. Lo cierto es que los </w:t>
      </w:r>
      <w:r w:rsidRPr="00A67A58">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737DC2" w:rsidRPr="00CB28F7" w:rsidRDefault="00737DC2" w:rsidP="00737DC2">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38800" cy="2406650"/>
            <wp:effectExtent l="0" t="0" r="0" b="0"/>
            <wp:docPr id="224" name="Imagen 212"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3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40665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67A58">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737DC2" w:rsidRPr="0055592C" w:rsidRDefault="00737DC2" w:rsidP="00737DC2">
      <w:pPr>
        <w:pStyle w:val="NormalWeb"/>
        <w:shd w:val="clear" w:color="auto" w:fill="FFFFFF"/>
        <w:spacing w:after="270"/>
        <w:jc w:val="both"/>
        <w:rPr>
          <w:spacing w:val="-1"/>
        </w:rPr>
      </w:pPr>
      <w:r w:rsidRPr="0055592C">
        <w:rPr>
          <w:spacing w:val="-1"/>
        </w:rPr>
        <w:lastRenderedPageBreak/>
        <w:t>La peste negra y otras plagas golpearon a las poblaciones por debajo de los 60 años</w:t>
      </w:r>
    </w:p>
    <w:p w:rsidR="00737DC2" w:rsidRPr="0055592C" w:rsidRDefault="00737DC2" w:rsidP="00737DC2">
      <w:pPr>
        <w:pStyle w:val="NormalWeb"/>
        <w:shd w:val="clear" w:color="auto" w:fill="FFFFFF"/>
        <w:spacing w:before="0" w:beforeAutospacing="0" w:after="270" w:afterAutospacing="0"/>
        <w:jc w:val="both"/>
        <w:rPr>
          <w:spacing w:val="-1"/>
          <w:u w:val="single"/>
        </w:rPr>
      </w:pPr>
      <w:r w:rsidRPr="0055592C">
        <w:rPr>
          <w:spacing w:val="-1"/>
        </w:rPr>
        <w:t xml:space="preserve">Sin embargo, sobre los tipos oficiales y naturales influyen muchos factores más que terminan evitando una curva suave. El factor tecnológico sobre la producción, el demográfico como el </w:t>
      </w:r>
      <w:r w:rsidRPr="0055592C">
        <w:rPr>
          <w:spacing w:val="-1"/>
          <w:u w:val="single"/>
        </w:rPr>
        <w:t>envejecimiento de la población</w:t>
      </w:r>
      <w:r w:rsidRPr="0055592C">
        <w:rPr>
          <w:spacing w:val="-1"/>
        </w:rPr>
        <w:t xml:space="preserve"> y el político (las propias decisiones de los propios bancos centrales) provoca en determinados fuertes oscilaciones, aunque no han evitado modificar la tendencia de fondo. Estas circunstancias platean dudas si la actual pandemia tendrá las mismas consecuencias. </w:t>
      </w:r>
      <w:r w:rsidRPr="0055592C">
        <w:rPr>
          <w:spacing w:val="-1"/>
          <w:u w:val="single"/>
        </w:rPr>
        <w:t>Hasta el momento la mortalidad del COVID-19 se ceba con personas de elevada edad reduciéndose el impacto sobre la fuerza de trabajo, un elemento que terminó desestabilizando a las economías en pasadas pandemias. El desarrollo de la tecnología también apunta a que por este lado pueda amortiguar el golpe sobre la mano de obra. “La peste negra y otras plagas golpearon a las poblaciones por debajo de los 60 años, por lo que esta vez puede ser diferente”, afirman.</w:t>
      </w:r>
    </w:p>
    <w:p w:rsidR="00737DC2" w:rsidRPr="00CB28F7" w:rsidRDefault="00737DC2" w:rsidP="00737DC2">
      <w:pPr>
        <w:pStyle w:val="NormalWeb"/>
        <w:shd w:val="clear" w:color="auto" w:fill="FFFFFF"/>
        <w:spacing w:before="0" w:beforeAutospacing="0" w:after="270" w:afterAutospacing="0"/>
        <w:jc w:val="both"/>
        <w:rPr>
          <w:color w:val="212529"/>
          <w:spacing w:val="-1"/>
        </w:rPr>
      </w:pPr>
      <w:r w:rsidRPr="00CB28F7">
        <w:rPr>
          <w:color w:val="212529"/>
          <w:spacing w:val="-1"/>
        </w:rPr>
        <w:t>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737DC2" w:rsidRPr="00CB28F7" w:rsidRDefault="00737DC2" w:rsidP="00737DC2">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746750" cy="3771900"/>
            <wp:effectExtent l="0" t="0" r="6350" b="0"/>
            <wp:docPr id="225" name="Imagen 214"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3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6750" cy="3771900"/>
                    </a:xfrm>
                    <a:prstGeom prst="rect">
                      <a:avLst/>
                    </a:prstGeom>
                    <a:noFill/>
                    <a:ln>
                      <a:noFill/>
                    </a:ln>
                  </pic:spPr>
                </pic:pic>
              </a:graphicData>
            </a:graphic>
          </wp:inline>
        </w:drawing>
      </w:r>
    </w:p>
    <w:p w:rsidR="00737DC2" w:rsidRDefault="00737DC2" w:rsidP="00737DC2">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Pr>
          <w:color w:val="212529"/>
          <w:spacing w:val="-1"/>
          <w:u w:val="single"/>
        </w:rPr>
        <w:t>tos resultados se explican por “</w:t>
      </w:r>
      <w:r w:rsidRPr="002503CF">
        <w:rPr>
          <w:color w:val="212529"/>
          <w:spacing w:val="-1"/>
          <w:u w:val="single"/>
        </w:rPr>
        <w:t>la exposición de cada país a la pandemia, el tamaño de la población activa y la ind</w:t>
      </w:r>
      <w:r>
        <w:rPr>
          <w:color w:val="212529"/>
          <w:spacing w:val="-1"/>
          <w:u w:val="single"/>
        </w:rPr>
        <w:t>ustrialización de cada economía”</w:t>
      </w:r>
      <w:r w:rsidRPr="002503CF">
        <w:rPr>
          <w:color w:val="212529"/>
          <w:spacing w:val="-1"/>
          <w:u w:val="single"/>
        </w:rPr>
        <w:t xml:space="preserve">.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w:t>
      </w:r>
      <w:r w:rsidRPr="002503CF">
        <w:rPr>
          <w:color w:val="212529"/>
          <w:spacing w:val="-1"/>
          <w:u w:val="single"/>
        </w:rPr>
        <w:lastRenderedPageBreak/>
        <w:t>los gobiernos cumplan con su retórica de economía de guerra para elevar la deuda y aplicar estímulos</w:t>
      </w:r>
      <w:r w:rsidRPr="00CB28F7">
        <w:rPr>
          <w:color w:val="212529"/>
          <w:spacing w:val="-1"/>
        </w:rPr>
        <w:t>.</w:t>
      </w:r>
    </w:p>
    <w:p w:rsidR="00737DC2" w:rsidRDefault="00737DC2" w:rsidP="00737DC2">
      <w:pPr>
        <w:pStyle w:val="NormalWeb"/>
        <w:spacing w:after="0"/>
        <w:jc w:val="both"/>
        <w:textAlignment w:val="baseline"/>
      </w:pPr>
      <w:r>
        <w:t xml:space="preserve">- </w:t>
      </w:r>
      <w:r w:rsidRPr="000F0497">
        <w:rPr>
          <w:u w:val="single"/>
        </w:rPr>
        <w:t>Coronavirus: por qué la pandemia puede acelerar la desglobalización de la economía mundial (y qué peligros conlleva eso)</w:t>
      </w:r>
      <w:r>
        <w:t xml:space="preserve"> (BBCMundo - </w:t>
      </w:r>
      <w:r w:rsidRPr="000F0497">
        <w:rPr>
          <w:b/>
        </w:rPr>
        <w:t>16/4/20</w:t>
      </w:r>
      <w:r>
        <w:t>)</w:t>
      </w:r>
    </w:p>
    <w:p w:rsidR="00737DC2" w:rsidRPr="00EA40CD" w:rsidRDefault="00737DC2" w:rsidP="00737DC2">
      <w:pPr>
        <w:pStyle w:val="NormalWeb"/>
        <w:spacing w:after="0"/>
        <w:jc w:val="both"/>
        <w:textAlignment w:val="baseline"/>
        <w:rPr>
          <w:color w:val="FF0000"/>
        </w:rPr>
      </w:pPr>
      <w:r w:rsidRPr="00EA40CD">
        <w:rPr>
          <w:color w:val="FF0000"/>
        </w:rPr>
        <w:t>Una de las palabras clave para entender los últimos 25 años de la historia mundial es globalización</w:t>
      </w:r>
    </w:p>
    <w:p w:rsidR="00737DC2" w:rsidRDefault="00737DC2" w:rsidP="00737DC2">
      <w:pPr>
        <w:pStyle w:val="NormalWeb"/>
        <w:spacing w:after="0"/>
        <w:jc w:val="both"/>
        <w:textAlignment w:val="baseline"/>
      </w:pPr>
      <w:r>
        <w:t>Aunque, como dice Jonty Bloom, periodista de la BBC, cualquier historiador económico puede hablar de cómo durante siglos -si no milenios- las personas han estado comerciando a través de grandes distancias.</w:t>
      </w:r>
    </w:p>
    <w:p w:rsidR="00737DC2" w:rsidRDefault="00737DC2" w:rsidP="00737DC2">
      <w:pPr>
        <w:pStyle w:val="NormalWeb"/>
        <w:spacing w:after="0"/>
        <w:jc w:val="both"/>
        <w:textAlignment w:val="baseline"/>
      </w:pPr>
      <w:r>
        <w:t>Recuerda Bloom que basta con fijarse en el lucrativo comercio de especias en la Edad Media.</w:t>
      </w:r>
    </w:p>
    <w:p w:rsidR="00737DC2" w:rsidRPr="00EA40CD" w:rsidRDefault="00737DC2" w:rsidP="00737DC2">
      <w:pPr>
        <w:pStyle w:val="NormalWeb"/>
        <w:spacing w:after="0"/>
        <w:jc w:val="both"/>
        <w:textAlignment w:val="baseline"/>
        <w:rPr>
          <w:u w:val="single"/>
        </w:rPr>
      </w:pPr>
      <w:r>
        <w:t xml:space="preserve">Pero </w:t>
      </w:r>
      <w:r w:rsidRPr="00EA40CD">
        <w:rPr>
          <w:u w:val="single"/>
        </w:rPr>
        <w:t>la globalización actual es diferente realmente por la escala y la rapidez del intercambio internacional, que en las últimas décadas explotó a niveles sin precedentes.</w:t>
      </w:r>
    </w:p>
    <w:p w:rsidR="00737DC2" w:rsidRPr="00EA40CD" w:rsidRDefault="00737DC2" w:rsidP="00737DC2">
      <w:pPr>
        <w:pStyle w:val="NormalWeb"/>
        <w:spacing w:after="0"/>
        <w:jc w:val="both"/>
        <w:textAlignment w:val="baseline"/>
        <w:rPr>
          <w:u w:val="single"/>
        </w:rPr>
      </w:pPr>
      <w:r w:rsidRPr="00EA40CD">
        <w:rPr>
          <w:u w:val="single"/>
        </w:rPr>
        <w:t>Es por eso que el brote del nuevo coronavirus ha tenido tan inmediatos y abrumadores efectos económicos en todo el mundo.</w:t>
      </w:r>
    </w:p>
    <w:p w:rsidR="00737DC2" w:rsidRPr="00667FFB" w:rsidRDefault="00737DC2" w:rsidP="00737DC2">
      <w:pPr>
        <w:pStyle w:val="NormalWeb"/>
        <w:spacing w:after="0"/>
        <w:jc w:val="both"/>
        <w:textAlignment w:val="baseline"/>
        <w:rPr>
          <w:u w:val="single"/>
        </w:rPr>
      </w:pPr>
      <w:r w:rsidRPr="00667FFB">
        <w:rPr>
          <w:u w:val="single"/>
        </w:rPr>
        <w:t>El profesor Beata Javorcik, economista en jefe del Banco Europea para la Reconstrucción y el Desarrollo le dijo a Jonty Bloom que el ritmo de cambio en la economía en los últimos 17 años ha sido muy profundo.</w:t>
      </w:r>
    </w:p>
    <w:p w:rsidR="00737DC2" w:rsidRPr="00667FFB" w:rsidRDefault="00737DC2" w:rsidP="00737DC2">
      <w:pPr>
        <w:pStyle w:val="NormalWeb"/>
        <w:spacing w:after="0"/>
        <w:jc w:val="both"/>
        <w:textAlignment w:val="baseline"/>
        <w:rPr>
          <w:color w:val="FF0000"/>
          <w:u w:val="single"/>
        </w:rPr>
      </w:pPr>
      <w:r>
        <w:rPr>
          <w:color w:val="FF0000"/>
          <w:u w:val="single"/>
        </w:rPr>
        <w:t>“</w:t>
      </w:r>
      <w:r w:rsidRPr="00667FFB">
        <w:rPr>
          <w:color w:val="FF0000"/>
          <w:u w:val="single"/>
        </w:rPr>
        <w:t>Cuando pensamos en la epidemia de Sars de 2003, China constituí</w:t>
      </w:r>
      <w:r>
        <w:rPr>
          <w:color w:val="FF0000"/>
          <w:u w:val="single"/>
        </w:rPr>
        <w:t>a el 4% de la producción global”, recuerda. “</w:t>
      </w:r>
      <w:r w:rsidRPr="00667FFB">
        <w:rPr>
          <w:color w:val="FF0000"/>
          <w:u w:val="single"/>
        </w:rPr>
        <w:t>Ahora China constituye el 16%, cuatro veces más. Eso significa que lo que sea que ocurra en ese</w:t>
      </w:r>
      <w:r>
        <w:rPr>
          <w:color w:val="FF0000"/>
          <w:u w:val="single"/>
        </w:rPr>
        <w:t xml:space="preserve"> país afecta mucho más al mundo”</w:t>
      </w:r>
      <w:r w:rsidRPr="00667FFB">
        <w:rPr>
          <w:color w:val="FF0000"/>
          <w:u w:val="single"/>
        </w:rPr>
        <w:t>.</w:t>
      </w:r>
    </w:p>
    <w:p w:rsidR="00737DC2" w:rsidRDefault="00737DC2" w:rsidP="00737DC2">
      <w:pPr>
        <w:pStyle w:val="NormalWeb"/>
        <w:spacing w:after="0"/>
        <w:jc w:val="both"/>
        <w:textAlignment w:val="baseline"/>
      </w:pPr>
      <w:r>
        <w:t>El lado oculto</w:t>
      </w:r>
    </w:p>
    <w:p w:rsidR="00737DC2" w:rsidRPr="00667FFB" w:rsidRDefault="00737DC2" w:rsidP="00737DC2">
      <w:pPr>
        <w:pStyle w:val="NormalWeb"/>
        <w:spacing w:after="0"/>
        <w:jc w:val="both"/>
        <w:textAlignment w:val="baseline"/>
        <w:rPr>
          <w:color w:val="FF0000"/>
          <w:u w:val="single"/>
        </w:rPr>
      </w:pPr>
      <w:r w:rsidRPr="00667FFB">
        <w:rPr>
          <w:color w:val="FF0000"/>
          <w:u w:val="single"/>
        </w:rPr>
        <w:t>Por su parte, Ian Goldin, profesor de globalización y desarrollo en la Universidad de Oxford, dice que en los últimos años se ha permitido</w:t>
      </w:r>
      <w:r>
        <w:rPr>
          <w:color w:val="FF0000"/>
          <w:u w:val="single"/>
        </w:rPr>
        <w:t xml:space="preserve"> que los riesgos se propaguen. “</w:t>
      </w:r>
      <w:r w:rsidRPr="00667FFB">
        <w:rPr>
          <w:color w:val="FF0000"/>
          <w:u w:val="single"/>
        </w:rPr>
        <w:t>Son el lado oculto de la globalización</w:t>
      </w:r>
      <w:r>
        <w:rPr>
          <w:color w:val="FF0000"/>
          <w:u w:val="single"/>
        </w:rPr>
        <w:t>”</w:t>
      </w:r>
      <w:r w:rsidRPr="00667FFB">
        <w:rPr>
          <w:color w:val="FF0000"/>
          <w:u w:val="single"/>
        </w:rPr>
        <w:t>.</w:t>
      </w:r>
    </w:p>
    <w:p w:rsidR="00737DC2" w:rsidRPr="00667FFB" w:rsidRDefault="00737DC2" w:rsidP="00737DC2">
      <w:pPr>
        <w:pStyle w:val="NormalWeb"/>
        <w:spacing w:after="0"/>
        <w:jc w:val="both"/>
        <w:textAlignment w:val="baseline"/>
        <w:rPr>
          <w:color w:val="FF0000"/>
          <w:u w:val="single"/>
        </w:rPr>
      </w:pPr>
      <w:r w:rsidRPr="00667FFB">
        <w:rPr>
          <w:color w:val="FF0000"/>
          <w:u w:val="single"/>
        </w:rPr>
        <w:t>Eso, agrega, se puede ver no solo en esta crisis, sino en la económica de 2008 y le vulnerabilidad d</w:t>
      </w:r>
      <w:r>
        <w:rPr>
          <w:color w:val="FF0000"/>
          <w:u w:val="single"/>
        </w:rPr>
        <w:t>e internet a los ciberataques. “</w:t>
      </w:r>
      <w:r w:rsidRPr="00667FFB">
        <w:rPr>
          <w:color w:val="FF0000"/>
          <w:u w:val="single"/>
        </w:rPr>
        <w:t xml:space="preserve">El nuevo sistema económico mundial brinda enormes beneficios, pero </w:t>
      </w:r>
      <w:r>
        <w:rPr>
          <w:color w:val="FF0000"/>
          <w:u w:val="single"/>
        </w:rPr>
        <w:t>también implica riesgos enormes”</w:t>
      </w:r>
      <w:r w:rsidRPr="00667FFB">
        <w:rPr>
          <w:color w:val="FF0000"/>
          <w:u w:val="single"/>
        </w:rPr>
        <w:t>.</w:t>
      </w:r>
    </w:p>
    <w:p w:rsidR="00737DC2" w:rsidRPr="00667FFB" w:rsidRDefault="00737DC2" w:rsidP="00737DC2">
      <w:pPr>
        <w:pStyle w:val="NormalWeb"/>
        <w:spacing w:after="0"/>
        <w:jc w:val="both"/>
        <w:textAlignment w:val="baseline"/>
        <w:rPr>
          <w:u w:val="single"/>
        </w:rPr>
      </w:pPr>
      <w:r w:rsidRPr="00667FFB">
        <w:rPr>
          <w:u w:val="single"/>
        </w:rPr>
        <w:t>Entonces, ¿qué significa esta crisis para la globalización?</w:t>
      </w:r>
    </w:p>
    <w:p w:rsidR="00737DC2" w:rsidRPr="00667FFB" w:rsidRDefault="00737DC2" w:rsidP="00737DC2">
      <w:pPr>
        <w:pStyle w:val="NormalWeb"/>
        <w:spacing w:after="0"/>
        <w:jc w:val="both"/>
        <w:textAlignment w:val="baseline"/>
        <w:rPr>
          <w:u w:val="single"/>
        </w:rPr>
      </w:pPr>
      <w:r w:rsidRPr="00667FFB">
        <w:rPr>
          <w:u w:val="single"/>
        </w:rPr>
        <w:t>Richard Portes, profesor de economía en la London Business School, le dice al periodista de la BBC que es obvio que algunas cosas tendrán que cambiar, porque tanto las personas como las compañías se han dado cuenta de la dimensión de los riesgos que han venido tomando.</w:t>
      </w:r>
    </w:p>
    <w:p w:rsidR="00737DC2" w:rsidRPr="00667FFB" w:rsidRDefault="00737DC2" w:rsidP="00737DC2">
      <w:pPr>
        <w:pStyle w:val="NormalWeb"/>
        <w:spacing w:after="0"/>
        <w:jc w:val="both"/>
        <w:textAlignment w:val="baseline"/>
        <w:rPr>
          <w:u w:val="single"/>
        </w:rPr>
      </w:pPr>
      <w:r>
        <w:t xml:space="preserve">“Mire el intercambio comercial. Una vez que las cadenas de suministro fueron interrumpidas (por el coronavirus), </w:t>
      </w:r>
      <w:r w:rsidRPr="00667FFB">
        <w:rPr>
          <w:u w:val="single"/>
        </w:rPr>
        <w:t>las personas empezaron a buscar por fuentes alternativas en cas</w:t>
      </w:r>
      <w:r>
        <w:rPr>
          <w:u w:val="single"/>
        </w:rPr>
        <w:t>a, incluso si eran más costosas”</w:t>
      </w:r>
      <w:r w:rsidRPr="00667FFB">
        <w:rPr>
          <w:u w:val="single"/>
        </w:rPr>
        <w:t>, dice.</w:t>
      </w:r>
    </w:p>
    <w:p w:rsidR="00737DC2" w:rsidRPr="00667FFB" w:rsidRDefault="00737DC2" w:rsidP="00737DC2">
      <w:pPr>
        <w:pStyle w:val="NormalWeb"/>
        <w:spacing w:after="0"/>
        <w:jc w:val="both"/>
        <w:textAlignment w:val="baseline"/>
        <w:rPr>
          <w:u w:val="single"/>
        </w:rPr>
      </w:pPr>
      <w:r>
        <w:rPr>
          <w:u w:val="single"/>
        </w:rPr>
        <w:lastRenderedPageBreak/>
        <w:t>“</w:t>
      </w:r>
      <w:r w:rsidRPr="00667FFB">
        <w:rPr>
          <w:u w:val="single"/>
        </w:rPr>
        <w:t xml:space="preserve">Si las personas encuentran proveedores domésticos, se quedarán con ellos, precisamente por </w:t>
      </w:r>
      <w:r>
        <w:rPr>
          <w:u w:val="single"/>
        </w:rPr>
        <w:t>esos riesgos que ahora perciben”</w:t>
      </w:r>
      <w:r w:rsidRPr="00667FFB">
        <w:rPr>
          <w:u w:val="single"/>
        </w:rPr>
        <w:t>.</w:t>
      </w:r>
    </w:p>
    <w:p w:rsidR="00737DC2" w:rsidRPr="00667FFB" w:rsidRDefault="00737DC2" w:rsidP="00737DC2">
      <w:pPr>
        <w:pStyle w:val="NormalWeb"/>
        <w:spacing w:after="0"/>
        <w:jc w:val="both"/>
        <w:textAlignment w:val="baseline"/>
        <w:rPr>
          <w:color w:val="FF0000"/>
          <w:u w:val="single"/>
        </w:rPr>
      </w:pPr>
      <w:r w:rsidRPr="00667FFB">
        <w:rPr>
          <w:color w:val="FF0000"/>
          <w:u w:val="single"/>
        </w:rPr>
        <w:t>La profesora Javorcik está de acuerdo y cree que existe una combinación de factores que harán que la industria manufacturera occidental empiece a traer de vuelta</w:t>
      </w:r>
      <w:r>
        <w:rPr>
          <w:color w:val="FF0000"/>
          <w:u w:val="single"/>
        </w:rPr>
        <w:t xml:space="preserve"> a casa parte de sus trabajos (“re-shoring”</w:t>
      </w:r>
      <w:r w:rsidRPr="00667FFB">
        <w:rPr>
          <w:color w:val="FF0000"/>
          <w:u w:val="single"/>
        </w:rPr>
        <w:t>, se le llama en inglés).</w:t>
      </w:r>
    </w:p>
    <w:p w:rsidR="00737DC2" w:rsidRPr="00667FFB" w:rsidRDefault="00737DC2" w:rsidP="00737DC2">
      <w:pPr>
        <w:pStyle w:val="NormalWeb"/>
        <w:spacing w:after="0"/>
        <w:jc w:val="both"/>
        <w:textAlignment w:val="baseline"/>
        <w:rPr>
          <w:color w:val="FF0000"/>
          <w:u w:val="single"/>
        </w:rPr>
      </w:pPr>
      <w:r>
        <w:rPr>
          <w:color w:val="FF0000"/>
          <w:u w:val="single"/>
        </w:rPr>
        <w:t>“</w:t>
      </w:r>
      <w:r w:rsidRPr="00667FFB">
        <w:rPr>
          <w:color w:val="FF0000"/>
          <w:u w:val="single"/>
        </w:rPr>
        <w:t>Creo que la guerra com</w:t>
      </w:r>
      <w:r>
        <w:rPr>
          <w:color w:val="FF0000"/>
          <w:u w:val="single"/>
        </w:rPr>
        <w:t>ercial (principalmente entre EEUU</w:t>
      </w:r>
      <w:r w:rsidRPr="00667FFB">
        <w:rPr>
          <w:color w:val="FF0000"/>
          <w:u w:val="single"/>
        </w:rPr>
        <w:t xml:space="preserve"> y China) combinada con la epidemia del coronavirus hará qu</w:t>
      </w:r>
      <w:r>
        <w:rPr>
          <w:color w:val="FF0000"/>
          <w:u w:val="single"/>
        </w:rPr>
        <w:t>e muchas compañías se tomen el “re-shoring” con mucha seriedad”</w:t>
      </w:r>
      <w:r w:rsidRPr="00667FFB">
        <w:rPr>
          <w:color w:val="FF0000"/>
          <w:u w:val="single"/>
        </w:rPr>
        <w:t>, indica.</w:t>
      </w:r>
    </w:p>
    <w:p w:rsidR="00737DC2" w:rsidRPr="00667FFB" w:rsidRDefault="00737DC2" w:rsidP="00737DC2">
      <w:pPr>
        <w:pStyle w:val="NormalWeb"/>
        <w:spacing w:after="0"/>
        <w:jc w:val="both"/>
        <w:textAlignment w:val="baseline"/>
        <w:rPr>
          <w:u w:val="single"/>
        </w:rPr>
      </w:pPr>
      <w:r>
        <w:rPr>
          <w:u w:val="single"/>
        </w:rPr>
        <w:t>“</w:t>
      </w:r>
      <w:r w:rsidRPr="00667FFB">
        <w:rPr>
          <w:u w:val="single"/>
        </w:rPr>
        <w:t>Muchas de esas actividades pueden ser automatizadas, porque re-shoring trae certeza. No tienes que preocuparte por la política comercial nacional. Y te da la oportunidad de dive</w:t>
      </w:r>
      <w:r>
        <w:rPr>
          <w:u w:val="single"/>
        </w:rPr>
        <w:t>rsificar tu base de proveedores”</w:t>
      </w:r>
      <w:r w:rsidRPr="00667FFB">
        <w:rPr>
          <w:u w:val="single"/>
        </w:rPr>
        <w:t>.</w:t>
      </w:r>
    </w:p>
    <w:p w:rsidR="00737DC2" w:rsidRPr="00667FFB" w:rsidRDefault="00737DC2" w:rsidP="00737DC2">
      <w:pPr>
        <w:pStyle w:val="NormalWeb"/>
        <w:spacing w:after="0"/>
        <w:jc w:val="both"/>
        <w:textAlignment w:val="baseline"/>
        <w:rPr>
          <w:u w:val="single"/>
        </w:rPr>
      </w:pPr>
      <w:r>
        <w:t xml:space="preserve">En un artículo publicado en la revista mexicana Letras Libres, </w:t>
      </w:r>
      <w:r w:rsidRPr="00667FFB">
        <w:rPr>
          <w:u w:val="single"/>
        </w:rPr>
        <w:t>Toni Timoner, experto en riesgo macroeconómico, es más contundente:</w:t>
      </w:r>
    </w:p>
    <w:p w:rsidR="00737DC2" w:rsidRPr="00667FFB" w:rsidRDefault="00737DC2" w:rsidP="00737DC2">
      <w:pPr>
        <w:pStyle w:val="NormalWeb"/>
        <w:spacing w:after="0"/>
        <w:jc w:val="both"/>
        <w:textAlignment w:val="baseline"/>
        <w:rPr>
          <w:color w:val="FF0000"/>
          <w:u w:val="single"/>
        </w:rPr>
      </w:pPr>
      <w:r>
        <w:rPr>
          <w:color w:val="FF0000"/>
          <w:u w:val="single"/>
        </w:rPr>
        <w:t>“</w:t>
      </w:r>
      <w:r w:rsidRPr="00667FFB">
        <w:rPr>
          <w:color w:val="FF0000"/>
          <w:u w:val="single"/>
        </w:rPr>
        <w:t>Se acelerará el repliegue del comercio internacional. Los exportadores ya están reconfigurando sus cadenas de suministros y acercando producción a costa de eficiencias. Los importadores subirán barreras arancelarias en respuesta. Este proceso ya había comenzado con la guerra comercial y ahora entrará en barrena. Asia y Occidente se aíslan mutuamente. Cae un telón de</w:t>
      </w:r>
      <w:r>
        <w:rPr>
          <w:color w:val="FF0000"/>
          <w:u w:val="single"/>
        </w:rPr>
        <w:t xml:space="preserve"> acero económico sobre el mundo”</w:t>
      </w:r>
      <w:r w:rsidRPr="00667FFB">
        <w:rPr>
          <w:color w:val="FF0000"/>
          <w:u w:val="single"/>
        </w:rPr>
        <w:t>.</w:t>
      </w:r>
    </w:p>
    <w:p w:rsidR="00737DC2" w:rsidRDefault="00737DC2" w:rsidP="00737DC2">
      <w:pPr>
        <w:pStyle w:val="NormalWeb"/>
        <w:spacing w:after="0"/>
        <w:jc w:val="both"/>
        <w:textAlignment w:val="baseline"/>
      </w:pPr>
      <w:r>
        <w:t>Las universidades</w:t>
      </w:r>
    </w:p>
    <w:p w:rsidR="00737DC2" w:rsidRDefault="00737DC2" w:rsidP="00737DC2">
      <w:pPr>
        <w:pStyle w:val="NormalWeb"/>
        <w:spacing w:after="0"/>
        <w:jc w:val="both"/>
        <w:textAlignment w:val="baseline"/>
      </w:pPr>
      <w:r>
        <w:t>Pero, como indica el periodista de la BBC Jonty Bloom, gran parte de la globalización no es sólo acerca de movimiento de bienes o materias primas, sino gente, ideas e información. Algo que las economías occidentales hacen muy bien.</w:t>
      </w:r>
    </w:p>
    <w:p w:rsidR="00737DC2" w:rsidRPr="00667FFB" w:rsidRDefault="00737DC2" w:rsidP="00737DC2">
      <w:pPr>
        <w:pStyle w:val="NormalWeb"/>
        <w:spacing w:after="0"/>
        <w:jc w:val="both"/>
        <w:textAlignment w:val="baseline"/>
        <w:rPr>
          <w:color w:val="FF0000"/>
          <w:u w:val="single"/>
        </w:rPr>
      </w:pPr>
      <w:r w:rsidRPr="00667FFB">
        <w:rPr>
          <w:color w:val="FF0000"/>
          <w:u w:val="single"/>
        </w:rPr>
        <w:t>David Henig, director de Política de Comercio del Reino Unido para el Centro Europeo de Política Econó</w:t>
      </w:r>
      <w:r>
        <w:rPr>
          <w:color w:val="FF0000"/>
          <w:u w:val="single"/>
        </w:rPr>
        <w:t>mica Internacional, señala que “</w:t>
      </w:r>
      <w:r w:rsidRPr="00667FFB">
        <w:rPr>
          <w:color w:val="FF0000"/>
          <w:u w:val="single"/>
        </w:rPr>
        <w:t>el sector de los servicios debe sentir como que cayó desde un risco. Fíjense solo en</w:t>
      </w:r>
      <w:r>
        <w:rPr>
          <w:color w:val="FF0000"/>
          <w:u w:val="single"/>
        </w:rPr>
        <w:t xml:space="preserve"> el turismo y las universidades”</w:t>
      </w:r>
      <w:r w:rsidRPr="00667FFB">
        <w:rPr>
          <w:color w:val="FF0000"/>
          <w:u w:val="single"/>
        </w:rPr>
        <w:t>.</w:t>
      </w:r>
    </w:p>
    <w:p w:rsidR="00737DC2" w:rsidRPr="00667FFB" w:rsidRDefault="00737DC2" w:rsidP="00737DC2">
      <w:pPr>
        <w:pStyle w:val="NormalWeb"/>
        <w:spacing w:after="0"/>
        <w:jc w:val="both"/>
        <w:textAlignment w:val="baseline"/>
        <w:rPr>
          <w:u w:val="single"/>
        </w:rPr>
      </w:pPr>
      <w:r>
        <w:rPr>
          <w:u w:val="single"/>
        </w:rPr>
        <w:t>“</w:t>
      </w:r>
      <w:r w:rsidRPr="00667FFB">
        <w:rPr>
          <w:u w:val="single"/>
        </w:rPr>
        <w:t>Debe existir una enorme preocupación sobre el número de nuevas postulaciones a la universidades occidentales en este otoño. Es una industria enorme. Muchas universidades, por ejemplo, dep</w:t>
      </w:r>
      <w:r>
        <w:rPr>
          <w:u w:val="single"/>
        </w:rPr>
        <w:t>enden de los estudiantes chinos”</w:t>
      </w:r>
      <w:r w:rsidRPr="00667FFB">
        <w:rPr>
          <w:u w:val="single"/>
        </w:rPr>
        <w:t>.</w:t>
      </w:r>
    </w:p>
    <w:p w:rsidR="00737DC2" w:rsidRPr="00667FFB" w:rsidRDefault="00737DC2" w:rsidP="00737DC2">
      <w:pPr>
        <w:pStyle w:val="NormalWeb"/>
        <w:spacing w:after="0"/>
        <w:jc w:val="both"/>
        <w:textAlignment w:val="baseline"/>
        <w:rPr>
          <w:u w:val="single"/>
        </w:rPr>
      </w:pPr>
      <w:r w:rsidRPr="00667FFB">
        <w:rPr>
          <w:u w:val="single"/>
        </w:rPr>
        <w:t>La misma preocupación se la expresó a BBC Mundo el escritor y pensador canadiense Michael Ignatieff, rector de la Universidad Central Europea, con sede en Budapest.</w:t>
      </w:r>
    </w:p>
    <w:p w:rsidR="00737DC2" w:rsidRPr="00667FFB" w:rsidRDefault="00737DC2" w:rsidP="00737DC2">
      <w:pPr>
        <w:pStyle w:val="NormalWeb"/>
        <w:spacing w:after="0"/>
        <w:jc w:val="both"/>
        <w:textAlignment w:val="baseline"/>
        <w:rPr>
          <w:u w:val="single"/>
        </w:rPr>
      </w:pPr>
      <w:r>
        <w:rPr>
          <w:u w:val="single"/>
        </w:rPr>
        <w:t>“</w:t>
      </w:r>
      <w:r w:rsidRPr="00667FFB">
        <w:rPr>
          <w:u w:val="single"/>
        </w:rPr>
        <w:t>Creo que las fronteras se están alzando por todas partes y que la movilidad de labor se va a ver reducida, pero no la de capital.</w:t>
      </w:r>
    </w:p>
    <w:p w:rsidR="00737DC2" w:rsidRPr="00667FFB" w:rsidRDefault="00737DC2" w:rsidP="00737DC2">
      <w:pPr>
        <w:pStyle w:val="NormalWeb"/>
        <w:spacing w:after="0"/>
        <w:jc w:val="both"/>
        <w:textAlignment w:val="baseline"/>
        <w:rPr>
          <w:u w:val="single"/>
        </w:rPr>
      </w:pPr>
      <w:r>
        <w:rPr>
          <w:u w:val="single"/>
        </w:rPr>
        <w:t>“</w:t>
      </w:r>
      <w:r w:rsidRPr="00667FFB">
        <w:rPr>
          <w:u w:val="single"/>
        </w:rPr>
        <w:t>Con las fronteras más estrictas va a ser más difícil para universidades como las mías seguir atrayendo estudiantes de cien países diferentes. Yo tengo latinoamericanos en Budapest... ¿Voy a seguir teniendo a los mismos extraordinarios colombianos, peruanos o brasileños que tengo ahora?</w:t>
      </w:r>
    </w:p>
    <w:p w:rsidR="00737DC2" w:rsidRPr="00667FFB" w:rsidRDefault="00737DC2" w:rsidP="00737DC2">
      <w:pPr>
        <w:pStyle w:val="NormalWeb"/>
        <w:spacing w:after="0"/>
        <w:jc w:val="both"/>
        <w:textAlignment w:val="baseline"/>
        <w:rPr>
          <w:u w:val="single"/>
        </w:rPr>
      </w:pPr>
      <w:r>
        <w:rPr>
          <w:u w:val="single"/>
        </w:rPr>
        <w:lastRenderedPageBreak/>
        <w:t>“</w:t>
      </w:r>
      <w:r w:rsidRPr="00667FFB">
        <w:rPr>
          <w:u w:val="single"/>
        </w:rPr>
        <w:t xml:space="preserve">No lo sé, los países reforzarán las fronteras, aumentarán las restricciones. </w:t>
      </w:r>
      <w:r w:rsidRPr="00667FFB">
        <w:rPr>
          <w:color w:val="FF0000"/>
          <w:u w:val="single"/>
        </w:rPr>
        <w:t xml:space="preserve">Entonces es posible que tengamos una desglobalización de la enseñanza superior. Esa es una amenaza real que todos en el mundo universitario está hablando al respecto. </w:t>
      </w:r>
      <w:r w:rsidRPr="00667FFB">
        <w:rPr>
          <w:u w:val="single"/>
        </w:rPr>
        <w:t>No quisiera que la próxima generación esté atrapada den</w:t>
      </w:r>
      <w:r>
        <w:rPr>
          <w:u w:val="single"/>
        </w:rPr>
        <w:t>tro de las fronteras nacionales”</w:t>
      </w:r>
      <w:r w:rsidRPr="00667FFB">
        <w:rPr>
          <w:u w:val="single"/>
        </w:rPr>
        <w:t xml:space="preserve">. </w:t>
      </w:r>
      <w:proofErr w:type="gramStart"/>
      <w:r w:rsidRPr="00667FFB">
        <w:rPr>
          <w:u w:val="single"/>
        </w:rPr>
        <w:t>reflexiona</w:t>
      </w:r>
      <w:proofErr w:type="gramEnd"/>
      <w:r w:rsidRPr="00667FFB">
        <w:rPr>
          <w:u w:val="single"/>
        </w:rPr>
        <w:t>.</w:t>
      </w:r>
    </w:p>
    <w:p w:rsidR="00737DC2" w:rsidRDefault="00737DC2" w:rsidP="00737DC2">
      <w:pPr>
        <w:pStyle w:val="NormalWeb"/>
        <w:spacing w:after="0"/>
        <w:jc w:val="both"/>
        <w:textAlignment w:val="baseline"/>
      </w:pPr>
      <w:r>
        <w:t>Ya estaba en declive</w:t>
      </w:r>
    </w:p>
    <w:p w:rsidR="00737DC2" w:rsidRPr="00667FFB" w:rsidRDefault="00737DC2" w:rsidP="00737DC2">
      <w:pPr>
        <w:pStyle w:val="NormalWeb"/>
        <w:spacing w:after="0"/>
        <w:jc w:val="both"/>
        <w:textAlignment w:val="baseline"/>
        <w:rPr>
          <w:color w:val="FF0000"/>
          <w:u w:val="single"/>
        </w:rPr>
      </w:pPr>
      <w:r>
        <w:t xml:space="preserve">Según el periodista de la BBC Jonty Bloom, ralentizar o reversar la globalización va a golpear duramente a todos las industrias mencionadas, pero agrega que </w:t>
      </w:r>
      <w:r w:rsidRPr="00667FFB">
        <w:rPr>
          <w:color w:val="FF0000"/>
          <w:u w:val="single"/>
        </w:rPr>
        <w:t>el profesor Goldin piensa que la actual pandemia marca</w:t>
      </w:r>
      <w:r>
        <w:rPr>
          <w:color w:val="FF0000"/>
          <w:u w:val="single"/>
        </w:rPr>
        <w:t xml:space="preserve"> un cambio oceánico y que 2019 “</w:t>
      </w:r>
      <w:r w:rsidRPr="00667FFB">
        <w:rPr>
          <w:color w:val="FF0000"/>
          <w:u w:val="single"/>
        </w:rPr>
        <w:t>fue el año que marcó el pico más alto en la fragmenta</w:t>
      </w:r>
      <w:r>
        <w:rPr>
          <w:color w:val="FF0000"/>
          <w:u w:val="single"/>
        </w:rPr>
        <w:t>ción de la cadena de suministro”</w:t>
      </w:r>
      <w:r w:rsidRPr="00667FFB">
        <w:rPr>
          <w:color w:val="FF0000"/>
          <w:u w:val="single"/>
        </w:rPr>
        <w:t>.</w:t>
      </w:r>
    </w:p>
    <w:p w:rsidR="00737DC2" w:rsidRPr="00667FFB" w:rsidRDefault="00737DC2" w:rsidP="00737DC2">
      <w:pPr>
        <w:pStyle w:val="NormalWeb"/>
        <w:spacing w:after="0"/>
        <w:jc w:val="both"/>
        <w:textAlignment w:val="baseline"/>
        <w:rPr>
          <w:color w:val="FF0000"/>
          <w:u w:val="single"/>
        </w:rPr>
      </w:pPr>
      <w:r w:rsidRPr="00667FFB">
        <w:rPr>
          <w:color w:val="FF0000"/>
          <w:u w:val="single"/>
        </w:rPr>
        <w:t>Algunos factores como las impresoras 3D, la automatización, las entregas rápidas y el proteccionismo ya los hacían sentir. Al parecer, covid-19 sólo aceleró el proceso.</w:t>
      </w:r>
    </w:p>
    <w:p w:rsidR="00737DC2" w:rsidRPr="00667FFB" w:rsidRDefault="00737DC2" w:rsidP="00737DC2">
      <w:pPr>
        <w:pStyle w:val="NormalWeb"/>
        <w:spacing w:after="0"/>
        <w:jc w:val="both"/>
        <w:textAlignment w:val="baseline"/>
        <w:rPr>
          <w:u w:val="single"/>
        </w:rPr>
      </w:pPr>
      <w:r w:rsidRPr="00667FFB">
        <w:rPr>
          <w:u w:val="single"/>
        </w:rPr>
        <w:t>La preocupación ahora -señala Bloom- no es si estos cambios van a ocurrir no, sino cuán profundos serán y cómo se van a manejar.</w:t>
      </w:r>
    </w:p>
    <w:p w:rsidR="00737DC2" w:rsidRPr="00667FFB" w:rsidRDefault="00737DC2" w:rsidP="00737DC2">
      <w:pPr>
        <w:pStyle w:val="NormalWeb"/>
        <w:spacing w:after="0"/>
        <w:jc w:val="both"/>
        <w:textAlignment w:val="baseline"/>
        <w:rPr>
          <w:color w:val="FF0000"/>
          <w:u w:val="single"/>
        </w:rPr>
      </w:pPr>
      <w:r w:rsidRPr="00667FFB">
        <w:rPr>
          <w:color w:val="FF0000"/>
          <w:u w:val="single"/>
        </w:rPr>
        <w:t>Alicia Bárcena, secretaria ejecutiva de la Comisión Económica para A</w:t>
      </w:r>
      <w:r>
        <w:rPr>
          <w:color w:val="FF0000"/>
          <w:u w:val="single"/>
        </w:rPr>
        <w:t>mérica Latina y El Caribe (CEPAL</w:t>
      </w:r>
      <w:r w:rsidRPr="00667FFB">
        <w:rPr>
          <w:color w:val="FF0000"/>
          <w:u w:val="single"/>
        </w:rPr>
        <w:t>) de las Naciones Uni</w:t>
      </w:r>
      <w:r>
        <w:rPr>
          <w:color w:val="FF0000"/>
          <w:u w:val="single"/>
        </w:rPr>
        <w:t>das, cree que la globalización “</w:t>
      </w:r>
      <w:r w:rsidRPr="00667FFB">
        <w:rPr>
          <w:color w:val="FF0000"/>
          <w:u w:val="single"/>
        </w:rPr>
        <w:t>al menos como la conocíamos antes de esta pandemia, de</w:t>
      </w:r>
      <w:r>
        <w:rPr>
          <w:color w:val="FF0000"/>
          <w:u w:val="single"/>
        </w:rPr>
        <w:t>finitivamente va a ser distinta”</w:t>
      </w:r>
      <w:r w:rsidRPr="00667FFB">
        <w:rPr>
          <w:color w:val="FF0000"/>
          <w:u w:val="single"/>
        </w:rPr>
        <w:t>.</w:t>
      </w:r>
    </w:p>
    <w:p w:rsidR="00737DC2" w:rsidRDefault="00737DC2" w:rsidP="00737DC2">
      <w:pPr>
        <w:pStyle w:val="NormalWeb"/>
        <w:spacing w:after="0"/>
        <w:jc w:val="both"/>
        <w:textAlignment w:val="baseline"/>
      </w:pPr>
      <w:r>
        <w:t>En entrevista con BBC mundo indicó que “definitivamente, esta ya no va a ser una globalización de cadenas de valor. Eso es lo que va a ser más importante: el cambio en los modos de producción y en los modos de consumo”.</w:t>
      </w:r>
    </w:p>
    <w:p w:rsidR="00737DC2" w:rsidRPr="00667FFB" w:rsidRDefault="00737DC2" w:rsidP="00737DC2">
      <w:pPr>
        <w:pStyle w:val="NormalWeb"/>
        <w:spacing w:after="0"/>
        <w:jc w:val="both"/>
        <w:textAlignment w:val="baseline"/>
        <w:rPr>
          <w:u w:val="single"/>
        </w:rPr>
      </w:pPr>
      <w:r w:rsidRPr="00667FFB">
        <w:rPr>
          <w:u w:val="single"/>
        </w:rPr>
        <w:t>Por su parte, Terry Breton, el comisario de mercado interior de la Unión Europea, dijo en una teleconferencia con periodistas que es muy p</w:t>
      </w:r>
      <w:r>
        <w:rPr>
          <w:u w:val="single"/>
        </w:rPr>
        <w:t>ronto para sacar conclusiones, “</w:t>
      </w:r>
      <w:r w:rsidRPr="00667FFB">
        <w:rPr>
          <w:u w:val="single"/>
        </w:rPr>
        <w:t>pero todos somos conscientes de que habrá un antes y un después de esta crisis. Nadie sabe cómo saldremos, pero se escribirá un nuevo mundo basado en otras reglas. Seremos más autónomos en ciertas áreas críticas. Las rela</w:t>
      </w:r>
      <w:r>
        <w:rPr>
          <w:u w:val="single"/>
        </w:rPr>
        <w:t>ciones bilaterales se revisarán”</w:t>
      </w:r>
      <w:r w:rsidRPr="00667FFB">
        <w:rPr>
          <w:u w:val="single"/>
        </w:rPr>
        <w:t>, según reportó el diario El País de España.</w:t>
      </w:r>
    </w:p>
    <w:p w:rsidR="00737DC2" w:rsidRPr="00667FFB" w:rsidRDefault="00737DC2" w:rsidP="00737DC2">
      <w:pPr>
        <w:pStyle w:val="NormalWeb"/>
        <w:spacing w:after="0"/>
        <w:jc w:val="both"/>
        <w:textAlignment w:val="baseline"/>
        <w:rPr>
          <w:b/>
          <w:color w:val="FF0000"/>
          <w:u w:val="single"/>
        </w:rPr>
      </w:pPr>
      <w:r w:rsidRPr="00667FFB">
        <w:rPr>
          <w:b/>
          <w:color w:val="FF0000"/>
          <w:u w:val="single"/>
        </w:rPr>
        <w:t>El profesor Goldin tiene una manera sencilla de abordar cuáles pueden ser los cambios profundos que enfrentará la globalización, según le explicó a la BBC: ¿será más parecido a lo que ocurrió después de la Primera Guerra Mundial o a lo que sucedió tras la Segunda?</w:t>
      </w:r>
    </w:p>
    <w:p w:rsidR="00737DC2" w:rsidRPr="00667FFB" w:rsidRDefault="00737DC2" w:rsidP="00737DC2">
      <w:pPr>
        <w:pStyle w:val="NormalWeb"/>
        <w:spacing w:after="0"/>
        <w:jc w:val="both"/>
        <w:textAlignment w:val="baseline"/>
        <w:rPr>
          <w:b/>
          <w:color w:val="FF0000"/>
          <w:u w:val="single"/>
        </w:rPr>
      </w:pPr>
      <w:r w:rsidRPr="00667FFB">
        <w:rPr>
          <w:b/>
          <w:color w:val="FF0000"/>
          <w:u w:val="single"/>
        </w:rPr>
        <w:t>Después de 1918 tuvimos organizaciones internacionales débiles, el ascenso del nacionalismo, proteccionismo y depresión económica.</w:t>
      </w:r>
    </w:p>
    <w:p w:rsidR="00737DC2" w:rsidRPr="00667FFB" w:rsidRDefault="00737DC2" w:rsidP="00737DC2">
      <w:pPr>
        <w:pStyle w:val="NormalWeb"/>
        <w:spacing w:after="0"/>
        <w:jc w:val="both"/>
        <w:textAlignment w:val="baseline"/>
        <w:rPr>
          <w:b/>
          <w:color w:val="FF0000"/>
          <w:u w:val="single"/>
        </w:rPr>
      </w:pPr>
      <w:r w:rsidRPr="00667FFB">
        <w:rPr>
          <w:b/>
          <w:color w:val="FF0000"/>
          <w:u w:val="single"/>
        </w:rPr>
        <w:t>En cambio, luego de 1945 tuvimos más cooperación e internacionalismo, reflejado en el acuerdo Bretton Woods, el Plan Marshall, las Naciones Unidas y el Acuerdo General de Aranceles Aduaneros y Comercio.</w:t>
      </w:r>
    </w:p>
    <w:p w:rsidR="00737DC2" w:rsidRPr="00667FFB" w:rsidRDefault="00737DC2" w:rsidP="00737DC2">
      <w:pPr>
        <w:pStyle w:val="NormalWeb"/>
        <w:spacing w:after="0"/>
        <w:jc w:val="both"/>
        <w:textAlignment w:val="baseline"/>
        <w:rPr>
          <w:u w:val="single"/>
        </w:rPr>
      </w:pPr>
      <w:r w:rsidRPr="00667FFB">
        <w:rPr>
          <w:u w:val="single"/>
        </w:rPr>
        <w:t>Aunque es optimista, al profesor Goldin hay algo que le preocupa: q</w:t>
      </w:r>
      <w:r>
        <w:rPr>
          <w:u w:val="single"/>
        </w:rPr>
        <w:t>uién va a asumir el liderazgo. “</w:t>
      </w:r>
      <w:r w:rsidRPr="00667FFB">
        <w:rPr>
          <w:u w:val="single"/>
        </w:rPr>
        <w:t>Podemos tener optimismo, pero no vemos</w:t>
      </w:r>
      <w:r>
        <w:rPr>
          <w:u w:val="single"/>
        </w:rPr>
        <w:t xml:space="preserve"> liderazgo desde la Casa Blanca”. Y agrega: “</w:t>
      </w:r>
      <w:r w:rsidRPr="00667FFB">
        <w:rPr>
          <w:u w:val="single"/>
        </w:rPr>
        <w:t>China no puede asumirlo y Reino U</w:t>
      </w:r>
      <w:r>
        <w:rPr>
          <w:u w:val="single"/>
        </w:rPr>
        <w:t>nido no puede liderar en Europa”</w:t>
      </w:r>
      <w:r w:rsidRPr="00667FFB">
        <w:rPr>
          <w:u w:val="single"/>
        </w:rPr>
        <w:t>.</w:t>
      </w:r>
    </w:p>
    <w:p w:rsidR="00737DC2" w:rsidRPr="00667FFB" w:rsidRDefault="00737DC2" w:rsidP="00737DC2">
      <w:pPr>
        <w:pStyle w:val="NormalWeb"/>
        <w:spacing w:after="0"/>
        <w:jc w:val="both"/>
        <w:textAlignment w:val="baseline"/>
        <w:rPr>
          <w:u w:val="single"/>
        </w:rPr>
      </w:pPr>
      <w:r w:rsidRPr="00667FFB">
        <w:rPr>
          <w:color w:val="FF0000"/>
          <w:u w:val="single"/>
        </w:rPr>
        <w:lastRenderedPageBreak/>
        <w:t>Entonces, ¿se reversará la globalización?,</w:t>
      </w:r>
      <w:r>
        <w:t xml:space="preserve"> se pregunta el periodista Jonty Bloom. Y responde que </w:t>
      </w:r>
      <w:r w:rsidRPr="00667FFB">
        <w:rPr>
          <w:u w:val="single"/>
        </w:rPr>
        <w:t>probablemente no, pues es un desarrollo económico demasiado importante, Pero ciertamente puede ralentizarse.</w:t>
      </w:r>
    </w:p>
    <w:p w:rsidR="00737DC2" w:rsidRPr="00667FFB" w:rsidRDefault="00737DC2" w:rsidP="00737DC2">
      <w:pPr>
        <w:pStyle w:val="NormalWeb"/>
        <w:spacing w:after="0"/>
        <w:jc w:val="both"/>
        <w:textAlignment w:val="baseline"/>
        <w:rPr>
          <w:b/>
          <w:color w:val="FF0000"/>
          <w:u w:val="single"/>
        </w:rPr>
      </w:pPr>
      <w:r w:rsidRPr="00667FFB">
        <w:rPr>
          <w:b/>
          <w:color w:val="FF0000"/>
          <w:u w:val="single"/>
        </w:rPr>
        <w:t>La gran pregunta, agrega Bloom, es si aprenderemos las lecciones de esta crisis.</w:t>
      </w:r>
    </w:p>
    <w:p w:rsidR="00737DC2" w:rsidRPr="00667FFB" w:rsidRDefault="00737DC2" w:rsidP="00737DC2">
      <w:pPr>
        <w:pStyle w:val="NormalWeb"/>
        <w:spacing w:after="0"/>
        <w:jc w:val="both"/>
        <w:textAlignment w:val="baseline"/>
        <w:rPr>
          <w:color w:val="FF0000"/>
          <w:u w:val="single"/>
        </w:rPr>
      </w:pPr>
      <w:r>
        <w:rPr>
          <w:color w:val="FF0000"/>
          <w:u w:val="single"/>
        </w:rPr>
        <w:t>Y remata: “</w:t>
      </w:r>
      <w:r w:rsidRPr="00667FFB">
        <w:rPr>
          <w:color w:val="FF0000"/>
          <w:u w:val="single"/>
        </w:rPr>
        <w:t>¿Aprenderemos a identificar, controlar y regular los riesgos que parecen ser inherentes a la globalización? Porque la cooperación y el liderazgo necesarios para que ocurra no pa</w:t>
      </w:r>
      <w:r>
        <w:rPr>
          <w:color w:val="FF0000"/>
          <w:u w:val="single"/>
        </w:rPr>
        <w:t>recen abundar en estos momentos”</w:t>
      </w:r>
      <w:r w:rsidRPr="00667FFB">
        <w:rPr>
          <w:color w:val="FF0000"/>
          <w:u w:val="single"/>
        </w:rPr>
        <w:t>.</w:t>
      </w:r>
    </w:p>
    <w:p w:rsidR="00737DC2" w:rsidRPr="004452DD"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2DD">
        <w:rPr>
          <w:rFonts w:ascii="Times New Roman" w:hAnsi="Times New Roman" w:cs="Times New Roman"/>
          <w:sz w:val="24"/>
          <w:szCs w:val="24"/>
          <w:u w:val="single"/>
        </w:rPr>
        <w:t>Deutsche Bank anuncia la llegada de un nuevo súpe</w:t>
      </w:r>
      <w:r>
        <w:rPr>
          <w:rFonts w:ascii="Times New Roman" w:hAnsi="Times New Roman" w:cs="Times New Roman"/>
          <w:sz w:val="24"/>
          <w:szCs w:val="24"/>
          <w:u w:val="single"/>
        </w:rPr>
        <w:t>r-ciclo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737DC2" w:rsidRPr="00DD6C65" w:rsidRDefault="00737DC2" w:rsidP="00737DC2">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Este 2020 puede ser el fin de lo que ha sido la segunda ola de globalización</w:t>
      </w:r>
    </w:p>
    <w:p w:rsidR="00737DC2" w:rsidRPr="00DD6C65" w:rsidRDefault="00737DC2" w:rsidP="00737DC2">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En esta nueva era se producirá la reversión de muchas tendencias al mismo tiempo</w:t>
      </w:r>
    </w:p>
    <w:p w:rsidR="00737DC2" w:rsidRDefault="00737DC2" w:rsidP="00737DC2">
      <w:pPr>
        <w:spacing w:line="240" w:lineRule="auto"/>
        <w:jc w:val="both"/>
        <w:rPr>
          <w:rFonts w:ascii="Times New Roman" w:hAnsi="Times New Roman" w:cs="Times New Roman"/>
          <w:sz w:val="24"/>
          <w:szCs w:val="24"/>
        </w:rPr>
      </w:pPr>
      <w:r w:rsidRPr="00DD6C65">
        <w:rPr>
          <w:rFonts w:ascii="Times New Roman" w:hAnsi="Times New Roman" w:cs="Times New Roman"/>
          <w:color w:val="FF0000"/>
          <w:sz w:val="24"/>
          <w:szCs w:val="24"/>
        </w:rPr>
        <w:t>Esto puede generar cierto desorden y caos, pero el resultado puede ser bueno</w:t>
      </w:r>
    </w:p>
    <w:p w:rsidR="00737DC2" w:rsidRPr="004452DD"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452DD">
        <w:rPr>
          <w:rFonts w:ascii="Times New Roman" w:hAnsi="Times New Roman" w:cs="Times New Roman"/>
          <w:sz w:val="24"/>
          <w:szCs w:val="24"/>
        </w:rPr>
        <w:t>Vicente Nieves</w:t>
      </w:r>
      <w:r>
        <w:rPr>
          <w:rFonts w:ascii="Times New Roman" w:hAnsi="Times New Roman" w:cs="Times New Roman"/>
          <w:sz w:val="24"/>
          <w:szCs w:val="24"/>
        </w:rPr>
        <w:t>)</w:t>
      </w:r>
    </w:p>
    <w:p w:rsidR="00737DC2" w:rsidRPr="00DD6C65" w:rsidRDefault="00737DC2" w:rsidP="00737DC2">
      <w:pPr>
        <w:spacing w:line="240" w:lineRule="auto"/>
        <w:jc w:val="both"/>
        <w:rPr>
          <w:rFonts w:ascii="Times New Roman" w:hAnsi="Times New Roman" w:cs="Times New Roman"/>
          <w:b/>
          <w:color w:val="FF0000"/>
          <w:sz w:val="24"/>
          <w:szCs w:val="24"/>
          <w:u w:val="single"/>
        </w:rPr>
      </w:pPr>
      <w:r w:rsidRPr="00DD6C65">
        <w:rPr>
          <w:rFonts w:ascii="Times New Roman" w:hAnsi="Times New Roman" w:cs="Times New Roman"/>
          <w:sz w:val="24"/>
          <w:szCs w:val="24"/>
          <w:u w:val="single"/>
        </w:rPr>
        <w:t>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Aunque los ciclos marcan un antes y un después, muchos de ellos están envueltos en un marco más amplio similar, lo que permite realizar una agrupación más gruesa en eras o súper-ciclos.</w:t>
      </w:r>
      <w:r w:rsidRPr="00DD6C65">
        <w:rPr>
          <w:rFonts w:ascii="Times New Roman" w:hAnsi="Times New Roman" w:cs="Times New Roman"/>
          <w:color w:val="FF0000"/>
          <w:sz w:val="24"/>
          <w:szCs w:val="24"/>
          <w:u w:val="single"/>
        </w:rPr>
        <w:t>Este 2020 podría marcar el fin de una de esas eras y el comienzo de otra nueva, según el banco alemán Deutsche Bank.</w:t>
      </w:r>
      <w:r w:rsidRPr="00DD6C65">
        <w:rPr>
          <w:rFonts w:ascii="Times New Roman" w:hAnsi="Times New Roman" w:cs="Times New Roman"/>
          <w:b/>
          <w:color w:val="FF0000"/>
          <w:sz w:val="24"/>
          <w:szCs w:val="24"/>
          <w:u w:val="single"/>
        </w:rPr>
        <w:t>El mundo abandona la segunda era de la globa</w:t>
      </w:r>
      <w:r>
        <w:rPr>
          <w:rFonts w:ascii="Times New Roman" w:hAnsi="Times New Roman" w:cs="Times New Roman"/>
          <w:b/>
          <w:color w:val="FF0000"/>
          <w:sz w:val="24"/>
          <w:szCs w:val="24"/>
          <w:u w:val="single"/>
        </w:rPr>
        <w:t>lización para adentrarse en la “Era del Desorden”</w:t>
      </w:r>
      <w:r w:rsidRPr="00DD6C65">
        <w:rPr>
          <w:rFonts w:ascii="Times New Roman" w:hAnsi="Times New Roman" w:cs="Times New Roman"/>
          <w:b/>
          <w:color w:val="FF0000"/>
          <w:sz w:val="24"/>
          <w:szCs w:val="24"/>
          <w:u w:val="single"/>
        </w:rPr>
        <w:t>. Este nuevo súper-ciclo contará con varias tendencias que lo diferencian de los demás, pero sobre todo tiene su sello en la reversión de la globalización y transición demográfica.</w:t>
      </w:r>
    </w:p>
    <w:p w:rsidR="00737DC2" w:rsidRPr="00DD6C65" w:rsidRDefault="00737DC2" w:rsidP="00737DC2">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sz w:val="24"/>
          <w:szCs w:val="24"/>
          <w:u w:val="single"/>
        </w:rPr>
        <w:t>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como el comienzo de una nueva era".</w:t>
      </w:r>
    </w:p>
    <w:p w:rsidR="00737DC2" w:rsidRPr="00DD6C65" w:rsidRDefault="00737DC2" w:rsidP="00737DC2">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737DC2" w:rsidRPr="00DD6C65" w:rsidRDefault="00737DC2" w:rsidP="00737DC2">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 xml:space="preserve">Antes de analizar esta nueva era del desorden, los expertos del banco alemán creen que es necesario poner sobre el lienzo el boceto de lo que ha sido </w:t>
      </w:r>
      <w:r w:rsidRPr="00DD6C65">
        <w:rPr>
          <w:rFonts w:ascii="Times New Roman" w:hAnsi="Times New Roman" w:cs="Times New Roman"/>
          <w:color w:val="FF0000"/>
          <w:sz w:val="24"/>
          <w:szCs w:val="24"/>
          <w:u w:val="single"/>
        </w:rPr>
        <w:t xml:space="preserve">la segunda ola de globalización, la era inmediatamente anterior. Esta era comenzó alrededor de 1980 con el impulso global para abolir las regulaciones y los controles de capital, que posteriormente impulsaron el libre </w:t>
      </w:r>
      <w:r w:rsidRPr="00DD6C65">
        <w:rPr>
          <w:rFonts w:ascii="Times New Roman" w:hAnsi="Times New Roman" w:cs="Times New Roman"/>
          <w:color w:val="FF0000"/>
          <w:sz w:val="24"/>
          <w:szCs w:val="24"/>
          <w:u w:val="single"/>
        </w:rPr>
        <w:lastRenderedPageBreak/>
        <w:t>comercio (y los flujos globales de capital) y engendraron un orden mundial más liberal</w:t>
      </w:r>
      <w:r w:rsidRPr="00DD6C65">
        <w:rPr>
          <w:rFonts w:ascii="Times New Roman" w:hAnsi="Times New Roman" w:cs="Times New Roman"/>
          <w:color w:val="FF0000"/>
          <w:sz w:val="24"/>
          <w:szCs w:val="24"/>
        </w:rPr>
        <w:t xml:space="preserve">. </w:t>
      </w:r>
      <w:r w:rsidRPr="004452DD">
        <w:rPr>
          <w:rFonts w:ascii="Times New Roman" w:hAnsi="Times New Roman" w:cs="Times New Roman"/>
          <w:sz w:val="24"/>
          <w:szCs w:val="24"/>
        </w:rPr>
        <w:t xml:space="preserve">La demografía mundial apoyó masivamente este fenómeno (generación del baby-boom) y aseguró un enorme aumento de mano de obra, que también ha estado impulsada por China y otros países con unos costes laborales inferiores a los de las economías avanzadas. </w:t>
      </w:r>
      <w:r w:rsidRPr="00DD6C65">
        <w:rPr>
          <w:rFonts w:ascii="Times New Roman" w:hAnsi="Times New Roman" w:cs="Times New Roman"/>
          <w:sz w:val="24"/>
          <w:szCs w:val="24"/>
          <w:u w:val="single"/>
        </w:rPr>
        <w:t>A mediados de la década de 1980, la segunda era de globalización estaba en pleno apogeo.</w:t>
      </w:r>
    </w:p>
    <w:p w:rsidR="00737DC2" w:rsidRPr="00DD6C65" w:rsidRDefault="00737DC2" w:rsidP="00737DC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D6C65">
        <w:rPr>
          <w:rFonts w:ascii="Times New Roman" w:hAnsi="Times New Roman" w:cs="Times New Roman"/>
          <w:color w:val="FF0000"/>
          <w:sz w:val="24"/>
          <w:szCs w:val="24"/>
          <w:u w:val="single"/>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color w:val="FF0000"/>
          <w:sz w:val="24"/>
          <w:szCs w:val="24"/>
          <w:u w:val="single"/>
        </w:rPr>
        <w:t>ión del mercado laboral mundial”</w:t>
      </w:r>
      <w:r w:rsidRPr="00DD6C65">
        <w:rPr>
          <w:rFonts w:ascii="Times New Roman" w:hAnsi="Times New Roman" w:cs="Times New Roman"/>
          <w:color w:val="FF0000"/>
          <w:sz w:val="24"/>
          <w:szCs w:val="24"/>
          <w:u w:val="single"/>
        </w:rPr>
        <w:t>, señalan los expertos de DB.</w:t>
      </w:r>
    </w:p>
    <w:p w:rsidR="00737DC2" w:rsidRPr="00DD6C65" w:rsidRDefault="00737DC2" w:rsidP="00737DC2">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737DC2" w:rsidRPr="00DD6C65" w:rsidRDefault="00737DC2" w:rsidP="00737DC2">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 xml:space="preserve">Durante años, las familias de clase media y baja han mantenido su nivel de vida incrementando su endeudamiento (ante el estancamiento de parte de los salarios), lo que ha </w:t>
      </w:r>
      <w:r>
        <w:rPr>
          <w:rFonts w:ascii="Times New Roman" w:hAnsi="Times New Roman" w:cs="Times New Roman"/>
          <w:color w:val="FF0000"/>
          <w:sz w:val="24"/>
          <w:szCs w:val="24"/>
          <w:u w:val="single"/>
        </w:rPr>
        <w:t>dejado “debajo la alfombra”</w:t>
      </w:r>
      <w:r w:rsidRPr="00DD6C65">
        <w:rPr>
          <w:rFonts w:ascii="Times New Roman" w:hAnsi="Times New Roman" w:cs="Times New Roman"/>
          <w:color w:val="FF0000"/>
          <w:sz w:val="24"/>
          <w:szCs w:val="24"/>
          <w:u w:val="single"/>
        </w:rPr>
        <w:t xml:space="preserve"> estos problemas que aparecieron con nitidez tras la crisis de 2008 con el fin del ciclo crediticio. Desde entonces, la globalización ha estado en entredicho, un cuestionamiento que hoy es más evidente con la pandemia del covid-19. La reversión de la globalización es uno de los propulsores de la nueva era que comienza. Aunque esta era ha sido denominada como la del desorden, el </w:t>
      </w:r>
      <w:r>
        <w:rPr>
          <w:rFonts w:ascii="Times New Roman" w:hAnsi="Times New Roman" w:cs="Times New Roman"/>
          <w:color w:val="FF0000"/>
          <w:sz w:val="24"/>
          <w:szCs w:val="24"/>
          <w:u w:val="single"/>
        </w:rPr>
        <w:t>documento insiste en que “no todo desorden es malo”</w:t>
      </w:r>
      <w:r w:rsidRPr="00DD6C65">
        <w:rPr>
          <w:rFonts w:ascii="Times New Roman" w:hAnsi="Times New Roman" w:cs="Times New Roman"/>
          <w:color w:val="FF0000"/>
          <w:sz w:val="24"/>
          <w:szCs w:val="24"/>
          <w:u w:val="single"/>
        </w:rPr>
        <w:t xml:space="preserve">, muchos cambios permitirán que se produzca una especie de limpieza o vuelco de revertirá tendencia perniciosas como la desigualdad de ingresos y riqueza. </w:t>
      </w:r>
    </w:p>
    <w:p w:rsidR="00737DC2" w:rsidRPr="004452DD" w:rsidRDefault="00737DC2" w:rsidP="00737DC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¿Qué caracterizará a esta nueva era?</w:t>
      </w:r>
    </w:p>
    <w:p w:rsidR="00737DC2" w:rsidRPr="00DD6C65" w:rsidRDefault="00737DC2" w:rsidP="00737DC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deterioro de las relaciones entre Estados Unidos y China y la reversión de una globalización desenfrenada</w:t>
      </w:r>
      <w:r>
        <w:rPr>
          <w:rFonts w:ascii="Times New Roman" w:hAnsi="Times New Roman" w:cs="Times New Roman"/>
          <w:sz w:val="24"/>
          <w:szCs w:val="24"/>
        </w:rPr>
        <w:t>. “</w:t>
      </w:r>
      <w:r w:rsidRPr="004452DD">
        <w:rPr>
          <w:rFonts w:ascii="Times New Roman" w:hAnsi="Times New Roman" w:cs="Times New Roman"/>
          <w:sz w:val="24"/>
          <w:szCs w:val="24"/>
        </w:rPr>
        <w:t xml:space="preserve">A medida que avanza la era del desorden, creemos que uno de los mayores problemas será la tensión política entre Estados Unidos y China. De hecho, esto debería caracterizar la era del desorden, puesto que China ha estado en el corazón de la segunda era de la globalización. </w:t>
      </w:r>
      <w:r w:rsidRPr="00DD6C65">
        <w:rPr>
          <w:rFonts w:ascii="Times New Roman" w:hAnsi="Times New Roman" w:cs="Times New Roman"/>
          <w:sz w:val="24"/>
          <w:szCs w:val="24"/>
          <w:u w:val="single"/>
        </w:rPr>
        <w:t>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w:t>
      </w:r>
      <w:r w:rsidRPr="004452DD">
        <w:rPr>
          <w:rFonts w:ascii="Times New Roman" w:hAnsi="Times New Roman" w:cs="Times New Roman"/>
          <w:sz w:val="24"/>
          <w:szCs w:val="24"/>
        </w:rPr>
        <w:t xml:space="preserve"> A principios de la década de 1960, la participación de China en la economía global alcanzó un mínimo histórico del 4%,</w:t>
      </w:r>
      <w:r>
        <w:rPr>
          <w:rFonts w:ascii="Times New Roman" w:hAnsi="Times New Roman" w:cs="Times New Roman"/>
          <w:sz w:val="24"/>
          <w:szCs w:val="24"/>
        </w:rPr>
        <w:t xml:space="preserve"> que ahora se ha elevado al 16%”</w:t>
      </w:r>
      <w:r w:rsidRPr="004452DD">
        <w:rPr>
          <w:rFonts w:ascii="Times New Roman" w:hAnsi="Times New Roman" w:cs="Times New Roman"/>
          <w:sz w:val="24"/>
          <w:szCs w:val="24"/>
        </w:rPr>
        <w:t xml:space="preserve">, apuntan los investigadores de DB. </w:t>
      </w:r>
      <w:r w:rsidRPr="00DD6C65">
        <w:rPr>
          <w:rFonts w:ascii="Times New Roman" w:hAnsi="Times New Roman" w:cs="Times New Roman"/>
          <w:sz w:val="24"/>
          <w:szCs w:val="24"/>
          <w:u w:val="single"/>
        </w:rPr>
        <w:t>El proteccionismo, la relocalización de sectores clave y el domino de China como mayor potencia del mundo serán una realidad.</w:t>
      </w:r>
    </w:p>
    <w:p w:rsidR="00737DC2" w:rsidRPr="004452DD" w:rsidRDefault="00737DC2" w:rsidP="00737DC2">
      <w:pPr>
        <w:spacing w:line="240" w:lineRule="auto"/>
        <w:jc w:val="both"/>
        <w:rPr>
          <w:rFonts w:ascii="Times New Roman" w:hAnsi="Times New Roman" w:cs="Times New Roman"/>
          <w:sz w:val="24"/>
          <w:szCs w:val="24"/>
        </w:rPr>
      </w:pPr>
      <w:r>
        <w:rPr>
          <w:noProof/>
          <w:lang w:val="en-GB" w:eastAsia="zh-CN"/>
        </w:rPr>
        <w:lastRenderedPageBreak/>
        <w:drawing>
          <wp:inline distT="0" distB="0" distL="0" distR="0">
            <wp:extent cx="5731510" cy="3798792"/>
            <wp:effectExtent l="0" t="0" r="2540" b="0"/>
            <wp:docPr id="226" name="Imagen 215"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3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98792"/>
                    </a:xfrm>
                    <a:prstGeom prst="rect">
                      <a:avLst/>
                    </a:prstGeom>
                    <a:noFill/>
                    <a:ln>
                      <a:noFill/>
                    </a:ln>
                  </pic:spPr>
                </pic:pic>
              </a:graphicData>
            </a:graphic>
          </wp:inline>
        </w:drawing>
      </w:r>
    </w:p>
    <w:p w:rsidR="00737DC2" w:rsidRPr="004452DD" w:rsidRDefault="00737DC2" w:rsidP="00737DC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737DC2" w:rsidRPr="00DD6C65" w:rsidRDefault="00737DC2" w:rsidP="00737DC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En el caso de Europa, estos expertos consideran que </w:t>
      </w:r>
      <w:r w:rsidRPr="00DD6C65">
        <w:rPr>
          <w:rFonts w:ascii="Times New Roman" w:hAnsi="Times New Roman" w:cs="Times New Roman"/>
          <w:sz w:val="24"/>
          <w:szCs w:val="24"/>
          <w:u w:val="single"/>
        </w:rPr>
        <w:t>el desorden resulta inevitable, los enfrentamientos son el pan de cada día en el Viejo Continente.</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El desorden parece inevitable, pero no necesariamente será malo. De hecho, </w:t>
      </w:r>
      <w:r w:rsidRPr="00DD6C65">
        <w:rPr>
          <w:rFonts w:ascii="Times New Roman" w:hAnsi="Times New Roman" w:cs="Times New Roman"/>
          <w:sz w:val="24"/>
          <w:szCs w:val="24"/>
          <w:u w:val="single"/>
        </w:rPr>
        <w:t>la pandemia ha creado un nuevo impulso para una mayor integración.</w:t>
      </w:r>
      <w:r w:rsidRPr="004452DD">
        <w:rPr>
          <w:rFonts w:ascii="Times New Roman" w:hAnsi="Times New Roman" w:cs="Times New Roman"/>
          <w:sz w:val="24"/>
          <w:szCs w:val="24"/>
        </w:rPr>
        <w:t xml:space="preserve"> La pregunta es si Europa puede aprovechar este progreso, reiniciar su economía y avanzar hacia una senda de crecimiento sostenible, o seguirá sumida en el estancamiento económico y la agitación política. </w:t>
      </w:r>
      <w:r w:rsidRPr="00DD6C65">
        <w:rPr>
          <w:rFonts w:ascii="Times New Roman" w:hAnsi="Times New Roman" w:cs="Times New Roman"/>
          <w:sz w:val="24"/>
          <w:szCs w:val="24"/>
          <w:u w:val="single"/>
        </w:rPr>
        <w:t>La preocupación es que este último escenario con</w:t>
      </w:r>
      <w:r>
        <w:rPr>
          <w:rFonts w:ascii="Times New Roman" w:hAnsi="Times New Roman" w:cs="Times New Roman"/>
          <w:sz w:val="24"/>
          <w:szCs w:val="24"/>
          <w:u w:val="single"/>
        </w:rPr>
        <w:t>duzca a una mayor fragmentación”</w:t>
      </w:r>
      <w:r w:rsidRPr="00DD6C65">
        <w:rPr>
          <w:rFonts w:ascii="Times New Roman" w:hAnsi="Times New Roman" w:cs="Times New Roman"/>
          <w:sz w:val="24"/>
          <w:szCs w:val="24"/>
          <w:u w:val="single"/>
        </w:rPr>
        <w:t>.</w:t>
      </w:r>
    </w:p>
    <w:p w:rsidR="00737DC2" w:rsidRPr="00DD6C65" w:rsidRDefault="00737DC2" w:rsidP="00737DC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737DC2" w:rsidRPr="00DD6C65" w:rsidRDefault="00737DC2" w:rsidP="00737DC2">
      <w:pPr>
        <w:spacing w:line="240" w:lineRule="auto"/>
        <w:jc w:val="both"/>
        <w:rPr>
          <w:rFonts w:ascii="Times New Roman" w:hAnsi="Times New Roman" w:cs="Times New Roman"/>
          <w:sz w:val="24"/>
          <w:szCs w:val="24"/>
          <w:u w:val="single"/>
        </w:rPr>
      </w:pP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DD6C65">
        <w:rPr>
          <w:rFonts w:ascii="Times New Roman" w:hAnsi="Times New Roman" w:cs="Times New Roman"/>
          <w:sz w:val="24"/>
          <w:szCs w:val="24"/>
          <w:u w:val="single"/>
        </w:rPr>
        <w:t>Creemos que la inflación dominará a medida que avance la década, pero ambos fuerzas traerán desorden en relación con la estabilidad vivid</w:t>
      </w:r>
      <w:r>
        <w:rPr>
          <w:rFonts w:ascii="Times New Roman" w:hAnsi="Times New Roman" w:cs="Times New Roman"/>
          <w:sz w:val="24"/>
          <w:szCs w:val="24"/>
          <w:u w:val="single"/>
        </w:rPr>
        <w:t>a en la era de la globalización”</w:t>
      </w:r>
      <w:r w:rsidRPr="00DD6C65">
        <w:rPr>
          <w:rFonts w:ascii="Times New Roman" w:hAnsi="Times New Roman" w:cs="Times New Roman"/>
          <w:sz w:val="24"/>
          <w:szCs w:val="24"/>
          <w:u w:val="single"/>
        </w:rPr>
        <w:t>.</w:t>
      </w:r>
    </w:p>
    <w:p w:rsidR="00737DC2" w:rsidRPr="004452DD" w:rsidRDefault="00737DC2" w:rsidP="00737DC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 xml:space="preserve">El covid-19 será otro propulsor de la desigualdad. Los trabajadores con empleos más precarios (sobre todo en las ramas con menor </w:t>
      </w:r>
      <w:r w:rsidRPr="00DD6C65">
        <w:rPr>
          <w:rFonts w:ascii="Times New Roman" w:hAnsi="Times New Roman" w:cs="Times New Roman"/>
          <w:sz w:val="24"/>
          <w:szCs w:val="24"/>
          <w:u w:val="single"/>
        </w:rPr>
        <w:lastRenderedPageBreak/>
        <w:t>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Pr>
          <w:rFonts w:ascii="Times New Roman" w:hAnsi="Times New Roman" w:cs="Times New Roman"/>
          <w:sz w:val="24"/>
          <w:szCs w:val="24"/>
        </w:rPr>
        <w:t xml:space="preserve"> “</w:t>
      </w:r>
      <w:r w:rsidRPr="004452DD">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Pr>
          <w:rFonts w:ascii="Times New Roman" w:hAnsi="Times New Roman" w:cs="Times New Roman"/>
          <w:sz w:val="24"/>
          <w:szCs w:val="24"/>
        </w:rPr>
        <w:t>s empresas con mayor intensidad”</w:t>
      </w:r>
      <w:r w:rsidRPr="004452DD">
        <w:rPr>
          <w:rFonts w:ascii="Times New Roman" w:hAnsi="Times New Roman" w:cs="Times New Roman"/>
          <w:sz w:val="24"/>
          <w:szCs w:val="24"/>
        </w:rPr>
        <w:t>. Por otro lado, estos expertos creen que la tendencia a la baja que ha sufrido el Impuesto de Sociedades durante décadas podría revertirse, incrementando los ingresos por impuestos de los gobiernos y reduciendo los beneficios y los divide</w:t>
      </w:r>
      <w:r>
        <w:rPr>
          <w:rFonts w:ascii="Times New Roman" w:hAnsi="Times New Roman" w:cs="Times New Roman"/>
          <w:sz w:val="24"/>
          <w:szCs w:val="24"/>
        </w:rPr>
        <w:t>ndos que reparten las empresas.</w:t>
      </w:r>
    </w:p>
    <w:p w:rsidR="00737DC2" w:rsidRPr="00DD6C65" w:rsidRDefault="00737DC2" w:rsidP="00737DC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w:t>
      </w:r>
      <w:r>
        <w:rPr>
          <w:rFonts w:ascii="Times New Roman" w:hAnsi="Times New Roman" w:cs="Times New Roman"/>
          <w:sz w:val="24"/>
          <w:szCs w:val="24"/>
          <w:u w:val="single"/>
        </w:rPr>
        <w:t>ndo una lucha de generaciones. “</w:t>
      </w:r>
      <w:r w:rsidRPr="00DD6C65">
        <w:rPr>
          <w:rFonts w:ascii="Times New Roman" w:hAnsi="Times New Roman" w:cs="Times New Roman"/>
          <w:sz w:val="24"/>
          <w:szCs w:val="24"/>
          <w:u w:val="single"/>
        </w:rPr>
        <w:t>Esta brecha se ha manifestado cada vez con más claridad en las preferencias políticas y con un aumento de las elecciones a nivel global que tienen en cuesta esta</w:t>
      </w:r>
      <w:r>
        <w:rPr>
          <w:rFonts w:ascii="Times New Roman" w:hAnsi="Times New Roman" w:cs="Times New Roman"/>
          <w:sz w:val="24"/>
          <w:szCs w:val="24"/>
          <w:u w:val="single"/>
        </w:rPr>
        <w:t xml:space="preserve"> brecha entre generaciones”</w:t>
      </w:r>
      <w:r w:rsidRPr="00DD6C65">
        <w:rPr>
          <w:rFonts w:ascii="Times New Roman" w:hAnsi="Times New Roman" w:cs="Times New Roman"/>
          <w:sz w:val="24"/>
          <w:szCs w:val="24"/>
          <w:u w:val="single"/>
        </w:rPr>
        <w:t>.</w:t>
      </w:r>
    </w:p>
    <w:p w:rsidR="00737DC2" w:rsidRPr="000A3A69" w:rsidRDefault="00737DC2" w:rsidP="00737DC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deberíamos prepararnos. </w:t>
      </w:r>
      <w:r w:rsidRPr="000A3A69">
        <w:rPr>
          <w:rFonts w:ascii="Times New Roman" w:hAnsi="Times New Roman" w:cs="Times New Roman"/>
          <w:sz w:val="24"/>
          <w:szCs w:val="24"/>
          <w:u w:val="single"/>
        </w:rPr>
        <w:t>La próxima década será testigo de un debate fuertemente polarizado sobre la priorización d</w:t>
      </w:r>
      <w:r>
        <w:rPr>
          <w:rFonts w:ascii="Times New Roman" w:hAnsi="Times New Roman" w:cs="Times New Roman"/>
          <w:sz w:val="24"/>
          <w:szCs w:val="24"/>
          <w:u w:val="single"/>
        </w:rPr>
        <w:t>el medio ambiente y la economía”</w:t>
      </w:r>
      <w:r w:rsidRPr="000A3A69">
        <w:rPr>
          <w:rFonts w:ascii="Times New Roman" w:hAnsi="Times New Roman" w:cs="Times New Roman"/>
          <w:sz w:val="24"/>
          <w:szCs w:val="24"/>
          <w:u w:val="single"/>
        </w:rPr>
        <w:t>.</w:t>
      </w:r>
    </w:p>
    <w:p w:rsidR="00737DC2" w:rsidRPr="004452DD" w:rsidRDefault="00737DC2" w:rsidP="00737DC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proofErr w:type="gramStart"/>
      <w:r w:rsidRPr="000A3A69">
        <w:rPr>
          <w:rFonts w:ascii="Times New Roman" w:hAnsi="Times New Roman" w:cs="Times New Roman"/>
          <w:color w:val="FF0000"/>
          <w:sz w:val="24"/>
          <w:szCs w:val="24"/>
          <w:u w:val="single"/>
        </w:rPr>
        <w:t>?</w:t>
      </w:r>
      <w:r>
        <w:rPr>
          <w:rFonts w:ascii="Times New Roman" w:hAnsi="Times New Roman" w:cs="Times New Roman"/>
          <w:sz w:val="24"/>
          <w:szCs w:val="24"/>
        </w:rPr>
        <w:t>Por</w:t>
      </w:r>
      <w:proofErr w:type="gramEnd"/>
      <w:r>
        <w:rPr>
          <w:rFonts w:ascii="Times New Roman" w:hAnsi="Times New Roman" w:cs="Times New Roman"/>
          <w:sz w:val="24"/>
          <w:szCs w:val="24"/>
        </w:rPr>
        <w:t xml:space="preserve">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w:t>
      </w:r>
      <w:r>
        <w:rPr>
          <w:rFonts w:ascii="Times New Roman" w:hAnsi="Times New Roman" w:cs="Times New Roman"/>
          <w:sz w:val="24"/>
          <w:szCs w:val="24"/>
        </w:rPr>
        <w:t xml:space="preserve">esivamente en nuestro sistema. </w:t>
      </w:r>
      <w:r w:rsidRPr="004452DD">
        <w:rPr>
          <w:rFonts w:ascii="Times New Roman" w:hAnsi="Times New Roman" w:cs="Times New Roman"/>
          <w:sz w:val="24"/>
          <w:szCs w:val="24"/>
        </w:rPr>
        <w:t>Si ocurre esto último habría importantes consecuencias en los mercados financieros durante un período de tiempo, pero 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Pr>
          <w:rFonts w:ascii="Times New Roman" w:hAnsi="Times New Roman" w:cs="Times New Roman"/>
          <w:sz w:val="24"/>
          <w:szCs w:val="24"/>
        </w:rPr>
        <w:t>eral”, sentencian los expertos.</w:t>
      </w:r>
    </w:p>
    <w:p w:rsidR="00737DC2" w:rsidRDefault="00737DC2" w:rsidP="00737DC2">
      <w:pPr>
        <w:spacing w:line="240" w:lineRule="auto"/>
        <w:jc w:val="both"/>
        <w:rPr>
          <w:rFonts w:ascii="Times New Roman" w:hAnsi="Times New Roman" w:cs="Times New Roman"/>
          <w:color w:val="FF0000"/>
          <w:sz w:val="24"/>
          <w:szCs w:val="24"/>
          <w:u w:val="single"/>
        </w:rPr>
      </w:pPr>
      <w:r w:rsidRPr="000A3A69">
        <w:rPr>
          <w:rFonts w:ascii="Times New Roman" w:hAnsi="Times New Roman" w:cs="Times New Roman"/>
          <w:color w:val="FF0000"/>
          <w:sz w:val="24"/>
          <w:szCs w:val="24"/>
          <w:u w:val="single"/>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w:t>
      </w:r>
      <w:r>
        <w:rPr>
          <w:rFonts w:ascii="Times New Roman" w:hAnsi="Times New Roman" w:cs="Times New Roman"/>
          <w:color w:val="FF0000"/>
          <w:sz w:val="24"/>
          <w:szCs w:val="24"/>
          <w:u w:val="single"/>
        </w:rPr>
        <w:t>onómica como el comienzo de la “era del desorden”</w:t>
      </w:r>
      <w:r w:rsidRPr="000A3A69">
        <w:rPr>
          <w:rFonts w:ascii="Times New Roman" w:hAnsi="Times New Roman" w:cs="Times New Roman"/>
          <w:color w:val="FF0000"/>
          <w:sz w:val="24"/>
          <w:szCs w:val="24"/>
          <w:u w:val="single"/>
        </w:rPr>
        <w:t>, lo cierto es que la transición lleva años en marcha, pero hasta la llegada del covid-19 no se ha visto de forma tan evidente.</w:t>
      </w:r>
    </w:p>
    <w:p w:rsidR="00737DC2" w:rsidRDefault="00737DC2" w:rsidP="00737DC2">
      <w:pPr>
        <w:pStyle w:val="NormalWeb"/>
        <w:shd w:val="clear" w:color="auto" w:fill="FFFFFF"/>
        <w:spacing w:before="0" w:beforeAutospacing="0" w:after="0" w:afterAutospacing="0"/>
        <w:jc w:val="both"/>
        <w:textAlignment w:val="baseline"/>
        <w:rPr>
          <w:color w:val="1A1A1A"/>
        </w:rPr>
      </w:pPr>
      <w:r>
        <w:rPr>
          <w:color w:val="1A1A1A"/>
        </w:rPr>
        <w:lastRenderedPageBreak/>
        <w:t>(</w:t>
      </w:r>
      <w:r w:rsidRPr="00FE3030">
        <w:rPr>
          <w:color w:val="1A1A1A"/>
        </w:rPr>
        <w:t>Nota: aunque el artícul</w:t>
      </w:r>
      <w:r>
        <w:rPr>
          <w:color w:val="1A1A1A"/>
        </w:rPr>
        <w:t>o que sigue debería haberse incluido en el</w:t>
      </w:r>
      <w:r w:rsidRPr="00FE3030">
        <w:rPr>
          <w:color w:val="1A1A1A"/>
        </w:rPr>
        <w:t xml:space="preserve"> Apartado sobre los “p</w:t>
      </w:r>
      <w:r>
        <w:rPr>
          <w:color w:val="1A1A1A"/>
        </w:rPr>
        <w:t>erdedores” de la globalización -aquellos a los toca vivir en el</w:t>
      </w:r>
      <w:r w:rsidRPr="00FE3030">
        <w:rPr>
          <w:color w:val="1A1A1A"/>
        </w:rPr>
        <w:t xml:space="preserve"> lado malo de las vías del tren</w:t>
      </w:r>
      <w:r>
        <w:rPr>
          <w:color w:val="1A1A1A"/>
        </w:rPr>
        <w:t>-, se respeta el orden cronológico de la hemeroteca)</w:t>
      </w:r>
    </w:p>
    <w:p w:rsidR="00737DC2" w:rsidRPr="00FE3030" w:rsidRDefault="00737DC2" w:rsidP="00737DC2">
      <w:pPr>
        <w:pStyle w:val="NormalWeb"/>
        <w:shd w:val="clear" w:color="auto" w:fill="FFFFFF"/>
        <w:spacing w:before="0" w:beforeAutospacing="0" w:after="0" w:afterAutospacing="0"/>
        <w:jc w:val="both"/>
        <w:textAlignment w:val="baseline"/>
        <w:rPr>
          <w:color w:val="1A1A1A"/>
        </w:rPr>
      </w:pPr>
    </w:p>
    <w:p w:rsidR="00737DC2" w:rsidRPr="00CA66F5"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4FE1">
        <w:rPr>
          <w:rFonts w:ascii="Times New Roman" w:hAnsi="Times New Roman" w:cs="Times New Roman"/>
          <w:sz w:val="24"/>
          <w:szCs w:val="24"/>
          <w:u w:val="single"/>
        </w:rPr>
        <w:t xml:space="preserve">La mayoría de jóvenes adultos en EEUU vuelve a casa de sus padres por primera vez desde la Gran </w:t>
      </w:r>
      <w:proofErr w:type="gramStart"/>
      <w:r w:rsidRPr="00EC4FE1">
        <w:rPr>
          <w:rFonts w:ascii="Times New Roman" w:hAnsi="Times New Roman" w:cs="Times New Roman"/>
          <w:sz w:val="24"/>
          <w:szCs w:val="24"/>
          <w:u w:val="single"/>
        </w:rPr>
        <w:t>Depresión</w:t>
      </w:r>
      <w:r>
        <w:rPr>
          <w:rFonts w:ascii="Times New Roman" w:hAnsi="Times New Roman" w:cs="Times New Roman"/>
          <w:sz w:val="24"/>
          <w:szCs w:val="24"/>
        </w:rPr>
        <w:t>(</w:t>
      </w:r>
      <w:proofErr w:type="gramEnd"/>
      <w:r>
        <w:rPr>
          <w:rFonts w:ascii="Times New Roman" w:hAnsi="Times New Roman" w:cs="Times New Roman"/>
          <w:sz w:val="24"/>
          <w:szCs w:val="24"/>
        </w:rPr>
        <w:t xml:space="preserve">El Economista - </w:t>
      </w:r>
      <w:r w:rsidRPr="00CA66F5">
        <w:rPr>
          <w:rFonts w:ascii="Times New Roman" w:hAnsi="Times New Roman" w:cs="Times New Roman"/>
          <w:b/>
          <w:sz w:val="24"/>
          <w:szCs w:val="24"/>
        </w:rPr>
        <w:t>12/10/20</w:t>
      </w:r>
      <w:r>
        <w:rPr>
          <w:rFonts w:ascii="Times New Roman" w:hAnsi="Times New Roman" w:cs="Times New Roman"/>
          <w:sz w:val="24"/>
          <w:szCs w:val="24"/>
        </w:rPr>
        <w:t xml:space="preserve">)       </w:t>
      </w:r>
    </w:p>
    <w:p w:rsidR="00737DC2" w:rsidRPr="00842B31" w:rsidRDefault="00737DC2" w:rsidP="00737DC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pandemia “españoliza”</w:t>
      </w:r>
      <w:r w:rsidRPr="00842B31">
        <w:rPr>
          <w:rFonts w:ascii="Times New Roman" w:hAnsi="Times New Roman" w:cs="Times New Roman"/>
          <w:color w:val="FF0000"/>
          <w:sz w:val="24"/>
          <w:szCs w:val="24"/>
        </w:rPr>
        <w:t xml:space="preserve"> a los Millennials y la Generación Z estadounidenses</w:t>
      </w:r>
    </w:p>
    <w:p w:rsidR="00737DC2" w:rsidRPr="00CA66F5"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A66F5">
        <w:rPr>
          <w:rFonts w:ascii="Times New Roman" w:hAnsi="Times New Roman" w:cs="Times New Roman"/>
          <w:sz w:val="24"/>
          <w:szCs w:val="24"/>
        </w:rPr>
        <w:t>José Luis de Haro</w:t>
      </w:r>
      <w:r>
        <w:rPr>
          <w:rFonts w:ascii="Times New Roman" w:hAnsi="Times New Roman" w:cs="Times New Roman"/>
          <w:sz w:val="24"/>
          <w:szCs w:val="24"/>
        </w:rPr>
        <w:t>)</w:t>
      </w:r>
    </w:p>
    <w:p w:rsidR="00737DC2" w:rsidRPr="00842B31" w:rsidRDefault="00737DC2" w:rsidP="00737DC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737DC2" w:rsidRPr="00842B31" w:rsidRDefault="00737DC2" w:rsidP="00737DC2">
      <w:pPr>
        <w:spacing w:line="240" w:lineRule="auto"/>
        <w:jc w:val="both"/>
        <w:rPr>
          <w:rFonts w:ascii="Times New Roman" w:hAnsi="Times New Roman" w:cs="Times New Roman"/>
          <w:sz w:val="24"/>
          <w:szCs w:val="24"/>
          <w:u w:val="single"/>
        </w:rPr>
      </w:pPr>
      <w:r w:rsidRPr="00CA66F5">
        <w:rPr>
          <w:rFonts w:ascii="Times New Roman" w:hAnsi="Times New Roman" w:cs="Times New Roman"/>
          <w:sz w:val="24"/>
          <w:szCs w:val="24"/>
        </w:rPr>
        <w:t xml:space="preserve">Previamente, el valor más alto se registró en el censo de 1940, cuando el 48% de los adultos jóvenes vivían con sus padres, aunque este porcentaje seguramente fue mayor durante los años previos, de los que no existe registro. </w:t>
      </w:r>
      <w:r w:rsidRPr="00842B31">
        <w:rPr>
          <w:rFonts w:ascii="Times New Roman" w:hAnsi="Times New Roman" w:cs="Times New Roman"/>
          <w:sz w:val="24"/>
          <w:szCs w:val="24"/>
          <w:u w:val="single"/>
        </w:rPr>
        <w:t>El pasado mes de julio, de acuerdo al Pew Research Center, alrededor de 26,6 millones habitaban la casa de sus progenitores, más de diez veces más que en febrero.</w:t>
      </w:r>
    </w:p>
    <w:p w:rsidR="00737DC2" w:rsidRPr="00842B31" w:rsidRDefault="00737DC2" w:rsidP="00737DC2">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Una dinámica que ya comenzó a despuntar tras el azote de la crisis financiera de 2008, que obligó a muchos Millennials, aquellos nacidos entre 1981 y 1996, a romper con la tradición de abandonar definitivamente el hogar familiar y ganar independencia financiera nada más comenzar la universidad. De hecho, según señala Jim Reid, economista jefe de Deutsche Bank, en los últimos 15 años, el porcentaje de personas de 25 a 34</w:t>
      </w:r>
      <w:r>
        <w:rPr>
          <w:rFonts w:ascii="Times New Roman" w:hAnsi="Times New Roman" w:cs="Times New Roman"/>
          <w:sz w:val="24"/>
          <w:szCs w:val="24"/>
          <w:u w:val="single"/>
        </w:rPr>
        <w:t xml:space="preserve"> años que viven con sus padres “se ha disparado”</w:t>
      </w:r>
      <w:r w:rsidRPr="00842B31">
        <w:rPr>
          <w:rFonts w:ascii="Times New Roman" w:hAnsi="Times New Roman" w:cs="Times New Roman"/>
          <w:sz w:val="24"/>
          <w:szCs w:val="24"/>
          <w:u w:val="single"/>
        </w:rPr>
        <w:t xml:space="preserve"> a este lado del Atlántico hasta superar el 17%.</w:t>
      </w:r>
    </w:p>
    <w:p w:rsidR="00737DC2" w:rsidRPr="00842B31" w:rsidRDefault="00737DC2" w:rsidP="00737DC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Sin embargo, 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alrededor de 72 millones de personas.</w:t>
      </w:r>
    </w:p>
    <w:p w:rsidR="00737DC2" w:rsidRPr="00CA66F5" w:rsidRDefault="00737DC2" w:rsidP="00737DC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Si bien no es inusual que los más jóvenes acumulen un patrimonio más reducido que sus mayores, este grupo en particular está muy por detrás de las generaciones anteriores cuando contaban con la misma edad, según revelan los datos de la Fed. En los mismos se observa cómo durante la primera mitad de 2020, la Generación X (1965-1980) englobaban el 25,2% de fortuna estadounidense mientras los Baby Boomers (1946-1964) defendían su l</w:t>
      </w:r>
      <w:r>
        <w:rPr>
          <w:rFonts w:ascii="Times New Roman" w:hAnsi="Times New Roman" w:cs="Times New Roman"/>
          <w:sz w:val="24"/>
          <w:szCs w:val="24"/>
        </w:rPr>
        <w:t>iderazgo al controlar el 53,2%.</w:t>
      </w:r>
    </w:p>
    <w:p w:rsidR="00737DC2" w:rsidRPr="00842B31" w:rsidRDefault="00737DC2" w:rsidP="00737DC2">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 xml:space="preserve">De esta forma, los Millennials acumulaban hasta finales del segundo trimestre de 2020 un patrimonio aproximado de 5,19 billones de dólares mientras la Generación X casi multiplica por seis </w:t>
      </w:r>
      <w:proofErr w:type="gramStart"/>
      <w:r w:rsidRPr="00842B31">
        <w:rPr>
          <w:rFonts w:ascii="Times New Roman" w:hAnsi="Times New Roman" w:cs="Times New Roman"/>
          <w:sz w:val="24"/>
          <w:szCs w:val="24"/>
          <w:u w:val="single"/>
        </w:rPr>
        <w:t>dicho nivel</w:t>
      </w:r>
      <w:proofErr w:type="gramEnd"/>
      <w:r w:rsidRPr="00842B31">
        <w:rPr>
          <w:rFonts w:ascii="Times New Roman" w:hAnsi="Times New Roman" w:cs="Times New Roman"/>
          <w:sz w:val="24"/>
          <w:szCs w:val="24"/>
          <w:u w:val="single"/>
        </w:rPr>
        <w:t xml:space="preserve"> hasta los 28,52 billones de dólares. Los Baby Boomers controlan cerca de 59,56 billones de dólares y los nacidos antes de 1946 alrededor de 18,78 billones de dólares.</w:t>
      </w:r>
    </w:p>
    <w:p w:rsidR="00737DC2" w:rsidRPr="00842B31" w:rsidRDefault="00737DC2" w:rsidP="00737DC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42B31">
        <w:rPr>
          <w:rFonts w:ascii="Times New Roman" w:hAnsi="Times New Roman" w:cs="Times New Roman"/>
          <w:color w:val="FF0000"/>
          <w:sz w:val="24"/>
          <w:szCs w:val="24"/>
          <w:u w:val="single"/>
        </w:rPr>
        <w:t>Si el ritmo de recuperación no se mantiene, pasarán muchos meses antes de que el número de jóvenes adultos en casa de sus padres vuelva a los niveles normales, especialmente entr</w:t>
      </w:r>
      <w:r>
        <w:rPr>
          <w:rFonts w:ascii="Times New Roman" w:hAnsi="Times New Roman" w:cs="Times New Roman"/>
          <w:color w:val="FF0000"/>
          <w:sz w:val="24"/>
          <w:szCs w:val="24"/>
          <w:u w:val="single"/>
        </w:rPr>
        <w:t>e los que han perdido su empleo”</w:t>
      </w:r>
      <w:r w:rsidRPr="00842B31">
        <w:rPr>
          <w:rFonts w:ascii="Times New Roman" w:hAnsi="Times New Roman" w:cs="Times New Roman"/>
          <w:color w:val="FF0000"/>
          <w:sz w:val="24"/>
          <w:szCs w:val="24"/>
          <w:u w:val="single"/>
        </w:rPr>
        <w:t xml:space="preserve">, explica Jeff Tucker, economista de la inmobiliaria Zillow. </w:t>
      </w:r>
      <w:r w:rsidRPr="00842B31">
        <w:rPr>
          <w:rFonts w:ascii="Times New Roman" w:hAnsi="Times New Roman" w:cs="Times New Roman"/>
          <w:color w:val="FF0000"/>
          <w:sz w:val="24"/>
          <w:szCs w:val="24"/>
          <w:u w:val="single"/>
        </w:rPr>
        <w:lastRenderedPageBreak/>
        <w:t>Para Tucker, un revés prolongado retrasará el camino hacia la independencia financiera a muchos miembros de la Generación Z al igual que ocurrió con los Millennials hace casi 13 años. No obstante, estos últimos se postulan como los más perjudicados por la debacle actual.</w:t>
      </w:r>
    </w:p>
    <w:p w:rsidR="00737DC2" w:rsidRPr="00842B31" w:rsidRDefault="00737DC2" w:rsidP="00737DC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Según el Pew Research Center, el 35% de los estadounidenses entre 18 y 29 años, y el 30% de los que tienen entre 30 y 49 años dicen que ellos, o algún miembro de su hogar, han perdido su trabajo. Los datos de la Oficina de Estadísticas Laborales (BLS, por sus siglas en inglés) también indican que entre los parados, los Millennials se enfrentan a períodos más prolongados de desempleo.</w:t>
      </w:r>
    </w:p>
    <w:p w:rsidR="00737DC2" w:rsidRPr="00CA66F5" w:rsidRDefault="00737DC2" w:rsidP="00737DC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Esta situación también puede tener consecuencias políticas. Para el economista jefe de Deutsche Bank, en algún momento, la generación joven de votantes que se queda económicamente atrás superará a los que se han beneficiado de las condiciones financieras favorables que se han consolidado a</w:t>
      </w:r>
      <w:r>
        <w:rPr>
          <w:rFonts w:ascii="Times New Roman" w:hAnsi="Times New Roman" w:cs="Times New Roman"/>
          <w:sz w:val="24"/>
          <w:szCs w:val="24"/>
        </w:rPr>
        <w:t>ntes del revés de la pandemia. “</w:t>
      </w:r>
      <w:r w:rsidRPr="00CA66F5">
        <w:rPr>
          <w:rFonts w:ascii="Times New Roman" w:hAnsi="Times New Roman" w:cs="Times New Roman"/>
          <w:sz w:val="24"/>
          <w:szCs w:val="24"/>
        </w:rPr>
        <w:t>Cuando esto ocurra o esté más cerca, la posibilidad de un cambio sísmico en la política será m</w:t>
      </w:r>
      <w:r>
        <w:rPr>
          <w:rFonts w:ascii="Times New Roman" w:hAnsi="Times New Roman" w:cs="Times New Roman"/>
          <w:sz w:val="24"/>
          <w:szCs w:val="24"/>
        </w:rPr>
        <w:t>ucho más probable”, avisa.</w:t>
      </w:r>
    </w:p>
    <w:p w:rsidR="00737DC2" w:rsidRPr="00842B31" w:rsidRDefault="00737DC2" w:rsidP="00737DC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De esta forma destacan como durante la próxima década, la Generación Z y los Millennials más jóvenes se convertirá en una fuerza electoral cada vez más poderosa, especialmente si sigue rezagada por el impacto de la pandemia. En EEUU, dicho cruce intergenera</w:t>
      </w:r>
      <w:r>
        <w:rPr>
          <w:rFonts w:ascii="Times New Roman" w:hAnsi="Times New Roman" w:cs="Times New Roman"/>
          <w:color w:val="FF0000"/>
          <w:sz w:val="24"/>
          <w:szCs w:val="24"/>
          <w:u w:val="single"/>
        </w:rPr>
        <w:t>cional ocurrirá incluso antes. “</w:t>
      </w:r>
      <w:r w:rsidRPr="00842B31">
        <w:rPr>
          <w:rFonts w:ascii="Times New Roman" w:hAnsi="Times New Roman" w:cs="Times New Roman"/>
          <w:color w:val="FF0000"/>
          <w:sz w:val="24"/>
          <w:szCs w:val="24"/>
          <w:u w:val="single"/>
        </w:rPr>
        <w:t>Nunca antes el voto ha estado tan polarizado por la edad, por lo que el peso cada vez mayor de los Millennials y los votantes más jóvenes en los próximos años tendrá un impacto masivo en la política glo</w:t>
      </w:r>
      <w:r>
        <w:rPr>
          <w:rFonts w:ascii="Times New Roman" w:hAnsi="Times New Roman" w:cs="Times New Roman"/>
          <w:color w:val="FF0000"/>
          <w:sz w:val="24"/>
          <w:szCs w:val="24"/>
          <w:u w:val="single"/>
        </w:rPr>
        <w:t>bal y descarrilará el statu quo”</w:t>
      </w:r>
      <w:r w:rsidRPr="00842B31">
        <w:rPr>
          <w:rFonts w:ascii="Times New Roman" w:hAnsi="Times New Roman" w:cs="Times New Roman"/>
          <w:color w:val="FF0000"/>
          <w:sz w:val="24"/>
          <w:szCs w:val="24"/>
          <w:u w:val="single"/>
        </w:rPr>
        <w:t>, apostilla Reid.</w:t>
      </w:r>
    </w:p>
    <w:p w:rsidR="00737DC2" w:rsidRPr="00842B31" w:rsidRDefault="00737DC2" w:rsidP="00737DC2">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Desde la Brookings Institution coinciden en destacar como los jóvenes podrían ejercer un poder político significativo. Tanto los Millennials como algunos miembros de la Generación Z comprenden ya el 37% de los votantes en EEUU, aproximadamente la misma proporción del electorado que componen los baby boomers y generaciones previas.</w:t>
      </w:r>
    </w:p>
    <w:p w:rsidR="00737DC2" w:rsidRPr="00CA66F5" w:rsidRDefault="00737DC2" w:rsidP="00737DC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Los confinamientos perjudicaron más a los jóvenes que al resto de la población</w:t>
      </w:r>
    </w:p>
    <w:p w:rsidR="00737DC2" w:rsidRDefault="00737DC2" w:rsidP="00737DC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La pandemia de COVID-19 ha demostrado que las restricciones gubernamentales logran reducir las infecciones, según confirmó el FMI en un capítulo de su próxima edición de Perspectivas de la Economía Mundial, pero también contribuyeron a la recesión y golpearon con especial fuerza a los grupos de población más vulnerables, como las mujeres y los jóvenes. De esta forma la institución señala que los confinamientos redujeron más bruscamente la movilidad de los jóvenes de entre 18 y 44 años, con hijos de menor edad afectados por los cierres de escuelas y a menudo con contratos de trabajo temporales con más probabilidades de ser rescindidos durante una crisis. También frenaron más drásticamente la movilidad de mujeres, que soportan una mayor carga en el cuidado de los niños. Para evitar una mayor desigualdad duradera, los responsables políticos deberían reforzar las prestaciones por desempleo y ofrecer permisos remunerados a los padres, según el Fondo.</w:t>
      </w:r>
    </w:p>
    <w:p w:rsidR="00737DC2" w:rsidRPr="0067779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China acelera y se acerca al final de un largo camino: recuperar la primacía económica mundial</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737DC2" w:rsidRPr="0067779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La crisis del covid-19 ha sido dura para todas las economías del mundo. Sin embargo, la diferente forma de afrontar la pandemia, junto a otros factores, ha permitido que China salga fortalecida y esté un poco más cerca de los objetivos que lleva persiguiendo muchos años: ser la primera potencia mundial y una economía desarrollada. La economía China está creciendo con fuerza y con el impulso de prácticamente todos los componentes que conforman el PIB </w:t>
      </w:r>
      <w:r w:rsidRPr="00677792">
        <w:rPr>
          <w:rFonts w:ascii="Times New Roman" w:hAnsi="Times New Roman" w:cs="Times New Roman"/>
          <w:sz w:val="24"/>
          <w:szCs w:val="24"/>
        </w:rPr>
        <w:lastRenderedPageBreak/>
        <w:t xml:space="preserve">(ha arrancado todos motores tras el parón del covid), lo que ha permitido al país cerrar el 2020 con un crecimiento del 2,3% (por encima de las previsiones del mercado), mientras que las economías desarrolladas sufren recesiones históricas. Pekín tiene </w:t>
      </w:r>
      <w:r>
        <w:rPr>
          <w:rFonts w:ascii="Times New Roman" w:hAnsi="Times New Roman" w:cs="Times New Roman"/>
          <w:sz w:val="24"/>
          <w:szCs w:val="24"/>
        </w:rPr>
        <w:t>gasolina para superar la temida “trampa de ingresos medios”</w:t>
      </w:r>
      <w:r w:rsidRPr="00677792">
        <w:rPr>
          <w:rFonts w:ascii="Times New Roman" w:hAnsi="Times New Roman" w:cs="Times New Roman"/>
          <w:sz w:val="24"/>
          <w:szCs w:val="24"/>
        </w:rPr>
        <w:t xml:space="preserve"> y volver a ser</w:t>
      </w:r>
      <w:r>
        <w:rPr>
          <w:rFonts w:ascii="Times New Roman" w:hAnsi="Times New Roman" w:cs="Times New Roman"/>
          <w:sz w:val="24"/>
          <w:szCs w:val="24"/>
        </w:rPr>
        <w:t xml:space="preserve"> la primera economía del mundo.</w:t>
      </w:r>
    </w:p>
    <w:p w:rsidR="00737DC2" w:rsidRDefault="00737DC2" w:rsidP="00737DC2">
      <w:pPr>
        <w:spacing w:line="240" w:lineRule="auto"/>
        <w:jc w:val="both"/>
        <w:rPr>
          <w:rFonts w:ascii="Times New Roman" w:hAnsi="Times New Roman" w:cs="Times New Roman"/>
          <w:sz w:val="24"/>
          <w:szCs w:val="24"/>
        </w:rPr>
      </w:pPr>
      <w:r>
        <w:rPr>
          <w:noProof/>
          <w:lang w:val="en-GB" w:eastAsia="zh-CN"/>
        </w:rPr>
        <w:drawing>
          <wp:inline distT="0" distB="0" distL="0" distR="0">
            <wp:extent cx="5727094" cy="2470150"/>
            <wp:effectExtent l="0" t="0" r="6985" b="6350"/>
            <wp:docPr id="233" name="Imagen 233" descr="https://s03.s3c.es/imag/_v0/770x383/9/8/2/china-pib-su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3/9/8/2/china-pib-supera.jpg"/>
                    <pic:cNvPicPr>
                      <a:picLocks noChangeAspect="1" noChangeArrowheads="1"/>
                    </pic:cNvPicPr>
                  </pic:nvPicPr>
                  <pic:blipFill>
                    <a:blip r:embed="rId3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72055"/>
                    </a:xfrm>
                    <a:prstGeom prst="rect">
                      <a:avLst/>
                    </a:prstGeom>
                    <a:noFill/>
                    <a:ln>
                      <a:noFill/>
                    </a:ln>
                  </pic:spPr>
                </pic:pic>
              </a:graphicData>
            </a:graphic>
          </wp:inline>
        </w:drawing>
      </w:r>
      <w:r w:rsidRPr="00677792">
        <w:rPr>
          <w:rFonts w:ascii="Times New Roman" w:hAnsi="Times New Roman" w:cs="Times New Roman"/>
          <w:sz w:val="24"/>
          <w:szCs w:val="24"/>
        </w:rPr>
        <w:t>China adelantará a EEUU como primera economía global en 2028. FMI</w:t>
      </w:r>
    </w:p>
    <w:p w:rsidR="00737DC2" w:rsidRPr="006E6764" w:rsidRDefault="00737DC2" w:rsidP="00737DC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Aunque el crecimiento anual de China ha sido el más lento en cuatro décadas, la contracción económica global en la producción significa que China ha incrementado su peso en la economía mundial al ritmo más rápido desde que se tienen registros, según estimaciones del Banco Mundial. Analizando las proyecciones del Fondo Monetario Internacional, China superará ahora a EEUU en 2028, dos años antes de lo previsto por el banco de inversión Nomura y el FMI en la anterior revisión. Por ahora, China ya ha superado a la zona euro como segunda economía mundial.</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Los diferentes planes que han ido aprobando</w:t>
      </w:r>
      <w:r>
        <w:rPr>
          <w:rFonts w:ascii="Times New Roman" w:hAnsi="Times New Roman" w:cs="Times New Roman"/>
          <w:sz w:val="24"/>
          <w:szCs w:val="24"/>
        </w:rPr>
        <w:t xml:space="preserve"> las autoridades del “gigante asiático”</w:t>
      </w:r>
      <w:r w:rsidRPr="00677792">
        <w:rPr>
          <w:rFonts w:ascii="Times New Roman" w:hAnsi="Times New Roman" w:cs="Times New Roman"/>
          <w:sz w:val="24"/>
          <w:szCs w:val="24"/>
        </w:rPr>
        <w:t xml:space="preserve"> tenían fines claros que se han ido consiguiendo. En poco más de 20 años, China ha pasado de ser una economía de ingresos bajos (menos de 1.000 dólares de renta) a acercarse a lo que se considera una economía de ingresos altos (más de 12.535 d</w:t>
      </w:r>
      <w:r>
        <w:rPr>
          <w:rFonts w:ascii="Times New Roman" w:hAnsi="Times New Roman" w:cs="Times New Roman"/>
          <w:sz w:val="24"/>
          <w:szCs w:val="24"/>
        </w:rPr>
        <w:t>ólares de ingresos per cápita).</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Banco Mundial divide a los países en ingresos bajos, medios bajo, medios altos y altos. China ha dado un salto que le ha permitido casi alcanzar el primer escalón en un periodo de tiempo muy corto. Los ingresos per cápita del país superarán los 11.000 dólares al final de este 2021. Los ciudadanos chinos disfrutan de una renta cada vez mayor y la economía de forma agregada se acerca con velocidad a EEUU, la todavía primera economía del </w:t>
      </w:r>
      <w:r>
        <w:rPr>
          <w:rFonts w:ascii="Times New Roman" w:hAnsi="Times New Roman" w:cs="Times New Roman"/>
          <w:sz w:val="24"/>
          <w:szCs w:val="24"/>
        </w:rPr>
        <w:t>mundo, para recuperar el trono.</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Recuperar el trono mundial</w:t>
      </w:r>
    </w:p>
    <w:p w:rsidR="00737DC2" w:rsidRPr="006E6764" w:rsidRDefault="00737DC2" w:rsidP="00737DC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Jordi Singla, economista de CaixaBank Research, explica en un análisis publicado por el banco que “China fue la primera economía del mundo en buena parte del tiempo transcurrido desde el inicio de la dinastía Shang, alrededor del 1500 antes de Cristo hasta los inicios del siglo XIX. La guerra del opio (1842), el atraso tecnológico respecto a Occidente y el turbulento fin de la era imperial (1911) supusieron un cataclismo que duró hasta mediados del siglo XX”.</w:t>
      </w:r>
    </w:p>
    <w:p w:rsidR="00737DC2" w:rsidRPr="00677792" w:rsidRDefault="00737DC2" w:rsidP="00737DC2">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 xml:space="preserve">Pero, a partir de 1980, la situación cambió. Con las reformas de Deng Xiaoping hacia una economía socialista de mercado con áreas económicas especiales, “China inició la larga </w:t>
      </w:r>
      <w:r w:rsidRPr="006E6764">
        <w:rPr>
          <w:rFonts w:ascii="Times New Roman" w:hAnsi="Times New Roman" w:cs="Times New Roman"/>
          <w:sz w:val="24"/>
          <w:szCs w:val="24"/>
          <w:u w:val="single"/>
        </w:rPr>
        <w:lastRenderedPageBreak/>
        <w:t>marcha para recuperar la primacía económica global perdida. El ascenso económico de China fue vertiginoso y el país del pasó de ser un 2,3% de la economía mundial en 1980 a un 17,4% en 2019</w:t>
      </w:r>
      <w:r w:rsidRPr="00677792">
        <w:rPr>
          <w:rFonts w:ascii="Times New Roman" w:hAnsi="Times New Roman" w:cs="Times New Roman"/>
          <w:sz w:val="24"/>
          <w:szCs w:val="24"/>
        </w:rPr>
        <w:t>. El bajo punto de partida y unos cambios tan rápidos trajeron un desequilibrio a favor de los productores y la inversión estatal frente a los consumidores privados. Estos desequilibrios, combinados con un sistema financiero atrasado respecto a los estándares occidentales, y una deuda que en 2019 alcanzó el 286% del PIB (Gobierno, empresas y hogares) hacían presagiar una vulnerabilidad de la economía china. Sin embargo, frente al shock de la pandemia de 2020, l</w:t>
      </w:r>
      <w:r>
        <w:rPr>
          <w:rFonts w:ascii="Times New Roman" w:hAnsi="Times New Roman" w:cs="Times New Roman"/>
          <w:sz w:val="24"/>
          <w:szCs w:val="24"/>
        </w:rPr>
        <w:t>a realidad ha sido muy distinta”</w:t>
      </w:r>
      <w:r w:rsidRPr="00677792">
        <w:rPr>
          <w:rFonts w:ascii="Times New Roman" w:hAnsi="Times New Roman" w:cs="Times New Roman"/>
          <w:sz w:val="24"/>
          <w:szCs w:val="24"/>
        </w:rPr>
        <w:t>, sentencia el economista catalán. Ahora, China ha pisado el acelerador y tod</w:t>
      </w:r>
      <w:r>
        <w:rPr>
          <w:rFonts w:ascii="Times New Roman" w:hAnsi="Times New Roman" w:cs="Times New Roman"/>
          <w:sz w:val="24"/>
          <w:szCs w:val="24"/>
        </w:rPr>
        <w:t>o hace indicar que rebasará la “</w:t>
      </w:r>
      <w:r w:rsidRPr="00677792">
        <w:rPr>
          <w:rFonts w:ascii="Times New Roman" w:hAnsi="Times New Roman" w:cs="Times New Roman"/>
          <w:sz w:val="24"/>
          <w:szCs w:val="24"/>
        </w:rPr>
        <w:t>trampa de i</w:t>
      </w:r>
      <w:r>
        <w:rPr>
          <w:rFonts w:ascii="Times New Roman" w:hAnsi="Times New Roman" w:cs="Times New Roman"/>
          <w:sz w:val="24"/>
          <w:szCs w:val="24"/>
        </w:rPr>
        <w:t>ngresos medios” como un cohete.</w:t>
      </w:r>
    </w:p>
    <w:p w:rsidR="00737DC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trampa de ingresos medios</w:t>
      </w:r>
    </w:p>
    <w:p w:rsidR="00737DC2" w:rsidRPr="006E6764" w:rsidRDefault="00737DC2" w:rsidP="00737DC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Decenas de países han quedado atascados en lo que se conoce como “trampa de los ingresos medios” (es fácil crecer cuando se tienen costes laborales muy bajos, luego llega lo difícil, que es generar valor añadido para escapar de la trampa), todo hace indicar que China va a ser una historia de éxito. En 2022 o 2023 podría certificarse su entrada en el “club” de los países desarrollados, un destino que ahora queda muy cerca y que China busca alcanzar dejando atrás la fabricación de bienes baratos (ropa, juguetes...) y poniendo el foco en los que tiene mayor valor añadido (maquinaría, tecnología, inteligencia artificial....).</w:t>
      </w:r>
    </w:p>
    <w:p w:rsidR="00737DC2" w:rsidRPr="00677792" w:rsidRDefault="00737DC2" w:rsidP="00737DC2">
      <w:pPr>
        <w:spacing w:line="240" w:lineRule="auto"/>
        <w:jc w:val="both"/>
        <w:rPr>
          <w:rFonts w:ascii="Times New Roman" w:hAnsi="Times New Roman" w:cs="Times New Roman"/>
          <w:sz w:val="24"/>
          <w:szCs w:val="24"/>
        </w:rPr>
      </w:pPr>
    </w:p>
    <w:p w:rsidR="00737DC2" w:rsidRPr="00677792" w:rsidRDefault="00737DC2" w:rsidP="00737DC2">
      <w:pPr>
        <w:spacing w:line="240" w:lineRule="auto"/>
        <w:jc w:val="both"/>
        <w:rPr>
          <w:rFonts w:ascii="Times New Roman" w:hAnsi="Times New Roman" w:cs="Times New Roman"/>
          <w:sz w:val="24"/>
          <w:szCs w:val="24"/>
        </w:rPr>
      </w:pPr>
      <w:r>
        <w:rPr>
          <w:noProof/>
          <w:lang w:val="en-GB" w:eastAsia="zh-CN"/>
        </w:rPr>
        <w:drawing>
          <wp:inline distT="0" distB="0" distL="0" distR="0">
            <wp:extent cx="5733558" cy="2787650"/>
            <wp:effectExtent l="0" t="0" r="635" b="0"/>
            <wp:docPr id="234" name="Imagen 234" descr="https://s03.s3c.es/imag/_v0/770x541/3/c/6/trampa-ingresos-me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541/3/c/6/trampa-ingresos-medios.jpg"/>
                    <pic:cNvPicPr>
                      <a:picLocks noChangeAspect="1" noChangeArrowheads="1"/>
                    </pic:cNvPicPr>
                  </pic:nvPicPr>
                  <pic:blipFill>
                    <a:blip r:embed="rId3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86654"/>
                    </a:xfrm>
                    <a:prstGeom prst="rect">
                      <a:avLst/>
                    </a:prstGeom>
                    <a:noFill/>
                    <a:ln>
                      <a:noFill/>
                    </a:ln>
                  </pic:spPr>
                </pic:pic>
              </a:graphicData>
            </a:graphic>
          </wp:inline>
        </w:drawing>
      </w:r>
      <w:r w:rsidRPr="00677792">
        <w:rPr>
          <w:rFonts w:ascii="Times New Roman" w:hAnsi="Times New Roman" w:cs="Times New Roman"/>
          <w:sz w:val="24"/>
          <w:szCs w:val="24"/>
        </w:rPr>
        <w:t>China rebasará la trampa de ingresos medios en la que han caído decenas de países</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2021 es el primer año del decimocuarto plan quinquenal de China, cuyos objetivos principales </w:t>
      </w:r>
      <w:r>
        <w:rPr>
          <w:rFonts w:ascii="Times New Roman" w:hAnsi="Times New Roman" w:cs="Times New Roman"/>
          <w:sz w:val="24"/>
          <w:szCs w:val="24"/>
        </w:rPr>
        <w:t>consisten en hacer frente a la “trampa de las rentas medias”</w:t>
      </w:r>
      <w:r w:rsidRPr="00677792">
        <w:rPr>
          <w:rFonts w:ascii="Times New Roman" w:hAnsi="Times New Roman" w:cs="Times New Roman"/>
          <w:sz w:val="24"/>
          <w:szCs w:val="24"/>
        </w:rPr>
        <w:t xml:space="preserve"> y construir una modesta economía avanzada, señala Jinyue Dong, economista de BBVA Research para China, en una nota.</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El éxito a la hora de manejar la crisis del covid-19 acerca a China a su objetivo, aunque en parte sea también por el retroceso de las economías avanzadas. La economía china levantó el vuelo allá por marzo gracias al fuerte auge de sus exportaciones (China ha vendido a medio mundo material relacionado con la pandemia). Ahora, no solo las exportaciones, la economía ha puesto en marcha todos los motores y coge velocidad.</w:t>
      </w:r>
    </w:p>
    <w:p w:rsidR="00737DC2" w:rsidRPr="0067779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77792">
        <w:rPr>
          <w:rFonts w:ascii="Times New Roman" w:hAnsi="Times New Roman" w:cs="Times New Roman"/>
          <w:sz w:val="24"/>
          <w:szCs w:val="24"/>
        </w:rPr>
        <w:t>Los datos de actividad han vuelto a mostrar un fuerte impulso de recuperación. La producción industrial acelera, respaldada tanto por las fuertes exportaciones como por la continua recuperación de la demanda interna. La inversión en industria ha recuperado toda su fuerza, mientras que las ventas minoristas también experimentaron una mejora adicional, aunque menos impresionante. Sin embargo, la normalización del desempleo debería ayudar a que el consumo continúe poniéndose al día. El crecimiento del PIB real en el cuarto trimestre ha alcanzado el 6,5% (frente al 5,5% esperado anteriormente), y es probable que el efecto de arrastre positivo eleve el crecimiento d</w:t>
      </w:r>
      <w:r>
        <w:rPr>
          <w:rFonts w:ascii="Times New Roman" w:hAnsi="Times New Roman" w:cs="Times New Roman"/>
          <w:sz w:val="24"/>
          <w:szCs w:val="24"/>
        </w:rPr>
        <w:t>e 2021 al 8,5% (frente al 7,8%)”</w:t>
      </w:r>
      <w:r w:rsidRPr="00677792">
        <w:rPr>
          <w:rFonts w:ascii="Times New Roman" w:hAnsi="Times New Roman" w:cs="Times New Roman"/>
          <w:sz w:val="24"/>
          <w:szCs w:val="24"/>
        </w:rPr>
        <w:t>, a</w:t>
      </w:r>
      <w:r>
        <w:rPr>
          <w:rFonts w:ascii="Times New Roman" w:hAnsi="Times New Roman" w:cs="Times New Roman"/>
          <w:sz w:val="24"/>
          <w:szCs w:val="24"/>
        </w:rPr>
        <w:t>seguran desde Societe Generale.</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Jianwei Xu, economista del banco de inversión Natixis, cree que si China sigue conteniendo la propagación del covid-19 como hasta ahora, es probable que el </w:t>
      </w:r>
      <w:r>
        <w:rPr>
          <w:rFonts w:ascii="Times New Roman" w:hAnsi="Times New Roman" w:cs="Times New Roman"/>
          <w:sz w:val="24"/>
          <w:szCs w:val="24"/>
        </w:rPr>
        <w:t>impulso económico se mantenga. “</w:t>
      </w:r>
      <w:r w:rsidRPr="00677792">
        <w:rPr>
          <w:rFonts w:ascii="Times New Roman" w:hAnsi="Times New Roman" w:cs="Times New Roman"/>
          <w:sz w:val="24"/>
          <w:szCs w:val="24"/>
        </w:rPr>
        <w:t xml:space="preserve">El consumo será el impulsor más importante. A medida que los ingresos de los hogares continúen mejorando y la tasa de desempleo descienda a un nivel más bajo, el poder adquisitivo de los hogares se recuperará a un nivel más alto y contribuirá a un crecimiento más rápido del consumo. Dado que el consumo constituyó una gran parte del PIB de China durante los últimos años, la reactivación del poder adquisitivo del consumidor será crucial para lograr un crecimiento sostenible de China durante el próximo </w:t>
      </w:r>
      <w:r>
        <w:rPr>
          <w:rFonts w:ascii="Times New Roman" w:hAnsi="Times New Roman" w:cs="Times New Roman"/>
          <w:sz w:val="24"/>
          <w:szCs w:val="24"/>
        </w:rPr>
        <w:t>año”.</w:t>
      </w:r>
    </w:p>
    <w:p w:rsidR="00737DC2" w:rsidRPr="0067779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Una economía con objetivos muy claros</w:t>
      </w:r>
    </w:p>
    <w:p w:rsidR="00737DC2" w:rsidRPr="006E6764" w:rsidRDefault="00737DC2" w:rsidP="00737DC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La economía de China, al igual que la de los países desarrollados, ha ido cambiando la composición de su PIB, aunque sigue manteniendo ciertas diferencias. El consumo final tiene ahora un peso del 56% en el PIB, una mejora importante desde 2010, pero que aún dista de las economías desarrolladas, que confían a este componente entre un 70 y un 80% del PIB. La diferencia es que China sigue apostando con fuerza por la inversión, con un peso en el PIB del 40%, muy superior al de los países desarrollados. Es una apuesta por el futuro: la inversión (ahorro) de hoy será el consumo de mañana.</w:t>
      </w:r>
    </w:p>
    <w:p w:rsidR="00737DC2" w:rsidRPr="00677792" w:rsidRDefault="00737DC2" w:rsidP="00737DC2">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China está intentando producir todo lo posible para reducir su dependencia del exterior en materia de importaciones, aunque sí quiere seguir vendiendo sus productos fuera</w:t>
      </w:r>
      <w:r w:rsidRPr="00677792">
        <w:rPr>
          <w:rFonts w:ascii="Times New Roman" w:hAnsi="Times New Roman" w:cs="Times New Roman"/>
          <w:sz w:val="24"/>
          <w:szCs w:val="24"/>
        </w:rPr>
        <w:t>. Para producirlo todo dentro se necesitan grandes dosis de inversión que a su vez usan grandes cantidade</w:t>
      </w:r>
      <w:r>
        <w:rPr>
          <w:rFonts w:ascii="Times New Roman" w:hAnsi="Times New Roman" w:cs="Times New Roman"/>
          <w:sz w:val="24"/>
          <w:szCs w:val="24"/>
        </w:rPr>
        <w:t>s ahorro interno en este caso. “</w:t>
      </w:r>
      <w:r w:rsidRPr="00677792">
        <w:rPr>
          <w:rFonts w:ascii="Times New Roman" w:hAnsi="Times New Roman" w:cs="Times New Roman"/>
          <w:sz w:val="24"/>
          <w:szCs w:val="24"/>
        </w:rPr>
        <w:t>China no se va a convertir en una autarquía completa. Si necesita importar gas de Irán o petróleo de Arabia Saudí lo va a seguir haciendo, lo que no quiere es importar maquinaria alemana que la propia China ya puede producir, porque estas importaciones son de alto valor añadido y mejoran la capacidad productiva del país y a su vez pueden acabar exportando estos bienes que hasta hace poco tenían</w:t>
      </w:r>
      <w:r>
        <w:rPr>
          <w:rFonts w:ascii="Times New Roman" w:hAnsi="Times New Roman" w:cs="Times New Roman"/>
          <w:sz w:val="24"/>
          <w:szCs w:val="24"/>
        </w:rPr>
        <w:t xml:space="preserve"> que comprar a Alemania o Japón”</w:t>
      </w:r>
      <w:r w:rsidRPr="00677792">
        <w:rPr>
          <w:rFonts w:ascii="Times New Roman" w:hAnsi="Times New Roman" w:cs="Times New Roman"/>
          <w:sz w:val="24"/>
          <w:szCs w:val="24"/>
        </w:rPr>
        <w:t>, aseguraba Alicia García Herrero, economista jefe de Natixis para Asia Pacífico en u</w:t>
      </w:r>
      <w:r>
        <w:rPr>
          <w:rFonts w:ascii="Times New Roman" w:hAnsi="Times New Roman" w:cs="Times New Roman"/>
          <w:sz w:val="24"/>
          <w:szCs w:val="24"/>
        </w:rPr>
        <w:t>na entrevista con elEconomista.</w:t>
      </w:r>
    </w:p>
    <w:p w:rsidR="00737DC2" w:rsidRPr="006E6764" w:rsidRDefault="00737DC2" w:rsidP="00737DC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“China va a intentar producirlo todo y mientras no pueda hacerlo seguirá importando, pero el objetivo es fabricarlo todo, menos las materias primas, donde China no tiene ventajas comparativas y no puede ser competitiva, no les interesa ni quieren hacerlo”, explica esta experta.</w:t>
      </w:r>
    </w:p>
    <w:p w:rsidR="00737DC2" w:rsidRDefault="00737DC2" w:rsidP="00737DC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Las reformas también buscan estimular la demanda interna. Pero más allá de eso, también indica una gran cantidad de reformas estructurales a largo plazo para lograr la transformación del motor de crecimiento que ha estado impulsado por las exportaciones a uno impulsado por el consumo, incluida, incluyendo reformas para mejorar la distribución de la renta y mejorar la protección social para aumentar la propensión a consumir de los más desfavorecidos, comenta Jinyue Dong.</w:t>
      </w:r>
    </w:p>
    <w:p w:rsidR="00737DC2" w:rsidRPr="00322055"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22055">
        <w:rPr>
          <w:rFonts w:ascii="Times New Roman" w:hAnsi="Times New Roman" w:cs="Times New Roman"/>
          <w:sz w:val="24"/>
          <w:szCs w:val="24"/>
          <w:u w:val="single"/>
        </w:rPr>
        <w:t>La inflación da cada vez más miedo ante el riesgo de que se produzca una tormenta perfecta</w:t>
      </w:r>
      <w:r>
        <w:rPr>
          <w:rFonts w:ascii="Times New Roman" w:hAnsi="Times New Roman" w:cs="Times New Roman"/>
          <w:sz w:val="24"/>
          <w:szCs w:val="24"/>
        </w:rPr>
        <w:t xml:space="preserve"> (El Economista - </w:t>
      </w:r>
      <w:r w:rsidRPr="00322055">
        <w:rPr>
          <w:rFonts w:ascii="Times New Roman" w:hAnsi="Times New Roman" w:cs="Times New Roman"/>
          <w:b/>
          <w:sz w:val="24"/>
          <w:szCs w:val="24"/>
        </w:rPr>
        <w:t>6/5/21</w:t>
      </w:r>
      <w:r>
        <w:rPr>
          <w:rFonts w:ascii="Times New Roman" w:hAnsi="Times New Roman" w:cs="Times New Roman"/>
          <w:sz w:val="24"/>
          <w:szCs w:val="24"/>
        </w:rPr>
        <w:t>)</w:t>
      </w:r>
    </w:p>
    <w:p w:rsidR="00737DC2" w:rsidRPr="00322055"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2055">
        <w:rPr>
          <w:rFonts w:ascii="Times New Roman" w:hAnsi="Times New Roman" w:cs="Times New Roman"/>
          <w:sz w:val="24"/>
          <w:szCs w:val="24"/>
        </w:rPr>
        <w:t>Vicente Nieves</w:t>
      </w:r>
      <w:r>
        <w:rPr>
          <w:rFonts w:ascii="Times New Roman" w:hAnsi="Times New Roman" w:cs="Times New Roman"/>
          <w:sz w:val="24"/>
          <w:szCs w:val="24"/>
        </w:rPr>
        <w:t>)</w:t>
      </w:r>
    </w:p>
    <w:p w:rsidR="00737DC2" w:rsidRPr="00322055" w:rsidRDefault="00737DC2" w:rsidP="00737DC2">
      <w:pPr>
        <w:spacing w:line="240" w:lineRule="auto"/>
        <w:jc w:val="both"/>
        <w:rPr>
          <w:rFonts w:ascii="Times New Roman" w:hAnsi="Times New Roman" w:cs="Times New Roman"/>
          <w:sz w:val="24"/>
          <w:szCs w:val="24"/>
        </w:rPr>
      </w:pPr>
      <w:r w:rsidRPr="00D316A1">
        <w:rPr>
          <w:rFonts w:ascii="Times New Roman" w:hAnsi="Times New Roman" w:cs="Times New Roman"/>
          <w:color w:val="FF0000"/>
          <w:sz w:val="24"/>
          <w:szCs w:val="24"/>
          <w:u w:val="single"/>
        </w:rPr>
        <w:t>El consenso del mercado y de los expertos prevé un auge de la inflación puntual y moderado.Según la narrativa dominante se espera que el IPC rebase modestamente el 2% durante este 2021 en los países desarrollados, por efectos únicos y puntuales. De modo que a partir de 2022, el IPC debería volver a la senda que mostraba antes de la pandemia del covid</w:t>
      </w:r>
      <w:r w:rsidRPr="00322055">
        <w:rPr>
          <w:rFonts w:ascii="Times New Roman" w:hAnsi="Times New Roman" w:cs="Times New Roman"/>
          <w:sz w:val="24"/>
          <w:szCs w:val="24"/>
        </w:rPr>
        <w:t xml:space="preserve">. Sin embargo, la preocupación entre empresas e inversores es cada vez mayor ante una combinación de restricciones en la oferta y un auge de la demanda (inflación de demanda y oferta juntas). Además, Blackrock ha advertido esta semana que el mercado podría estar subestimando el potencial de la inflación a medio plazo, </w:t>
      </w:r>
      <w:r>
        <w:rPr>
          <w:rFonts w:ascii="Times New Roman" w:hAnsi="Times New Roman" w:cs="Times New Roman"/>
          <w:sz w:val="24"/>
          <w:szCs w:val="24"/>
        </w:rPr>
        <w:t>generando aún más preocupación.</w:t>
      </w:r>
    </w:p>
    <w:p w:rsidR="00737DC2" w:rsidRPr="00D316A1" w:rsidRDefault="00737DC2" w:rsidP="00737DC2">
      <w:pPr>
        <w:spacing w:line="240" w:lineRule="auto"/>
        <w:jc w:val="both"/>
        <w:rPr>
          <w:rFonts w:ascii="Times New Roman" w:hAnsi="Times New Roman" w:cs="Times New Roman"/>
          <w:sz w:val="24"/>
          <w:szCs w:val="24"/>
          <w:u w:val="single"/>
        </w:rPr>
      </w:pPr>
      <w:r w:rsidRPr="00D316A1">
        <w:rPr>
          <w:rFonts w:ascii="Times New Roman" w:hAnsi="Times New Roman" w:cs="Times New Roman"/>
          <w:sz w:val="24"/>
          <w:szCs w:val="24"/>
          <w:u w:val="single"/>
        </w:rPr>
        <w:t>Esta mayor preocupación ha quedado a la vista en el reciente mensaje de Janet Yellen, secretaria del Tesoro de EEUU, sobre los tipos de interés y el riesgo de sobrecalentamiento de la economía de EEUU. Aunque Yellen matizó sus palabras m</w:t>
      </w:r>
      <w:r>
        <w:rPr>
          <w:rFonts w:ascii="Times New Roman" w:hAnsi="Times New Roman" w:cs="Times New Roman"/>
          <w:sz w:val="24"/>
          <w:szCs w:val="24"/>
          <w:u w:val="single"/>
        </w:rPr>
        <w:t>ás tarde, el mensaje está ahí: “</w:t>
      </w:r>
      <w:r w:rsidRPr="00D316A1">
        <w:rPr>
          <w:rFonts w:ascii="Times New Roman" w:hAnsi="Times New Roman" w:cs="Times New Roman"/>
          <w:sz w:val="24"/>
          <w:szCs w:val="24"/>
          <w:u w:val="single"/>
        </w:rPr>
        <w:t xml:space="preserve">Los tipos de interés podrían tener que subir para </w:t>
      </w:r>
      <w:r>
        <w:rPr>
          <w:rFonts w:ascii="Times New Roman" w:hAnsi="Times New Roman" w:cs="Times New Roman"/>
          <w:sz w:val="24"/>
          <w:szCs w:val="24"/>
          <w:u w:val="single"/>
        </w:rPr>
        <w:t>el evitar un sobrecalentamiento”</w:t>
      </w:r>
      <w:r w:rsidRPr="00D316A1">
        <w:rPr>
          <w:rFonts w:ascii="Times New Roman" w:hAnsi="Times New Roman" w:cs="Times New Roman"/>
          <w:sz w:val="24"/>
          <w:szCs w:val="24"/>
          <w:u w:val="single"/>
        </w:rPr>
        <w:t>. Rara vez se ha visto a un político pidiendo o sugiriendo una subida de tipos, más bien suele ocurrir todo lo contrario.</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Las señales que anticipan una inflación más alta están aumentando, con un número cada vez mayor de empresas advirtiendo sobre la escasez de suministros, cuellos de botella y auge de precios en los inputs con los que trabajan. Todo esto solo conduce a una inflación mayor (de costes y oferta) que tendrá que soportar, en última instancia, el consumidor. Y aunque este es un fenómeno cuyo epicentro se encuentra en EEUU, la zona euro también se verá afectada por los mayores costes de las materias primas (madera, cobre, maíz, petróleo...) con las que trabajan las empresas y el impulso de la demanda interna y externa a medida que reabre la economía.</w:t>
      </w:r>
    </w:p>
    <w:p w:rsidR="00737DC2" w:rsidRPr="00322055" w:rsidRDefault="00737DC2" w:rsidP="00737DC2">
      <w:pPr>
        <w:spacing w:line="240" w:lineRule="auto"/>
        <w:jc w:val="both"/>
        <w:rPr>
          <w:rFonts w:ascii="Times New Roman" w:hAnsi="Times New Roman" w:cs="Times New Roman"/>
          <w:sz w:val="24"/>
          <w:szCs w:val="24"/>
        </w:rPr>
      </w:pPr>
      <w:r>
        <w:rPr>
          <w:noProof/>
          <w:lang w:val="en-GB" w:eastAsia="zh-CN"/>
        </w:rPr>
        <w:drawing>
          <wp:inline distT="0" distB="0" distL="0" distR="0">
            <wp:extent cx="5726149" cy="2349500"/>
            <wp:effectExtent l="0" t="0" r="8255" b="0"/>
            <wp:docPr id="240" name="Imagen 240" descr="https://s03.s3c.es/imag/_v0/2310x1350/e/e/f/inflacion-tormenta-perfec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2310x1350/e/e/f/inflacion-tormenta-perfecta.gif"/>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51700"/>
                    </a:xfrm>
                    <a:prstGeom prst="rect">
                      <a:avLst/>
                    </a:prstGeom>
                    <a:noFill/>
                    <a:ln>
                      <a:noFill/>
                    </a:ln>
                  </pic:spPr>
                </pic:pic>
              </a:graphicData>
            </a:graphic>
          </wp:inline>
        </w:drawing>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 preocupación por la inflación se duplica en dos meses</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Por ejemplo, los inventarios de chips semiconductores (hoy en día todo lleva un chip) están casi a cero, paralizando la producción de coches y dispositivos electrónicos, mientras que las materias primas están disparadas, justo ahora que la demanda empieza a recuperarse y las economías están reabriendo. Esta combinación de factores podría generar una suerte de tormenta perfecta para los precios: la combinación de una oferta restringida, junto a una demanda hambrienta y con ganas de recuperar el tiempo perdido (inflació</w:t>
      </w:r>
      <w:r>
        <w:rPr>
          <w:rFonts w:ascii="Times New Roman" w:hAnsi="Times New Roman" w:cs="Times New Roman"/>
          <w:sz w:val="24"/>
          <w:szCs w:val="24"/>
        </w:rPr>
        <w:t xml:space="preserve">n de oferta y </w:t>
      </w:r>
      <w:r>
        <w:rPr>
          <w:rFonts w:ascii="Times New Roman" w:hAnsi="Times New Roman" w:cs="Times New Roman"/>
          <w:sz w:val="24"/>
          <w:szCs w:val="24"/>
        </w:rPr>
        <w:lastRenderedPageBreak/>
        <w:t>demanda juntas). “</w:t>
      </w:r>
      <w:r w:rsidRPr="00322055">
        <w:rPr>
          <w:rFonts w:ascii="Times New Roman" w:hAnsi="Times New Roman" w:cs="Times New Roman"/>
          <w:sz w:val="24"/>
          <w:szCs w:val="24"/>
        </w:rPr>
        <w:t>Los riesgos claramente se inclin</w:t>
      </w:r>
      <w:r>
        <w:rPr>
          <w:rFonts w:ascii="Times New Roman" w:hAnsi="Times New Roman" w:cs="Times New Roman"/>
          <w:sz w:val="24"/>
          <w:szCs w:val="24"/>
        </w:rPr>
        <w:t>an al alza en el entorno actual”</w:t>
      </w:r>
      <w:r w:rsidRPr="00322055">
        <w:rPr>
          <w:rFonts w:ascii="Times New Roman" w:hAnsi="Times New Roman" w:cs="Times New Roman"/>
          <w:sz w:val="24"/>
          <w:szCs w:val="24"/>
        </w:rPr>
        <w:t xml:space="preserve">, asegura </w:t>
      </w:r>
      <w:r>
        <w:rPr>
          <w:rFonts w:ascii="Times New Roman" w:hAnsi="Times New Roman" w:cs="Times New Roman"/>
          <w:sz w:val="24"/>
          <w:szCs w:val="24"/>
        </w:rPr>
        <w:t>John Mothersole de IHS Markit. “</w:t>
      </w:r>
      <w:r w:rsidRPr="00322055">
        <w:rPr>
          <w:rFonts w:ascii="Times New Roman" w:hAnsi="Times New Roman" w:cs="Times New Roman"/>
          <w:sz w:val="24"/>
          <w:szCs w:val="24"/>
        </w:rPr>
        <w:t>El aumento de los precios de las materias primas durante el año pasado garantiza</w:t>
      </w:r>
      <w:r>
        <w:rPr>
          <w:rFonts w:ascii="Times New Roman" w:hAnsi="Times New Roman" w:cs="Times New Roman"/>
          <w:sz w:val="24"/>
          <w:szCs w:val="24"/>
        </w:rPr>
        <w:t xml:space="preserve"> ahora una mayor inflación </w:t>
      </w:r>
      <w:r w:rsidRPr="00322055">
        <w:rPr>
          <w:rFonts w:ascii="Times New Roman" w:hAnsi="Times New Roman" w:cs="Times New Roman"/>
          <w:sz w:val="24"/>
          <w:szCs w:val="24"/>
        </w:rPr>
        <w:t>en m</w:t>
      </w:r>
      <w:r>
        <w:rPr>
          <w:rFonts w:ascii="Times New Roman" w:hAnsi="Times New Roman" w:cs="Times New Roman"/>
          <w:sz w:val="24"/>
          <w:szCs w:val="24"/>
        </w:rPr>
        <w:t>uchos bienes para este verano”.</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El miedo a la inflación aumenta</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Jamie Thompson, economista de Oxford Eco</w:t>
      </w:r>
      <w:r>
        <w:rPr>
          <w:rFonts w:ascii="Times New Roman" w:hAnsi="Times New Roman" w:cs="Times New Roman"/>
          <w:sz w:val="24"/>
          <w:szCs w:val="24"/>
        </w:rPr>
        <w:t>nomics, señala en una nota que “</w:t>
      </w:r>
      <w:r w:rsidRPr="00322055">
        <w:rPr>
          <w:rFonts w:ascii="Times New Roman" w:hAnsi="Times New Roman" w:cs="Times New Roman"/>
          <w:sz w:val="24"/>
          <w:szCs w:val="24"/>
        </w:rPr>
        <w:t>las preocupaciones por la inflación a nivel global han aumentado. Alrededor de 1 de cada 7 encuestados (14%) ahora cita el potencial de una mayor inflación como el desencadenante de turbulencias en el mercado y como el principal riesgo a la baja a corto plazo, frente a 1 de cada 20 encuestados que señalaba este riesgo hace tres meses. La mitad de las empresas ahora ven la inflación como uno de</w:t>
      </w:r>
      <w:r>
        <w:rPr>
          <w:rFonts w:ascii="Times New Roman" w:hAnsi="Times New Roman" w:cs="Times New Roman"/>
          <w:sz w:val="24"/>
          <w:szCs w:val="24"/>
        </w:rPr>
        <w:t xml:space="preserve"> los tres riesgos principales”.</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En esa misma encuesta de Oxford Economics, las preocupaciones de las empresas a medio plazo son variadas. Alrededor de un tercio de los encuestados también citan los altos niveles de deuda, los riesgos geopolíticos y el cambio climático como el principal riesgo. No obstante, más de una cuarta parte cita el riesgo de que la inflación desencadene turbulencias en los mercados financieros como muy significativo, y el 75% lo considera sig</w:t>
      </w:r>
      <w:r>
        <w:rPr>
          <w:rFonts w:ascii="Times New Roman" w:hAnsi="Times New Roman" w:cs="Times New Roman"/>
          <w:sz w:val="24"/>
          <w:szCs w:val="24"/>
        </w:rPr>
        <w:t>nificativo o muy significativo.</w:t>
      </w:r>
    </w:p>
    <w:p w:rsidR="00737DC2" w:rsidRPr="004B0A83" w:rsidRDefault="00737DC2" w:rsidP="00737DC2">
      <w:pPr>
        <w:spacing w:line="240" w:lineRule="auto"/>
        <w:jc w:val="both"/>
        <w:rPr>
          <w:rFonts w:ascii="Times New Roman" w:hAnsi="Times New Roman" w:cs="Times New Roman"/>
          <w:sz w:val="24"/>
          <w:szCs w:val="24"/>
          <w:u w:val="single"/>
        </w:rPr>
      </w:pPr>
      <w:r w:rsidRPr="004B0A83">
        <w:rPr>
          <w:rFonts w:ascii="Times New Roman" w:hAnsi="Times New Roman" w:cs="Times New Roman"/>
          <w:sz w:val="24"/>
          <w:szCs w:val="24"/>
          <w:u w:val="single"/>
        </w:rPr>
        <w:t>Por ahora, el IPC armonizado ha pasado de tasas negativas en diciembre de 2020 a alcanzar el 1,6% en abril en la zona euro. En países como Alemania, España u Holanda, la inflación ya está avanzando a un ritmo superior al 2%. En el caso de EEUU, el IPC se ha establecido en el 2,6%, mientras que el PCE (también conocido como deflactor) ha superado el 2% y las expectativas de inflación están</w:t>
      </w:r>
      <w:r>
        <w:rPr>
          <w:rFonts w:ascii="Times New Roman" w:hAnsi="Times New Roman" w:cs="Times New Roman"/>
          <w:sz w:val="24"/>
          <w:szCs w:val="24"/>
          <w:u w:val="single"/>
        </w:rPr>
        <w:t xml:space="preserve"> en</w:t>
      </w:r>
      <w:r w:rsidRPr="004B0A83">
        <w:rPr>
          <w:rFonts w:ascii="Times New Roman" w:hAnsi="Times New Roman" w:cs="Times New Roman"/>
          <w:sz w:val="24"/>
          <w:szCs w:val="24"/>
          <w:u w:val="single"/>
        </w:rPr>
        <w:t xml:space="preserve"> máximos de una década. Se prevé que tanto en EEUU como en la zona euro la inflación supere durante algunos meses el 3%, aunque esta previsión podría estar incluso subestimada.</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 los cuellos de botella, la caída de los inventarios y el alza de las materias primas, hay que sumarle los programas de estímulo de los gobiernos, que han protegido las rentas de las familias durante la crisis. Si el consumo recupera los niveles previos al covid o los supera (solo sucederá si se empieza a gastar el exceso de ahorro acumulado), la economía tendrá problemas para adaptarse a la nueva velocidad de la demanda. Esto es lo que se conoce en jerga económica como efectos de límite de velocidad. La economía podría necesitar un tiempo (para volver a contratar, abrir nuevas empresas, adquirir nuevo capital...) para satisfacer la demanda product</w:t>
      </w:r>
      <w:r>
        <w:rPr>
          <w:rFonts w:ascii="Times New Roman" w:hAnsi="Times New Roman" w:cs="Times New Roman"/>
          <w:sz w:val="24"/>
          <w:szCs w:val="24"/>
        </w:rPr>
        <w:t>o del fin de las restricciones.</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Los economistas de la firma financiera Blackrock comentan en una nota para cl</w:t>
      </w:r>
      <w:r>
        <w:rPr>
          <w:rFonts w:ascii="Times New Roman" w:hAnsi="Times New Roman" w:cs="Times New Roman"/>
          <w:sz w:val="24"/>
          <w:szCs w:val="24"/>
        </w:rPr>
        <w:t>ientes que ante esta situación “</w:t>
      </w:r>
      <w:r w:rsidRPr="00322055">
        <w:rPr>
          <w:rFonts w:ascii="Times New Roman" w:hAnsi="Times New Roman" w:cs="Times New Roman"/>
          <w:sz w:val="24"/>
          <w:szCs w:val="24"/>
        </w:rPr>
        <w:t>veremos volatilidad a corto plazo en la inflación a medida que la economía se recupera, pero creemos que los mercados subestiman el potencial de las presiones al al</w:t>
      </w:r>
      <w:r>
        <w:rPr>
          <w:rFonts w:ascii="Times New Roman" w:hAnsi="Times New Roman" w:cs="Times New Roman"/>
          <w:sz w:val="24"/>
          <w:szCs w:val="24"/>
        </w:rPr>
        <w:t>za de los precios a medio plazo”</w:t>
      </w:r>
      <w:r w:rsidRPr="00322055">
        <w:rPr>
          <w:rFonts w:ascii="Times New Roman" w:hAnsi="Times New Roman" w:cs="Times New Roman"/>
          <w:sz w:val="24"/>
          <w:szCs w:val="24"/>
        </w:rPr>
        <w:t xml:space="preserve">. </w:t>
      </w:r>
      <w:r w:rsidRPr="004B0A83">
        <w:rPr>
          <w:rFonts w:ascii="Times New Roman" w:hAnsi="Times New Roman" w:cs="Times New Roman"/>
          <w:sz w:val="24"/>
          <w:szCs w:val="24"/>
          <w:u w:val="single"/>
        </w:rPr>
        <w:t>La inflación podría situarse fácilmente por encima del 3% en EEUU durante los próximos años.</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Una crisis con un impacto similar al de un desastre natural</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Estos expertos argumentan que el impacto del covid sobre la economía ha sido más parecido al de un desastre natural </w:t>
      </w:r>
      <w:r>
        <w:rPr>
          <w:rFonts w:ascii="Times New Roman" w:hAnsi="Times New Roman" w:cs="Times New Roman"/>
          <w:sz w:val="24"/>
          <w:szCs w:val="24"/>
        </w:rPr>
        <w:t>que viene seguido de un rápido “reinicio”</w:t>
      </w:r>
      <w:r w:rsidRPr="00322055">
        <w:rPr>
          <w:rFonts w:ascii="Times New Roman" w:hAnsi="Times New Roman" w:cs="Times New Roman"/>
          <w:sz w:val="24"/>
          <w:szCs w:val="24"/>
        </w:rPr>
        <w:t xml:space="preserve"> rápido, que al de una recesión tradicional que termina co</w:t>
      </w:r>
      <w:r>
        <w:rPr>
          <w:rFonts w:ascii="Times New Roman" w:hAnsi="Times New Roman" w:cs="Times New Roman"/>
          <w:sz w:val="24"/>
          <w:szCs w:val="24"/>
        </w:rPr>
        <w:t>n una recuperación progresiva. “</w:t>
      </w:r>
      <w:r w:rsidRPr="00322055">
        <w:rPr>
          <w:rFonts w:ascii="Times New Roman" w:hAnsi="Times New Roman" w:cs="Times New Roman"/>
          <w:sz w:val="24"/>
          <w:szCs w:val="24"/>
        </w:rPr>
        <w:t xml:space="preserve">Consideramos que esta naturaleza distinta del shock tiene profundas implicaciones para la inflación: la pandemia no provocó un déficit típico de la demanda como en las recesiones normales; porque ha provocado déficits tanto en la oferta como en la demanda. A medida que la economía reabra, </w:t>
      </w:r>
      <w:r w:rsidRPr="00322055">
        <w:rPr>
          <w:rFonts w:ascii="Times New Roman" w:hAnsi="Times New Roman" w:cs="Times New Roman"/>
          <w:sz w:val="24"/>
          <w:szCs w:val="24"/>
        </w:rPr>
        <w:lastRenderedPageBreak/>
        <w:t>tanto los cuellos de botella de la oferta como la demanda repri</w:t>
      </w:r>
      <w:r>
        <w:rPr>
          <w:rFonts w:ascii="Times New Roman" w:hAnsi="Times New Roman" w:cs="Times New Roman"/>
          <w:sz w:val="24"/>
          <w:szCs w:val="24"/>
        </w:rPr>
        <w:t>mida irán cobrando protagonismo”</w:t>
      </w:r>
      <w:r w:rsidRPr="00322055">
        <w:rPr>
          <w:rFonts w:ascii="Times New Roman" w:hAnsi="Times New Roman" w:cs="Times New Roman"/>
          <w:sz w:val="24"/>
          <w:szCs w:val="24"/>
        </w:rPr>
        <w:t>, asegu</w:t>
      </w:r>
      <w:r>
        <w:rPr>
          <w:rFonts w:ascii="Times New Roman" w:hAnsi="Times New Roman" w:cs="Times New Roman"/>
          <w:sz w:val="24"/>
          <w:szCs w:val="24"/>
        </w:rPr>
        <w:t>ran los analistas de Blackrock.</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Desde Bank of America Merrill Lynch exponían en un trabajo reciente que la inflación podría sorprender al alza y poner nerviosos a los mercados. Por ahora, las bolsas no han hecho otra cosa que subir y subir, no solo por las expectativas de recuperación real (PIB real), también por una previsión de precios al alza que permitirá unos márgen</w:t>
      </w:r>
      <w:r>
        <w:rPr>
          <w:rFonts w:ascii="Times New Roman" w:hAnsi="Times New Roman" w:cs="Times New Roman"/>
          <w:sz w:val="24"/>
          <w:szCs w:val="24"/>
        </w:rPr>
        <w:t>es mayores en algunos sectores.</w:t>
      </w:r>
    </w:p>
    <w:p w:rsidR="00737DC2" w:rsidRPr="00322055"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2055">
        <w:rPr>
          <w:rFonts w:ascii="Times New Roman" w:hAnsi="Times New Roman" w:cs="Times New Roman"/>
          <w:sz w:val="24"/>
          <w:szCs w:val="24"/>
        </w:rPr>
        <w:t>En los próximos meses, vemos una inflación sorprendente al alza a medida que la economía se recupera. Una señal de alerta temprana ha sido el aumento en las tarifas de los fletes. Los precios del petróleo parecen estar a punto de duplicarse con respecto a 2020. Los precios de los alimen</w:t>
      </w:r>
      <w:r>
        <w:rPr>
          <w:rFonts w:ascii="Times New Roman" w:hAnsi="Times New Roman" w:cs="Times New Roman"/>
          <w:sz w:val="24"/>
          <w:szCs w:val="24"/>
        </w:rPr>
        <w:t>tos también se están acelerando”</w:t>
      </w:r>
      <w:r w:rsidRPr="00322055">
        <w:rPr>
          <w:rFonts w:ascii="Times New Roman" w:hAnsi="Times New Roman" w:cs="Times New Roman"/>
          <w:sz w:val="24"/>
          <w:szCs w:val="24"/>
        </w:rPr>
        <w:t>, sostienen los analistas de BofA. No obstante, reconocen que este aumento de la inflación se debe en gran parte a los baj</w:t>
      </w:r>
      <w:r>
        <w:rPr>
          <w:rFonts w:ascii="Times New Roman" w:hAnsi="Times New Roman" w:cs="Times New Roman"/>
          <w:sz w:val="24"/>
          <w:szCs w:val="24"/>
        </w:rPr>
        <w:t>os precios registrados en 2020.</w:t>
      </w:r>
    </w:p>
    <w:p w:rsidR="00737DC2" w:rsidRPr="00322055"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Pero aun así hay tendencias de fondo que no se están teniendo en cuenta en el presente, pero que también podrían estar empezando a jugar un papel relevante. La reversión de la globalización puede ser uno de ellos. La transición primero y unos mayores costes de producción después pueden presionar al alza los precios de muchos bienes que hoy se producen en países con costes laborales muy bajos. Además, la jubilación de la generación del baby boom puede agudizar la escasez de ciertos perfiles en el mercado laboral, incrementando los costes de producción (los laborales en este caso)</w:t>
      </w:r>
      <w:r>
        <w:rPr>
          <w:rFonts w:ascii="Times New Roman" w:hAnsi="Times New Roman" w:cs="Times New Roman"/>
          <w:sz w:val="24"/>
          <w:szCs w:val="24"/>
        </w:rPr>
        <w:t xml:space="preserve"> de algunos bienes y servicios.</w:t>
      </w:r>
    </w:p>
    <w:p w:rsidR="00737DC2" w:rsidRDefault="00737DC2" w:rsidP="00737DC2">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Aunque la preocupación sobre la inflación se está agudizando en todas partes, en Europa sigue siendo difícil ver algo</w:t>
      </w:r>
      <w:r>
        <w:rPr>
          <w:rFonts w:ascii="Times New Roman" w:hAnsi="Times New Roman" w:cs="Times New Roman"/>
          <w:sz w:val="24"/>
          <w:szCs w:val="24"/>
        </w:rPr>
        <w:t xml:space="preserve"> más allá de un susto en 2021. “</w:t>
      </w:r>
      <w:r w:rsidRPr="00322055">
        <w:rPr>
          <w:rFonts w:ascii="Times New Roman" w:hAnsi="Times New Roman" w:cs="Times New Roman"/>
          <w:sz w:val="24"/>
          <w:szCs w:val="24"/>
        </w:rPr>
        <w:t>El débil estado de los mercados laborales en Europa sigue siendo un motivo clave para nuestras moderadas perspectivas de inflación a medio plazo. La inflación puede sorprender al alza este año, ya que la demanda se está recuperando en un entorno de oferta restringida y mayores costes de insumos, lo que podría afectar a las expectativas de inflación de los hogares, complicando la comunicación del BCE en el segundo semestre. Sin embargo, dada la cantidad de mano de obra inutilizada (parados, ertes, inactivos...), vemos pocas posibilidades de un aumento sustancial de los salarios, el ingrediente clave para</w:t>
      </w:r>
      <w:r>
        <w:rPr>
          <w:rFonts w:ascii="Times New Roman" w:hAnsi="Times New Roman" w:cs="Times New Roman"/>
          <w:sz w:val="24"/>
          <w:szCs w:val="24"/>
        </w:rPr>
        <w:t xml:space="preserve"> la inflación subyacente avance”</w:t>
      </w:r>
      <w:r w:rsidRPr="00322055">
        <w:rPr>
          <w:rFonts w:ascii="Times New Roman" w:hAnsi="Times New Roman" w:cs="Times New Roman"/>
          <w:sz w:val="24"/>
          <w:szCs w:val="24"/>
        </w:rPr>
        <w:t>, comenta Anatoli Annenkov, economista de Societe Generale.</w:t>
      </w:r>
    </w:p>
    <w:p w:rsidR="00737DC2" w:rsidRPr="00783BF1"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El gráfico del FMI que muestra el atasco global en puertos y cadenas de suministro</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26/10/21</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5A310B">
        <w:rPr>
          <w:rFonts w:ascii="Times New Roman" w:hAnsi="Times New Roman" w:cs="Times New Roman"/>
          <w:noProof/>
          <w:color w:val="FF0000"/>
          <w:sz w:val="24"/>
          <w:szCs w:val="24"/>
          <w:lang w:val="en-GB" w:eastAsia="zh-CN"/>
        </w:rPr>
        <w:drawing>
          <wp:inline distT="0" distB="0" distL="0" distR="0">
            <wp:extent cx="5727700" cy="2254250"/>
            <wp:effectExtent l="0" t="0" r="635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731510" cy="2255750"/>
                    </a:xfrm>
                    <a:prstGeom prst="rect">
                      <a:avLst/>
                    </a:prstGeom>
                  </pic:spPr>
                </pic:pic>
              </a:graphicData>
            </a:graphic>
          </wp:inline>
        </w:drawing>
      </w:r>
    </w:p>
    <w:p w:rsidR="00737DC2" w:rsidRPr="00F1598B"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1598B">
        <w:rPr>
          <w:rFonts w:ascii="Times New Roman" w:hAnsi="Times New Roman" w:cs="Times New Roman"/>
          <w:sz w:val="24"/>
          <w:szCs w:val="24"/>
        </w:rPr>
        <w:t>¿</w:t>
      </w:r>
      <w:r w:rsidRPr="00F1598B">
        <w:rPr>
          <w:rFonts w:ascii="Times New Roman" w:hAnsi="Times New Roman" w:cs="Times New Roman"/>
          <w:sz w:val="24"/>
          <w:szCs w:val="24"/>
          <w:u w:val="single"/>
        </w:rPr>
        <w:t>Quién es el culpable de la subida del petróleo? Lo que oculta el discurso que acusa solo a la OPEP y Rusia</w:t>
      </w:r>
      <w:r>
        <w:rPr>
          <w:rFonts w:ascii="Times New Roman" w:hAnsi="Times New Roman" w:cs="Times New Roman"/>
          <w:sz w:val="24"/>
          <w:szCs w:val="24"/>
        </w:rPr>
        <w:t xml:space="preserve"> (El Economista - </w:t>
      </w:r>
      <w:r w:rsidRPr="00F1598B">
        <w:rPr>
          <w:rFonts w:ascii="Times New Roman" w:hAnsi="Times New Roman" w:cs="Times New Roman"/>
          <w:b/>
          <w:sz w:val="24"/>
          <w:szCs w:val="24"/>
        </w:rPr>
        <w:t>9/11/21</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F1598B">
        <w:rPr>
          <w:rFonts w:ascii="Times New Roman" w:hAnsi="Times New Roman" w:cs="Times New Roman"/>
          <w:noProof/>
          <w:sz w:val="24"/>
          <w:szCs w:val="24"/>
          <w:lang w:val="en-GB" w:eastAsia="zh-CN"/>
        </w:rPr>
        <w:drawing>
          <wp:inline distT="0" distB="0" distL="0" distR="0">
            <wp:extent cx="5461000" cy="2374900"/>
            <wp:effectExtent l="0" t="0" r="6350" b="635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464633" cy="237648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E599D">
        <w:rPr>
          <w:rFonts w:ascii="Times New Roman" w:hAnsi="Times New Roman" w:cs="Times New Roman"/>
          <w:noProof/>
          <w:sz w:val="24"/>
          <w:szCs w:val="24"/>
          <w:lang w:val="en-GB" w:eastAsia="zh-CN"/>
        </w:rPr>
        <w:drawing>
          <wp:inline distT="0" distB="0" distL="0" distR="0">
            <wp:extent cx="5670550" cy="2482850"/>
            <wp:effectExtent l="0" t="0" r="635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675524" cy="2485028"/>
                    </a:xfrm>
                    <a:prstGeom prst="rect">
                      <a:avLst/>
                    </a:prstGeom>
                  </pic:spPr>
                </pic:pic>
              </a:graphicData>
            </a:graphic>
          </wp:inline>
        </w:drawing>
      </w:r>
    </w:p>
    <w:p w:rsidR="00737DC2" w:rsidRPr="005367E7"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67E7">
        <w:rPr>
          <w:rFonts w:ascii="Times New Roman" w:hAnsi="Times New Roman" w:cs="Times New Roman"/>
          <w:sz w:val="24"/>
          <w:szCs w:val="24"/>
          <w:u w:val="single"/>
        </w:rPr>
        <w:t>La inflación no encuentra límites en EEUU: el IPC se dispara al 6,2% y toca máximos no vistos en 30 años</w:t>
      </w:r>
      <w:r>
        <w:rPr>
          <w:rFonts w:ascii="Times New Roman" w:hAnsi="Times New Roman" w:cs="Times New Roman"/>
          <w:sz w:val="24"/>
          <w:szCs w:val="24"/>
        </w:rPr>
        <w:t xml:space="preserve"> (El Economista - </w:t>
      </w:r>
      <w:r w:rsidRPr="005367E7">
        <w:rPr>
          <w:rFonts w:ascii="Times New Roman" w:hAnsi="Times New Roman" w:cs="Times New Roman"/>
          <w:b/>
          <w:sz w:val="24"/>
          <w:szCs w:val="24"/>
        </w:rPr>
        <w:t>10/11/21</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534A7B">
        <w:rPr>
          <w:rFonts w:ascii="Times New Roman" w:hAnsi="Times New Roman" w:cs="Times New Roman"/>
          <w:noProof/>
          <w:sz w:val="24"/>
          <w:szCs w:val="24"/>
          <w:lang w:val="en-GB" w:eastAsia="zh-CN"/>
        </w:rPr>
        <w:drawing>
          <wp:inline distT="0" distB="0" distL="0" distR="0">
            <wp:extent cx="5732145" cy="2597150"/>
            <wp:effectExtent l="0" t="0" r="1905"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31510" cy="2596862"/>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5367E7">
        <w:rPr>
          <w:rFonts w:ascii="Times New Roman" w:hAnsi="Times New Roman" w:cs="Times New Roman"/>
          <w:noProof/>
          <w:sz w:val="24"/>
          <w:szCs w:val="24"/>
          <w:lang w:val="en-GB" w:eastAsia="zh-CN"/>
        </w:rPr>
        <w:lastRenderedPageBreak/>
        <w:drawing>
          <wp:inline distT="0" distB="0" distL="0" distR="0">
            <wp:extent cx="5657850" cy="276225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5657213" cy="2761939"/>
                    </a:xfrm>
                    <a:prstGeom prst="rect">
                      <a:avLst/>
                    </a:prstGeom>
                  </pic:spPr>
                </pic:pic>
              </a:graphicData>
            </a:graphic>
          </wp:inline>
        </w:drawing>
      </w:r>
    </w:p>
    <w:p w:rsidR="00737DC2" w:rsidRPr="008701A0"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01A0">
        <w:rPr>
          <w:rFonts w:ascii="Times New Roman" w:hAnsi="Times New Roman" w:cs="Times New Roman"/>
          <w:sz w:val="24"/>
          <w:szCs w:val="24"/>
          <w:u w:val="single"/>
        </w:rPr>
        <w:t>La banca central juega con fuego: la brecha entre inflación y tipos de interés toca máximos de 60 años</w:t>
      </w:r>
      <w:r>
        <w:rPr>
          <w:rFonts w:ascii="Times New Roman" w:hAnsi="Times New Roman" w:cs="Times New Roman"/>
          <w:sz w:val="24"/>
          <w:szCs w:val="24"/>
        </w:rPr>
        <w:t xml:space="preserve"> (El Economista - </w:t>
      </w:r>
      <w:r w:rsidRPr="008701A0">
        <w:rPr>
          <w:rFonts w:ascii="Times New Roman" w:hAnsi="Times New Roman" w:cs="Times New Roman"/>
          <w:b/>
          <w:sz w:val="24"/>
          <w:szCs w:val="24"/>
        </w:rPr>
        <w:t>12/11/21</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sidRPr="008701A0">
        <w:rPr>
          <w:rFonts w:ascii="Times New Roman" w:hAnsi="Times New Roman" w:cs="Times New Roman"/>
          <w:noProof/>
          <w:sz w:val="24"/>
          <w:szCs w:val="24"/>
          <w:lang w:val="en-GB" w:eastAsia="zh-CN"/>
        </w:rPr>
        <w:drawing>
          <wp:inline distT="0" distB="0" distL="0" distR="0">
            <wp:extent cx="5731510" cy="2742289"/>
            <wp:effectExtent l="0" t="0" r="2540" b="127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5731510" cy="2742289"/>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8701A0">
        <w:rPr>
          <w:rFonts w:ascii="Times New Roman" w:hAnsi="Times New Roman" w:cs="Times New Roman"/>
          <w:noProof/>
          <w:sz w:val="24"/>
          <w:szCs w:val="24"/>
          <w:lang w:val="en-GB" w:eastAsia="zh-CN"/>
        </w:rPr>
        <w:drawing>
          <wp:inline distT="0" distB="0" distL="0" distR="0">
            <wp:extent cx="5732780" cy="2438400"/>
            <wp:effectExtent l="0" t="0" r="127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731510" cy="2437860"/>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801AB4">
        <w:rPr>
          <w:rFonts w:ascii="Times New Roman" w:hAnsi="Times New Roman" w:cs="Times New Roman"/>
          <w:noProof/>
          <w:sz w:val="24"/>
          <w:szCs w:val="24"/>
          <w:lang w:val="en-GB" w:eastAsia="zh-CN"/>
        </w:rPr>
        <w:lastRenderedPageBreak/>
        <w:drawing>
          <wp:inline distT="0" distB="0" distL="0" distR="0">
            <wp:extent cx="5732145" cy="2571750"/>
            <wp:effectExtent l="0" t="0" r="1905"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731510" cy="2571465"/>
                    </a:xfrm>
                    <a:prstGeom prst="rect">
                      <a:avLst/>
                    </a:prstGeom>
                  </pic:spPr>
                </pic:pic>
              </a:graphicData>
            </a:graphic>
          </wp:inline>
        </w:drawing>
      </w:r>
    </w:p>
    <w:p w:rsidR="00737DC2" w:rsidRPr="007E007E"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007E">
        <w:rPr>
          <w:rFonts w:ascii="Times New Roman" w:hAnsi="Times New Roman" w:cs="Times New Roman"/>
          <w:sz w:val="24"/>
          <w:szCs w:val="24"/>
        </w:rPr>
        <w:t>¿</w:t>
      </w:r>
      <w:r w:rsidRPr="008935BC">
        <w:rPr>
          <w:rFonts w:ascii="Times New Roman" w:hAnsi="Times New Roman" w:cs="Times New Roman"/>
          <w:sz w:val="24"/>
          <w:szCs w:val="24"/>
          <w:u w:val="single"/>
        </w:rPr>
        <w:t>Fue una buena idea aceptar a China en la OMC? Así ha afectado a las economías avanzadas</w:t>
      </w:r>
      <w:r>
        <w:rPr>
          <w:rFonts w:ascii="Times New Roman" w:hAnsi="Times New Roman" w:cs="Times New Roman"/>
          <w:sz w:val="24"/>
          <w:szCs w:val="24"/>
        </w:rPr>
        <w:t xml:space="preserve"> (El Confidencial - </w:t>
      </w:r>
      <w:r w:rsidRPr="008935BC">
        <w:rPr>
          <w:rFonts w:ascii="Times New Roman" w:hAnsi="Times New Roman" w:cs="Times New Roman"/>
          <w:b/>
          <w:sz w:val="24"/>
          <w:szCs w:val="24"/>
        </w:rPr>
        <w:t>12/12/21</w:t>
      </w:r>
      <w:r>
        <w:rPr>
          <w:rFonts w:ascii="Times New Roman" w:hAnsi="Times New Roman" w:cs="Times New Roman"/>
          <w:sz w:val="24"/>
          <w:szCs w:val="24"/>
        </w:rPr>
        <w:t>)</w:t>
      </w:r>
    </w:p>
    <w:p w:rsidR="00737DC2" w:rsidRPr="007E007E"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007E">
        <w:rPr>
          <w:rFonts w:ascii="Times New Roman" w:hAnsi="Times New Roman" w:cs="Times New Roman"/>
          <w:sz w:val="24"/>
          <w:szCs w:val="24"/>
        </w:rPr>
        <w:t>Por Javier Jorrín</w:t>
      </w:r>
      <w:r>
        <w:rPr>
          <w:rFonts w:ascii="Times New Roman" w:hAnsi="Times New Roman" w:cs="Times New Roman"/>
          <w:sz w:val="24"/>
          <w:szCs w:val="24"/>
        </w:rPr>
        <w:t>)</w:t>
      </w:r>
    </w:p>
    <w:p w:rsidR="00737DC2" w:rsidRPr="00473FEB" w:rsidRDefault="00737DC2" w:rsidP="00737DC2">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737DC2" w:rsidRPr="00473FEB" w:rsidRDefault="00737DC2" w:rsidP="00737DC2">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737DC2" w:rsidRPr="00473FEB" w:rsidRDefault="00737DC2" w:rsidP="00737DC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 “</w:t>
      </w:r>
      <w:r w:rsidRPr="00473FEB">
        <w:rPr>
          <w:rFonts w:ascii="Times New Roman" w:hAnsi="Times New Roman" w:cs="Times New Roman"/>
          <w:color w:val="FF0000"/>
          <w:sz w:val="24"/>
          <w:szCs w:val="24"/>
          <w:u w:val="single"/>
        </w:rPr>
        <w:t xml:space="preserve">Nos habíamos convencido todos de que un país comunista que se iba haciendo más rico, rápidamente se acercaba a la democracia, protegería la propiedad intelectual, los derechos de los trabajadores, etc., </w:t>
      </w:r>
      <w:r>
        <w:rPr>
          <w:rFonts w:ascii="Times New Roman" w:hAnsi="Times New Roman" w:cs="Times New Roman"/>
          <w:color w:val="FF0000"/>
          <w:sz w:val="24"/>
          <w:szCs w:val="24"/>
          <w:u w:val="single"/>
        </w:rPr>
        <w:t>pero ha sido justo lo contrario”</w:t>
      </w:r>
      <w:r w:rsidRPr="00473FEB">
        <w:rPr>
          <w:rFonts w:ascii="Times New Roman" w:hAnsi="Times New Roman" w:cs="Times New Roman"/>
          <w:color w:val="FF0000"/>
          <w:sz w:val="24"/>
          <w:szCs w:val="24"/>
          <w:u w:val="single"/>
        </w:rPr>
        <w:t>, explica Luis Garicano, economista</w:t>
      </w:r>
      <w:r>
        <w:rPr>
          <w:rFonts w:ascii="Times New Roman" w:hAnsi="Times New Roman" w:cs="Times New Roman"/>
          <w:color w:val="FF0000"/>
          <w:sz w:val="24"/>
          <w:szCs w:val="24"/>
          <w:u w:val="single"/>
        </w:rPr>
        <w:t xml:space="preserve"> y eurodiputado de Ciudadanos, “</w:t>
      </w:r>
      <w:r w:rsidRPr="00473FEB">
        <w:rPr>
          <w:rFonts w:ascii="Times New Roman" w:hAnsi="Times New Roman" w:cs="Times New Roman"/>
          <w:color w:val="FF0000"/>
          <w:sz w:val="24"/>
          <w:szCs w:val="24"/>
          <w:u w:val="single"/>
        </w:rPr>
        <w:t xml:space="preserve">China entró en la OMC con unas condiciones </w:t>
      </w:r>
      <w:r>
        <w:rPr>
          <w:rFonts w:ascii="Times New Roman" w:hAnsi="Times New Roman" w:cs="Times New Roman"/>
          <w:color w:val="FF0000"/>
          <w:sz w:val="24"/>
          <w:szCs w:val="24"/>
          <w:u w:val="single"/>
        </w:rPr>
        <w:t>relativamente poco exigentes”</w:t>
      </w:r>
      <w:r w:rsidRPr="00473FEB">
        <w:rPr>
          <w:rFonts w:ascii="Times New Roman" w:hAnsi="Times New Roman" w:cs="Times New Roman"/>
          <w:color w:val="FF0000"/>
          <w:sz w:val="24"/>
          <w:szCs w:val="24"/>
          <w:u w:val="single"/>
        </w:rPr>
        <w:t xml:space="preserve">. Lo que ha ocurrido es que el país ha competido en bajos costes, pero no ha hecho la transición hacia unas clases medias compradoras que impulsen el crecimiento global. Al contrario, China tiene un superávit de la balanza de bienes (exportaciones menos importaciones) que supera los 450.000 millones de dólares anualmente. Esto es, una cifra que equivale al 40% de todo lo que produce España en un año completo. En lugar de impulsar la demanda, China ahorra cada vez más, drenando crecimiento del resto del mundo, lo que implica que los países desarrollados no han podido exportar a China lo que pensaban que harían. </w:t>
      </w:r>
    </w:p>
    <w:p w:rsidR="00737DC2" w:rsidRDefault="00737DC2" w:rsidP="00737DC2">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val="en-GB" w:eastAsia="zh-CN"/>
        </w:rPr>
        <w:lastRenderedPageBreak/>
        <w:drawing>
          <wp:inline distT="0" distB="0" distL="0" distR="0">
            <wp:extent cx="5734048" cy="2495550"/>
            <wp:effectExtent l="0" t="0" r="635"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5731510" cy="2494445"/>
                    </a:xfrm>
                    <a:prstGeom prst="rect">
                      <a:avLst/>
                    </a:prstGeom>
                  </pic:spPr>
                </pic:pic>
              </a:graphicData>
            </a:graphic>
          </wp:inline>
        </w:drawing>
      </w:r>
    </w:p>
    <w:p w:rsidR="00737DC2" w:rsidRPr="00473FEB" w:rsidRDefault="00737DC2" w:rsidP="00737DC2">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economista Dani Rodrik, uno de los mayores expertos en globalización, ha publicado recientemente un artículo en el que repasa la evidencia empírica recopilada hasta la fecha sobre el impacto de la entrada de China en la OMC e</w:t>
      </w:r>
      <w:r>
        <w:rPr>
          <w:rFonts w:ascii="Times New Roman" w:hAnsi="Times New Roman" w:cs="Times New Roman"/>
          <w:color w:val="FF0000"/>
          <w:sz w:val="24"/>
          <w:szCs w:val="24"/>
          <w:u w:val="single"/>
        </w:rPr>
        <w:t>n las sociedades occidentales, “</w:t>
      </w:r>
      <w:r w:rsidRPr="00473FEB">
        <w:rPr>
          <w:rFonts w:ascii="Times New Roman" w:hAnsi="Times New Roman" w:cs="Times New Roman"/>
          <w:color w:val="FF0000"/>
          <w:sz w:val="24"/>
          <w:szCs w:val="24"/>
          <w:u w:val="single"/>
        </w:rPr>
        <w:t>A</w:t>
      </w:r>
      <w:r>
        <w:rPr>
          <w:rFonts w:ascii="Times New Roman" w:hAnsi="Times New Roman" w:cs="Times New Roman"/>
          <w:color w:val="FF0000"/>
          <w:sz w:val="24"/>
          <w:szCs w:val="24"/>
          <w:u w:val="single"/>
        </w:rPr>
        <w:t xml:space="preserve"> primer on trade and inequality”</w:t>
      </w:r>
      <w:r w:rsidRPr="00473FEB">
        <w:rPr>
          <w:rFonts w:ascii="Times New Roman" w:hAnsi="Times New Roman" w:cs="Times New Roman"/>
          <w:color w:val="FF0000"/>
          <w:sz w:val="24"/>
          <w:szCs w:val="24"/>
          <w:u w:val="single"/>
        </w:rPr>
        <w:t>.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737DC2" w:rsidRPr="00473FEB" w:rsidRDefault="00737DC2" w:rsidP="00737DC2">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Rodrik concluye que los efectos negativos para las economías avanzadas super</w:t>
      </w:r>
      <w:r>
        <w:rPr>
          <w:rFonts w:ascii="Times New Roman" w:hAnsi="Times New Roman" w:cs="Times New Roman"/>
          <w:color w:val="FF0000"/>
          <w:sz w:val="24"/>
          <w:szCs w:val="24"/>
          <w:u w:val="single"/>
        </w:rPr>
        <w:t>an claramente a los positivos. “</w:t>
      </w:r>
      <w:r w:rsidRPr="00473FEB">
        <w:rPr>
          <w:rFonts w:ascii="Times New Roman" w:hAnsi="Times New Roman" w:cs="Times New Roman"/>
          <w:color w:val="FF0000"/>
          <w:sz w:val="24"/>
          <w:szCs w:val="24"/>
          <w:u w:val="single"/>
        </w:rPr>
        <w:t>Los estudios muestran que las regiones que fueron</w:t>
      </w:r>
      <w:r>
        <w:rPr>
          <w:rFonts w:ascii="Times New Roman" w:hAnsi="Times New Roman" w:cs="Times New Roman"/>
          <w:color w:val="FF0000"/>
          <w:sz w:val="24"/>
          <w:szCs w:val="24"/>
          <w:u w:val="single"/>
        </w:rPr>
        <w:t xml:space="preserve"> muy afectadas por el comercio -</w:t>
      </w:r>
      <w:r w:rsidRPr="00473FEB">
        <w:rPr>
          <w:rFonts w:ascii="Times New Roman" w:hAnsi="Times New Roman" w:cs="Times New Roman"/>
          <w:color w:val="FF0000"/>
          <w:sz w:val="24"/>
          <w:szCs w:val="24"/>
          <w:u w:val="single"/>
        </w:rPr>
        <w:t>con los trabajadores y las industrias más afectad</w:t>
      </w:r>
      <w:r>
        <w:rPr>
          <w:rFonts w:ascii="Times New Roman" w:hAnsi="Times New Roman" w:cs="Times New Roman"/>
          <w:color w:val="FF0000"/>
          <w:sz w:val="24"/>
          <w:szCs w:val="24"/>
          <w:u w:val="single"/>
        </w:rPr>
        <w:t>as por la competencia con China-</w:t>
      </w:r>
      <w:r w:rsidRPr="00473FEB">
        <w:rPr>
          <w:rFonts w:ascii="Times New Roman" w:hAnsi="Times New Roman" w:cs="Times New Roman"/>
          <w:color w:val="FF0000"/>
          <w:sz w:val="24"/>
          <w:szCs w:val="24"/>
          <w:u w:val="single"/>
        </w:rPr>
        <w:t xml:space="preserve"> sufrieron pérdidas significativas</w:t>
      </w:r>
      <w:r>
        <w:rPr>
          <w:rFonts w:ascii="Times New Roman" w:hAnsi="Times New Roman" w:cs="Times New Roman"/>
          <w:color w:val="FF0000"/>
          <w:sz w:val="24"/>
          <w:szCs w:val="24"/>
          <w:u w:val="single"/>
        </w:rPr>
        <w:t xml:space="preserve"> de largo plazo en los ingresos”</w:t>
      </w:r>
      <w:r w:rsidRPr="00473FEB">
        <w:rPr>
          <w:rFonts w:ascii="Times New Roman" w:hAnsi="Times New Roman" w:cs="Times New Roman"/>
          <w:color w:val="FF0000"/>
          <w:sz w:val="24"/>
          <w:szCs w:val="24"/>
          <w:u w:val="single"/>
        </w:rPr>
        <w:t>.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w:t>
      </w:r>
      <w:r>
        <w:rPr>
          <w:rFonts w:ascii="Times New Roman" w:hAnsi="Times New Roman" w:cs="Times New Roman"/>
          <w:color w:val="FF0000"/>
          <w:sz w:val="24"/>
          <w:szCs w:val="24"/>
          <w:u w:val="single"/>
        </w:rPr>
        <w:t>eneficio obtenido es inferior. “</w:t>
      </w:r>
      <w:r w:rsidRPr="00473FEB">
        <w:rPr>
          <w:rFonts w:ascii="Times New Roman" w:hAnsi="Times New Roman" w:cs="Times New Roman"/>
          <w:color w:val="FF0000"/>
          <w:sz w:val="24"/>
          <w:szCs w:val="24"/>
          <w:u w:val="single"/>
        </w:rPr>
        <w:t>Una vez que los mercados nacionales se han vuelto bastante abiertos, los intentos de impulsar la globalización aún más parecen estar motivados por el objetivo de enriquecer a ciertos grupos en lugar de</w:t>
      </w:r>
      <w:r>
        <w:rPr>
          <w:rFonts w:ascii="Times New Roman" w:hAnsi="Times New Roman" w:cs="Times New Roman"/>
          <w:color w:val="FF0000"/>
          <w:sz w:val="24"/>
          <w:szCs w:val="24"/>
          <w:u w:val="single"/>
        </w:rPr>
        <w:t xml:space="preserve"> aumentar el tamaño del pastel (la economía)</w:t>
      </w:r>
      <w:r w:rsidRPr="00473FEB">
        <w:rPr>
          <w:rFonts w:ascii="Times New Roman" w:hAnsi="Times New Roman" w:cs="Times New Roman"/>
          <w:color w:val="FF0000"/>
          <w:sz w:val="24"/>
          <w:szCs w:val="24"/>
          <w:u w:val="single"/>
        </w:rPr>
        <w:t>. Me arriesgaría a decir que las economías avanzadas ya llegaron a esta etapa a finales de l</w:t>
      </w:r>
      <w:r>
        <w:rPr>
          <w:rFonts w:ascii="Times New Roman" w:hAnsi="Times New Roman" w:cs="Times New Roman"/>
          <w:color w:val="FF0000"/>
          <w:sz w:val="24"/>
          <w:szCs w:val="24"/>
          <w:u w:val="single"/>
        </w:rPr>
        <w:t>a década de los 90, si no antes”</w:t>
      </w:r>
      <w:r w:rsidRPr="00473FEB">
        <w:rPr>
          <w:rFonts w:ascii="Times New Roman" w:hAnsi="Times New Roman" w:cs="Times New Roman"/>
          <w:color w:val="FF0000"/>
          <w:sz w:val="24"/>
          <w:szCs w:val="24"/>
          <w:u w:val="single"/>
        </w:rPr>
        <w:t>.</w:t>
      </w:r>
    </w:p>
    <w:p w:rsidR="00737DC2" w:rsidRPr="007E007E" w:rsidRDefault="00737DC2" w:rsidP="00737DC2">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Los perdedores son los pobres</w:t>
      </w:r>
    </w:p>
    <w:p w:rsidR="00737DC2" w:rsidRPr="00473FEB" w:rsidRDefault="00737DC2" w:rsidP="00737DC2">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abaratamiento de muchos productos industriales ha beneficiado directamente a las clases populares, que tienen acceso a muchos bienes que serían mucho más caros si se produjesen a precios locales. Y no sólo se trata de productos baratos de bajo valor añadido, también son bienes tecnológicos que van desde teléfonos móviles, hasta ordenadores, electrodomésticos, coches, etc.</w:t>
      </w:r>
    </w:p>
    <w:p w:rsidR="00737DC2"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Sin embargo, la literatura económica muestra que son estos estratos sociales los que más han sufrido el efecto negativo del desplazamiento del empleo en la industria, un sector que tradicionalmente demandaba muchos puestos de trabajo con buenas condiciones salariales </w:t>
      </w:r>
      <w:r>
        <w:rPr>
          <w:rFonts w:ascii="Times New Roman" w:hAnsi="Times New Roman" w:cs="Times New Roman"/>
          <w:color w:val="FF0000"/>
          <w:sz w:val="24"/>
          <w:szCs w:val="24"/>
          <w:u w:val="single"/>
        </w:rPr>
        <w:t>y de estabilidad en el empleo. “</w:t>
      </w:r>
      <w:r w:rsidRPr="00F740C9">
        <w:rPr>
          <w:rFonts w:ascii="Times New Roman" w:hAnsi="Times New Roman" w:cs="Times New Roman"/>
          <w:color w:val="FF0000"/>
          <w:sz w:val="24"/>
          <w:szCs w:val="24"/>
          <w:u w:val="single"/>
        </w:rPr>
        <w:t xml:space="preserve">Los estudios empíricos sugieren que los perdedores fueron los </w:t>
      </w:r>
      <w:r w:rsidRPr="00F740C9">
        <w:rPr>
          <w:rFonts w:ascii="Times New Roman" w:hAnsi="Times New Roman" w:cs="Times New Roman"/>
          <w:color w:val="FF0000"/>
          <w:sz w:val="24"/>
          <w:szCs w:val="24"/>
          <w:u w:val="single"/>
        </w:rPr>
        <w:lastRenderedPageBreak/>
        <w:t>trabajadores más pobres, con menor nivel formativo y que viven en regiones que se vieron afectadas negativamente por la desindustrialización y l</w:t>
      </w:r>
      <w:r>
        <w:rPr>
          <w:rFonts w:ascii="Times New Roman" w:hAnsi="Times New Roman" w:cs="Times New Roman"/>
          <w:color w:val="FF0000"/>
          <w:sz w:val="24"/>
          <w:szCs w:val="24"/>
          <w:u w:val="single"/>
        </w:rPr>
        <w:t>a pérdida de puestos de trabajo”</w:t>
      </w:r>
      <w:r w:rsidRPr="00F740C9">
        <w:rPr>
          <w:rFonts w:ascii="Times New Roman" w:hAnsi="Times New Roman" w:cs="Times New Roman"/>
          <w:color w:val="FF0000"/>
          <w:sz w:val="24"/>
          <w:szCs w:val="24"/>
          <w:u w:val="single"/>
        </w:rPr>
        <w:t xml:space="preserve">, señala Rodrik. En EEUU hay casos paradigmáticos, como es la caída de Detroit, el centro mundial de la industria del automóvil que terminó quebrando por la deslocalización de la producción hacia China, México y otros países con costes de producción mucho más bajos. </w:t>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8935BC">
        <w:rPr>
          <w:rFonts w:ascii="Times New Roman" w:hAnsi="Times New Roman" w:cs="Times New Roman"/>
          <w:noProof/>
          <w:sz w:val="24"/>
          <w:szCs w:val="24"/>
          <w:lang w:val="en-GB" w:eastAsia="zh-CN"/>
        </w:rPr>
        <w:drawing>
          <wp:inline distT="0" distB="0" distL="0" distR="0">
            <wp:extent cx="5727700" cy="2489200"/>
            <wp:effectExtent l="0" t="0" r="6350" b="635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5731510" cy="2490856"/>
                    </a:xfrm>
                    <a:prstGeom prst="rect">
                      <a:avLst/>
                    </a:prstGeom>
                  </pic:spPr>
                </pic:pic>
              </a:graphicData>
            </a:graphic>
          </wp:inline>
        </w:drawing>
      </w:r>
    </w:p>
    <w:p w:rsidR="00737DC2" w:rsidRDefault="00737DC2" w:rsidP="00737DC2">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opción elegida en muchos países desarrollados para combatir los efectos negativos de la deslocalización de la producción fue el establecimiento de prestaciones públicas a los trabajadores afectados. Sin embargo, esta vía también ha tenido costes importantes, ya que implica una mayor presión fiscal que extiende las pérdidas a otros sectores de la sociedad o a empresas que no se han ido, generando así efectos de segunda ronda. De esta forma los países combaten la desigualdad pero amplifican el impacto negativo provocado por la pérdida de producción de la deslocalización.</w:t>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netos no se ha producido una destrucción de empleo, ya que el sector servicios ha sustituido el emp</w:t>
      </w:r>
      <w:r>
        <w:rPr>
          <w:rFonts w:ascii="Times New Roman" w:hAnsi="Times New Roman" w:cs="Times New Roman"/>
          <w:color w:val="FF0000"/>
          <w:sz w:val="24"/>
          <w:szCs w:val="24"/>
          <w:u w:val="single"/>
        </w:rPr>
        <w:t>leo destruido en la industria. “</w:t>
      </w:r>
      <w:r w:rsidRPr="00F740C9">
        <w:rPr>
          <w:rFonts w:ascii="Times New Roman" w:hAnsi="Times New Roman" w:cs="Times New Roman"/>
          <w:color w:val="FF0000"/>
          <w:sz w:val="24"/>
          <w:szCs w:val="24"/>
          <w:u w:val="single"/>
        </w:rPr>
        <w:t>Desde el año 2002 hasta la crisis financiera no se redujo e</w:t>
      </w:r>
      <w:r>
        <w:rPr>
          <w:rFonts w:ascii="Times New Roman" w:hAnsi="Times New Roman" w:cs="Times New Roman"/>
          <w:color w:val="FF0000"/>
          <w:sz w:val="24"/>
          <w:szCs w:val="24"/>
          <w:u w:val="single"/>
        </w:rPr>
        <w:t>l empleo, sino que fue al revés”</w:t>
      </w:r>
      <w:r w:rsidRPr="00F740C9">
        <w:rPr>
          <w:rFonts w:ascii="Times New Roman" w:hAnsi="Times New Roman" w:cs="Times New Roman"/>
          <w:color w:val="FF0000"/>
          <w:sz w:val="24"/>
          <w:szCs w:val="24"/>
          <w:u w:val="single"/>
        </w:rPr>
        <w:t>, recuerda Raymond Torres, di</w:t>
      </w:r>
      <w:r>
        <w:rPr>
          <w:rFonts w:ascii="Times New Roman" w:hAnsi="Times New Roman" w:cs="Times New Roman"/>
          <w:color w:val="FF0000"/>
          <w:sz w:val="24"/>
          <w:szCs w:val="24"/>
          <w:u w:val="single"/>
        </w:rPr>
        <w:t>rector de Coyuntura de Funcas, “</w:t>
      </w:r>
      <w:r w:rsidRPr="00F740C9">
        <w:rPr>
          <w:rFonts w:ascii="Times New Roman" w:hAnsi="Times New Roman" w:cs="Times New Roman"/>
          <w:color w:val="FF0000"/>
          <w:sz w:val="24"/>
          <w:szCs w:val="24"/>
          <w:u w:val="single"/>
        </w:rPr>
        <w:t>de hecho, las fases de crecimiento económico han sido i</w:t>
      </w:r>
      <w:r>
        <w:rPr>
          <w:rFonts w:ascii="Times New Roman" w:hAnsi="Times New Roman" w:cs="Times New Roman"/>
          <w:color w:val="FF0000"/>
          <w:sz w:val="24"/>
          <w:szCs w:val="24"/>
          <w:u w:val="single"/>
        </w:rPr>
        <w:t>ntensivas en creación de empleo”. Lo que sí se ha producido es “</w:t>
      </w:r>
      <w:r w:rsidRPr="00F740C9">
        <w:rPr>
          <w:rFonts w:ascii="Times New Roman" w:hAnsi="Times New Roman" w:cs="Times New Roman"/>
          <w:color w:val="FF0000"/>
          <w:sz w:val="24"/>
          <w:szCs w:val="24"/>
          <w:u w:val="single"/>
        </w:rPr>
        <w:t>un cambio en la estructura productiva de los países desarrollados como consecuencia de la entrada de China en la OMC que son positivos en algunos casos, pe</w:t>
      </w:r>
      <w:r>
        <w:rPr>
          <w:rFonts w:ascii="Times New Roman" w:hAnsi="Times New Roman" w:cs="Times New Roman"/>
          <w:color w:val="FF0000"/>
          <w:sz w:val="24"/>
          <w:szCs w:val="24"/>
          <w:u w:val="single"/>
        </w:rPr>
        <w:t>ro son principalmente negativos”</w:t>
      </w:r>
      <w:r w:rsidRPr="00F740C9">
        <w:rPr>
          <w:rFonts w:ascii="Times New Roman" w:hAnsi="Times New Roman" w:cs="Times New Roman"/>
          <w:color w:val="FF0000"/>
          <w:sz w:val="24"/>
          <w:szCs w:val="24"/>
          <w:u w:val="single"/>
        </w:rPr>
        <w:t xml:space="preserve">, señala </w:t>
      </w:r>
      <w:r>
        <w:rPr>
          <w:rFonts w:ascii="Times New Roman" w:hAnsi="Times New Roman" w:cs="Times New Roman"/>
          <w:color w:val="FF0000"/>
          <w:sz w:val="24"/>
          <w:szCs w:val="24"/>
          <w:u w:val="single"/>
        </w:rPr>
        <w:t>Torres, ya que se ha producido “</w:t>
      </w:r>
      <w:r w:rsidRPr="00F740C9">
        <w:rPr>
          <w:rFonts w:ascii="Times New Roman" w:hAnsi="Times New Roman" w:cs="Times New Roman"/>
          <w:color w:val="FF0000"/>
          <w:sz w:val="24"/>
          <w:szCs w:val="24"/>
          <w:u w:val="single"/>
        </w:rPr>
        <w:t>una reconfiguración de las economías de los países desarrollados hacia el sector servicio</w:t>
      </w:r>
      <w:r>
        <w:rPr>
          <w:rFonts w:ascii="Times New Roman" w:hAnsi="Times New Roman" w:cs="Times New Roman"/>
          <w:color w:val="FF0000"/>
          <w:sz w:val="24"/>
          <w:szCs w:val="24"/>
          <w:u w:val="single"/>
        </w:rPr>
        <w:t>s en detrimento de la industria”</w:t>
      </w:r>
      <w:r w:rsidRPr="00F740C9">
        <w:rPr>
          <w:rFonts w:ascii="Times New Roman" w:hAnsi="Times New Roman" w:cs="Times New Roman"/>
          <w:color w:val="FF0000"/>
          <w:sz w:val="24"/>
          <w:szCs w:val="24"/>
          <w:u w:val="single"/>
        </w:rPr>
        <w:t xml:space="preserve">. </w:t>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de efecto composición, la pérdida de peso de la industria ha lastrado el cr</w:t>
      </w:r>
      <w:r>
        <w:rPr>
          <w:rFonts w:ascii="Times New Roman" w:hAnsi="Times New Roman" w:cs="Times New Roman"/>
          <w:color w:val="FF0000"/>
          <w:sz w:val="24"/>
          <w:szCs w:val="24"/>
          <w:u w:val="single"/>
        </w:rPr>
        <w:t>ecimiento de la productividad. “</w:t>
      </w:r>
      <w:r w:rsidRPr="00F740C9">
        <w:rPr>
          <w:rFonts w:ascii="Times New Roman" w:hAnsi="Times New Roman" w:cs="Times New Roman"/>
          <w:color w:val="FF0000"/>
          <w:sz w:val="24"/>
          <w:szCs w:val="24"/>
          <w:u w:val="single"/>
        </w:rPr>
        <w:t>No tener un tejido industrial suficientemente desarrollado genera problemas, entre otros, un crecim</w:t>
      </w:r>
      <w:r>
        <w:rPr>
          <w:rFonts w:ascii="Times New Roman" w:hAnsi="Times New Roman" w:cs="Times New Roman"/>
          <w:color w:val="FF0000"/>
          <w:sz w:val="24"/>
          <w:szCs w:val="24"/>
          <w:u w:val="single"/>
        </w:rPr>
        <w:t>iento menor de la productividad”, señala Torres. “</w:t>
      </w:r>
      <w:r w:rsidRPr="00F740C9">
        <w:rPr>
          <w:rFonts w:ascii="Times New Roman" w:hAnsi="Times New Roman" w:cs="Times New Roman"/>
          <w:color w:val="FF0000"/>
          <w:sz w:val="24"/>
          <w:szCs w:val="24"/>
          <w:u w:val="single"/>
        </w:rPr>
        <w:t>En los círculos económicos hubo mucha discusión sobre qué parte del empleo perdido se debía a la irrupción de China y cuánto a la tecnología. En los últimos años la literatura económica ha ido convergiendo hacia la idea de que una buena parte del crecimiento de la desigualdad y la pérdida de estándares de las clases medias en EEUU</w:t>
      </w:r>
      <w:r>
        <w:rPr>
          <w:rFonts w:ascii="Times New Roman" w:hAnsi="Times New Roman" w:cs="Times New Roman"/>
          <w:color w:val="FF0000"/>
          <w:sz w:val="24"/>
          <w:szCs w:val="24"/>
          <w:u w:val="single"/>
        </w:rPr>
        <w:t xml:space="preserve"> tiene bastante que ver con el “shock chino””</w:t>
      </w:r>
      <w:r w:rsidRPr="00F740C9">
        <w:rPr>
          <w:rFonts w:ascii="Times New Roman" w:hAnsi="Times New Roman" w:cs="Times New Roman"/>
          <w:color w:val="FF0000"/>
          <w:sz w:val="24"/>
          <w:szCs w:val="24"/>
          <w:u w:val="single"/>
        </w:rPr>
        <w:t>, explica Garicano.</w:t>
      </w:r>
    </w:p>
    <w:p w:rsidR="00737DC2" w:rsidRPr="007E007E" w:rsidRDefault="00737DC2" w:rsidP="00737DC2">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val="en-GB" w:eastAsia="zh-CN"/>
        </w:rPr>
        <w:lastRenderedPageBreak/>
        <w:drawing>
          <wp:inline distT="0" distB="0" distL="0" distR="0">
            <wp:extent cx="5727699" cy="2578100"/>
            <wp:effectExtent l="0" t="0" r="6985"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5731510" cy="2579815"/>
                    </a:xfrm>
                    <a:prstGeom prst="rect">
                      <a:avLst/>
                    </a:prstGeom>
                  </pic:spPr>
                </pic:pic>
              </a:graphicData>
            </a:graphic>
          </wp:inline>
        </w:drawing>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Entre los estudios más relevantes del impacto de la globalización sobre el empleo se encuentran los de David H. Autor, David Dorn y Gordon H. Hanson que han ela</w:t>
      </w:r>
      <w:r>
        <w:rPr>
          <w:rFonts w:ascii="Times New Roman" w:hAnsi="Times New Roman" w:cs="Times New Roman"/>
          <w:color w:val="FF0000"/>
          <w:sz w:val="24"/>
          <w:szCs w:val="24"/>
          <w:u w:val="single"/>
        </w:rPr>
        <w:t>borado en la última década. En “The China Syndrome” detectan que “</w:t>
      </w:r>
      <w:r w:rsidRPr="00F740C9">
        <w:rPr>
          <w:rFonts w:ascii="Times New Roman" w:hAnsi="Times New Roman" w:cs="Times New Roman"/>
          <w:color w:val="FF0000"/>
          <w:sz w:val="24"/>
          <w:szCs w:val="24"/>
          <w:u w:val="single"/>
        </w:rPr>
        <w:t>el aumento de la exposición a China incrementa el desempleo, reduce la tasa de participación en la población activa y reduce los s</w:t>
      </w:r>
      <w:r>
        <w:rPr>
          <w:rFonts w:ascii="Times New Roman" w:hAnsi="Times New Roman" w:cs="Times New Roman"/>
          <w:color w:val="FF0000"/>
          <w:sz w:val="24"/>
          <w:szCs w:val="24"/>
          <w:u w:val="single"/>
        </w:rPr>
        <w:t>alarios en los mercados locales”</w:t>
      </w:r>
      <w:r w:rsidRPr="00F740C9">
        <w:rPr>
          <w:rFonts w:ascii="Times New Roman" w:hAnsi="Times New Roman" w:cs="Times New Roman"/>
          <w:color w:val="FF0000"/>
          <w:sz w:val="24"/>
          <w:szCs w:val="24"/>
          <w:u w:val="single"/>
        </w:rPr>
        <w:t xml:space="preserve">. Desde un punto de vista conservador, estiman que la irrupción de China es la causa del 25% de la caída en el empleo del sector manufacturero estadounidense. Se trata, por tanto, de un efecto significativo para el país. Torres también destaca la cuestión de los salarios como uno de los cambios más relevantes potenciados por </w:t>
      </w:r>
      <w:r>
        <w:rPr>
          <w:rFonts w:ascii="Times New Roman" w:hAnsi="Times New Roman" w:cs="Times New Roman"/>
          <w:color w:val="FF0000"/>
          <w:sz w:val="24"/>
          <w:szCs w:val="24"/>
          <w:u w:val="single"/>
        </w:rPr>
        <w:t>la entrada de China en la OMC. “</w:t>
      </w:r>
      <w:r w:rsidRPr="00F740C9">
        <w:rPr>
          <w:rFonts w:ascii="Times New Roman" w:hAnsi="Times New Roman" w:cs="Times New Roman"/>
          <w:color w:val="FF0000"/>
          <w:sz w:val="24"/>
          <w:szCs w:val="24"/>
          <w:u w:val="single"/>
        </w:rPr>
        <w:t xml:space="preserve">El factor capital ha ganado mucho peso de negociación respecto al factor trabajo, </w:t>
      </w:r>
      <w:r>
        <w:rPr>
          <w:rFonts w:ascii="Times New Roman" w:hAnsi="Times New Roman" w:cs="Times New Roman"/>
          <w:color w:val="FF0000"/>
          <w:sz w:val="24"/>
          <w:szCs w:val="24"/>
          <w:u w:val="single"/>
        </w:rPr>
        <w:t>que tiene mucha menor movilidad”, explica Torres, “</w:t>
      </w:r>
      <w:r w:rsidRPr="00F740C9">
        <w:rPr>
          <w:rFonts w:ascii="Times New Roman" w:hAnsi="Times New Roman" w:cs="Times New Roman"/>
          <w:color w:val="FF0000"/>
          <w:sz w:val="24"/>
          <w:szCs w:val="24"/>
          <w:u w:val="single"/>
        </w:rPr>
        <w:t>lo que unido a la pérdida de relevancia de los sindicatos en los países desarrollados ha terminado por provocar una caída de la particip</w:t>
      </w:r>
      <w:r>
        <w:rPr>
          <w:rFonts w:ascii="Times New Roman" w:hAnsi="Times New Roman" w:cs="Times New Roman"/>
          <w:color w:val="FF0000"/>
          <w:sz w:val="24"/>
          <w:szCs w:val="24"/>
          <w:u w:val="single"/>
        </w:rPr>
        <w:t>ación de los salarios en el PIB”</w:t>
      </w:r>
      <w:r w:rsidRPr="00F740C9">
        <w:rPr>
          <w:rFonts w:ascii="Times New Roman" w:hAnsi="Times New Roman" w:cs="Times New Roman"/>
          <w:color w:val="FF0000"/>
          <w:sz w:val="24"/>
          <w:szCs w:val="24"/>
          <w:u w:val="single"/>
        </w:rPr>
        <w:t>. La destrucción de empleo y la ralentización de la productividad, unidas a la competencia exterior han recortado la capacidad de negociación y presión de los trabajadores en las economías desarrolladas.</w:t>
      </w:r>
    </w:p>
    <w:p w:rsidR="00737DC2" w:rsidRPr="007E007E" w:rsidRDefault="00737DC2" w:rsidP="00737DC2">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gestión occidental</w:t>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w:t>
      </w:r>
      <w:r>
        <w:rPr>
          <w:rFonts w:ascii="Times New Roman" w:hAnsi="Times New Roman" w:cs="Times New Roman"/>
          <w:color w:val="FF0000"/>
          <w:sz w:val="24"/>
          <w:szCs w:val="24"/>
          <w:u w:val="single"/>
        </w:rPr>
        <w:t xml:space="preserve"> ha imperado la premisa de que “</w:t>
      </w:r>
      <w:r w:rsidRPr="00F740C9">
        <w:rPr>
          <w:rFonts w:ascii="Times New Roman" w:hAnsi="Times New Roman" w:cs="Times New Roman"/>
          <w:color w:val="FF0000"/>
          <w:sz w:val="24"/>
          <w:szCs w:val="24"/>
          <w:u w:val="single"/>
        </w:rPr>
        <w:t>la mejor política</w:t>
      </w:r>
      <w:r>
        <w:rPr>
          <w:rFonts w:ascii="Times New Roman" w:hAnsi="Times New Roman" w:cs="Times New Roman"/>
          <w:color w:val="FF0000"/>
          <w:sz w:val="24"/>
          <w:szCs w:val="24"/>
          <w:u w:val="single"/>
        </w:rPr>
        <w:t xml:space="preserve"> industrial es la que no existe”</w:t>
      </w:r>
      <w:r w:rsidRPr="00F740C9">
        <w:rPr>
          <w:rFonts w:ascii="Times New Roman" w:hAnsi="Times New Roman" w:cs="Times New Roman"/>
          <w:color w:val="FF0000"/>
          <w:sz w:val="24"/>
          <w:szCs w:val="24"/>
          <w:u w:val="single"/>
        </w:rPr>
        <w:t>, han visto cómo su industria desaparecía, bien emigrando o directamente siendo absorbida por empresas asiáticas, sin hacer nada al respecto.</w:t>
      </w:r>
    </w:p>
    <w:p w:rsidR="00737DC2" w:rsidRPr="00F740C9" w:rsidRDefault="00737DC2" w:rsidP="00737DC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F740C9">
        <w:rPr>
          <w:rFonts w:ascii="Times New Roman" w:hAnsi="Times New Roman" w:cs="Times New Roman"/>
          <w:color w:val="FF0000"/>
          <w:sz w:val="24"/>
          <w:szCs w:val="24"/>
          <w:u w:val="single"/>
        </w:rPr>
        <w:t>Hemos de</w:t>
      </w:r>
      <w:r>
        <w:rPr>
          <w:rFonts w:ascii="Times New Roman" w:hAnsi="Times New Roman" w:cs="Times New Roman"/>
          <w:color w:val="FF0000"/>
          <w:sz w:val="24"/>
          <w:szCs w:val="24"/>
          <w:u w:val="single"/>
        </w:rPr>
        <w:t>jado que nos ganaran el partido”, lamenta Garicano, “</w:t>
      </w:r>
      <w:r w:rsidRPr="00F740C9">
        <w:rPr>
          <w:rFonts w:ascii="Times New Roman" w:hAnsi="Times New Roman" w:cs="Times New Roman"/>
          <w:color w:val="FF0000"/>
          <w:sz w:val="24"/>
          <w:szCs w:val="24"/>
          <w:u w:val="single"/>
        </w:rPr>
        <w:t>China está jugando a tener dominio político en el mundo a través de la economía, mientras que occidente no está</w:t>
      </w:r>
      <w:r>
        <w:rPr>
          <w:rFonts w:ascii="Times New Roman" w:hAnsi="Times New Roman" w:cs="Times New Roman"/>
          <w:color w:val="FF0000"/>
          <w:sz w:val="24"/>
          <w:szCs w:val="24"/>
          <w:u w:val="single"/>
        </w:rPr>
        <w:t xml:space="preserve"> jugando con el mismo propósito”. “</w:t>
      </w:r>
      <w:r w:rsidRPr="00F740C9">
        <w:rPr>
          <w:rFonts w:ascii="Times New Roman" w:hAnsi="Times New Roman" w:cs="Times New Roman"/>
          <w:color w:val="FF0000"/>
          <w:sz w:val="24"/>
          <w:szCs w:val="24"/>
          <w:u w:val="single"/>
        </w:rPr>
        <w:t>Europa y EEUU han descuidado la política industrial porque se admitió que lo mejor era que el mercado decidiera libremente cuál sería la especialización</w:t>
      </w:r>
      <w:r>
        <w:rPr>
          <w:rFonts w:ascii="Times New Roman" w:hAnsi="Times New Roman" w:cs="Times New Roman"/>
          <w:color w:val="FF0000"/>
          <w:sz w:val="24"/>
          <w:szCs w:val="24"/>
          <w:u w:val="single"/>
        </w:rPr>
        <w:t xml:space="preserve"> de cada país y cada continente”, explica Torres, “</w:t>
      </w:r>
      <w:r w:rsidRPr="00F740C9">
        <w:rPr>
          <w:rFonts w:ascii="Times New Roman" w:hAnsi="Times New Roman" w:cs="Times New Roman"/>
          <w:color w:val="FF0000"/>
          <w:sz w:val="24"/>
          <w:szCs w:val="24"/>
          <w:u w:val="single"/>
        </w:rPr>
        <w:t>pero la realidad es que China ha entrado en la OMC sin aplicar las mismas reglas del juego: con políticas intervencionistas y apu</w:t>
      </w:r>
      <w:r>
        <w:rPr>
          <w:rFonts w:ascii="Times New Roman" w:hAnsi="Times New Roman" w:cs="Times New Roman"/>
          <w:color w:val="FF0000"/>
          <w:sz w:val="24"/>
          <w:szCs w:val="24"/>
          <w:u w:val="single"/>
        </w:rPr>
        <w:t>estas estratégicas por sectores”</w:t>
      </w:r>
      <w:r w:rsidRPr="00F740C9">
        <w:rPr>
          <w:rFonts w:ascii="Times New Roman" w:hAnsi="Times New Roman" w:cs="Times New Roman"/>
          <w:color w:val="FF0000"/>
          <w:sz w:val="24"/>
          <w:szCs w:val="24"/>
          <w:u w:val="single"/>
        </w:rPr>
        <w:t xml:space="preserve">. </w:t>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lastRenderedPageBreak/>
        <w:t xml:space="preserve">Con el apoyo del Estado, China ha conseguido elevar su cuota global de exportaciones no solo con productos baratos de bajo valor añadido, sino también con alta tecnología a precios muy competitivos. Y lo mismo está ocurriendo ahora con algunas actividades del sector servicios de alto valor añadido. De hecho, las grandes tecnológicas que compiten con las estadounidenses son chinas, las europeas han quedado relegadas definitivamente. </w:t>
      </w:r>
    </w:p>
    <w:p w:rsidR="00737DC2" w:rsidRPr="00F740C9" w:rsidRDefault="00737DC2" w:rsidP="00737DC2">
      <w:pPr>
        <w:spacing w:line="240" w:lineRule="auto"/>
        <w:jc w:val="both"/>
        <w:rPr>
          <w:rFonts w:ascii="Times New Roman" w:hAnsi="Times New Roman" w:cs="Times New Roman"/>
          <w:sz w:val="24"/>
          <w:szCs w:val="24"/>
          <w:u w:val="single"/>
        </w:rPr>
      </w:pPr>
      <w:r w:rsidRPr="00F740C9">
        <w:rPr>
          <w:rFonts w:ascii="Times New Roman" w:hAnsi="Times New Roman" w:cs="Times New Roman"/>
          <w:color w:val="FF0000"/>
          <w:sz w:val="24"/>
          <w:szCs w:val="24"/>
          <w:u w:val="single"/>
        </w:rPr>
        <w:t>Una de las tendencias políticas, liderada por los populismos, propugna volver a levantar barreras al libre comercio como vía para recuperar la producción local. Sin embargo, esta estrategia no está avalada por los estudios empíricos</w:t>
      </w:r>
      <w:r w:rsidRPr="00F740C9">
        <w:rPr>
          <w:rFonts w:ascii="Times New Roman" w:hAnsi="Times New Roman" w:cs="Times New Roman"/>
          <w:sz w:val="24"/>
          <w:szCs w:val="24"/>
          <w:u w:val="single"/>
        </w:rPr>
        <w:t xml:space="preserve">. Autor, </w:t>
      </w:r>
      <w:r>
        <w:rPr>
          <w:rFonts w:ascii="Times New Roman" w:hAnsi="Times New Roman" w:cs="Times New Roman"/>
          <w:sz w:val="24"/>
          <w:szCs w:val="24"/>
          <w:u w:val="single"/>
        </w:rPr>
        <w:t>Dorn y Hanson advierten de que “</w:t>
      </w:r>
      <w:r w:rsidRPr="00F740C9">
        <w:rPr>
          <w:rFonts w:ascii="Times New Roman" w:hAnsi="Times New Roman" w:cs="Times New Roman"/>
          <w:sz w:val="24"/>
          <w:szCs w:val="24"/>
          <w:u w:val="single"/>
        </w:rPr>
        <w:t>no hemos encontrado ningún análisis que justifique que medidas proteccionistas sirvan para ayudar a trabajadores que se hayan visto afectados en el pasado por la c</w:t>
      </w:r>
      <w:r>
        <w:rPr>
          <w:rFonts w:ascii="Times New Roman" w:hAnsi="Times New Roman" w:cs="Times New Roman"/>
          <w:sz w:val="24"/>
          <w:szCs w:val="24"/>
          <w:u w:val="single"/>
        </w:rPr>
        <w:t>ompetencia de las importaciones”</w:t>
      </w:r>
      <w:r w:rsidRPr="00F740C9">
        <w:rPr>
          <w:rFonts w:ascii="Times New Roman" w:hAnsi="Times New Roman" w:cs="Times New Roman"/>
          <w:sz w:val="24"/>
          <w:szCs w:val="24"/>
          <w:u w:val="single"/>
        </w:rPr>
        <w:t>.</w:t>
      </w:r>
    </w:p>
    <w:p w:rsidR="00737DC2" w:rsidRPr="00F740C9" w:rsidRDefault="00737DC2" w:rsidP="00737DC2">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Una opción es exigir que la producción deslocalizada cumpla con los mismos estándares, o similares, que las empresas locales para evitar la competencia desleal. O, al menos, minimizarla</w:t>
      </w:r>
      <w:r w:rsidRPr="007E007E">
        <w:rPr>
          <w:rFonts w:ascii="Times New Roman" w:hAnsi="Times New Roman" w:cs="Times New Roman"/>
          <w:sz w:val="24"/>
          <w:szCs w:val="24"/>
        </w:rPr>
        <w:t xml:space="preserve">. Por ejemplo, en materia de regulación laboral o de protección medioambiental. </w:t>
      </w:r>
      <w:r w:rsidRPr="00F740C9">
        <w:rPr>
          <w:rFonts w:ascii="Times New Roman" w:hAnsi="Times New Roman" w:cs="Times New Roman"/>
          <w:color w:val="FF0000"/>
          <w:sz w:val="24"/>
          <w:szCs w:val="24"/>
          <w:u w:val="single"/>
        </w:rPr>
        <w:t>Sin embargo, la evidencia apunta a que la mejor vía es la apuesta por impulsar el empleo local con inversión, innovación y formación</w:t>
      </w:r>
      <w:r>
        <w:rPr>
          <w:rFonts w:ascii="Times New Roman" w:hAnsi="Times New Roman" w:cs="Times New Roman"/>
          <w:sz w:val="24"/>
          <w:szCs w:val="24"/>
        </w:rPr>
        <w:t>. “</w:t>
      </w:r>
      <w:r w:rsidRPr="007E007E">
        <w:rPr>
          <w:rFonts w:ascii="Times New Roman" w:hAnsi="Times New Roman" w:cs="Times New Roman"/>
          <w:sz w:val="24"/>
          <w:szCs w:val="24"/>
        </w:rPr>
        <w:t>La literatura reciente sugiere que estimular el empleo en las regiones más afectadas por el desempleo crónico puede ayudar a los trabajadores más afectados por choques ne</w:t>
      </w:r>
      <w:r>
        <w:rPr>
          <w:rFonts w:ascii="Times New Roman" w:hAnsi="Times New Roman" w:cs="Times New Roman"/>
          <w:sz w:val="24"/>
          <w:szCs w:val="24"/>
        </w:rPr>
        <w:t>gativos en la demanda de empleo”</w:t>
      </w:r>
      <w:r w:rsidRPr="007E007E">
        <w:rPr>
          <w:rFonts w:ascii="Times New Roman" w:hAnsi="Times New Roman" w:cs="Times New Roman"/>
          <w:sz w:val="24"/>
          <w:szCs w:val="24"/>
        </w:rPr>
        <w:t xml:space="preserve">, escriben Autor, Dorn y Hanson. </w:t>
      </w:r>
      <w:r w:rsidRPr="00F740C9">
        <w:rPr>
          <w:rFonts w:ascii="Times New Roman" w:hAnsi="Times New Roman" w:cs="Times New Roman"/>
          <w:color w:val="FF0000"/>
          <w:sz w:val="24"/>
          <w:szCs w:val="24"/>
          <w:u w:val="single"/>
        </w:rPr>
        <w:t xml:space="preserve">De hecho, algunos países que han apostado por la industria de alto valor añadido han conseguido resistir la deslocalización y aumentar sus ventas a China, como es el caso de Alemania o Austria. Es posible competir con China, pero es necesario trazar planes estratégicos que vayan más allá de dejar a las empresas que busquen el máximo retorno económico recortando costes. </w:t>
      </w:r>
    </w:p>
    <w:p w:rsidR="00737DC2" w:rsidRPr="00F740C9" w:rsidRDefault="00737DC2" w:rsidP="00737DC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7E007E">
        <w:rPr>
          <w:rFonts w:ascii="Times New Roman" w:hAnsi="Times New Roman" w:cs="Times New Roman"/>
          <w:sz w:val="24"/>
          <w:szCs w:val="24"/>
        </w:rPr>
        <w:t>España tiene que invertir mucho en capital humano para tener la me</w:t>
      </w:r>
      <w:r>
        <w:rPr>
          <w:rFonts w:ascii="Times New Roman" w:hAnsi="Times New Roman" w:cs="Times New Roman"/>
          <w:sz w:val="24"/>
          <w:szCs w:val="24"/>
        </w:rPr>
        <w:t>jor fuerza laboral en el futuro”, señala Garicano, “</w:t>
      </w:r>
      <w:r w:rsidRPr="007E007E">
        <w:rPr>
          <w:rFonts w:ascii="Times New Roman" w:hAnsi="Times New Roman" w:cs="Times New Roman"/>
          <w:sz w:val="24"/>
          <w:szCs w:val="24"/>
        </w:rPr>
        <w:t>esa es la única vía para aspirar a tener una industria pu</w:t>
      </w:r>
      <w:r>
        <w:rPr>
          <w:rFonts w:ascii="Times New Roman" w:hAnsi="Times New Roman" w:cs="Times New Roman"/>
          <w:sz w:val="24"/>
          <w:szCs w:val="24"/>
        </w:rPr>
        <w:t>ntera e innovadora en el futuro”</w:t>
      </w:r>
      <w:r w:rsidRPr="007E007E">
        <w:rPr>
          <w:rFonts w:ascii="Times New Roman" w:hAnsi="Times New Roman" w:cs="Times New Roman"/>
          <w:sz w:val="24"/>
          <w:szCs w:val="24"/>
        </w:rPr>
        <w:t xml:space="preserve">. </w:t>
      </w:r>
      <w:r w:rsidRPr="00F740C9">
        <w:rPr>
          <w:rFonts w:ascii="Times New Roman" w:hAnsi="Times New Roman" w:cs="Times New Roman"/>
          <w:sz w:val="24"/>
          <w:szCs w:val="24"/>
          <w:u w:val="single"/>
        </w:rPr>
        <w:t>Sin políticas de oferta, levantar barreras comerciales difícilmente podrá estimular el empleo ni la producción. Al contrario, sí generarán presiones inflacionistas que afectarán a la capacidad adquisitiva de los salarios locales, golpeando especialmente a las clases bajas. Los planes de inversión que están poniendo en marcha EEUU y Europa pueden ser una vía para estimular la producción local y, con ella, el empleo. La inversión productiva es clave para contrarrestar el poderío chino, pero también lo serán las reformas y visión estratégica de largo plazo.</w:t>
      </w:r>
    </w:p>
    <w:p w:rsidR="00737DC2" w:rsidRPr="00AE789F"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89F">
        <w:rPr>
          <w:rFonts w:ascii="Times New Roman" w:hAnsi="Times New Roman" w:cs="Times New Roman"/>
          <w:sz w:val="24"/>
          <w:szCs w:val="24"/>
          <w:u w:val="single"/>
        </w:rPr>
        <w:t>El petróleo y gas seguirán sin dar tregua en 2022</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737DC2" w:rsidRPr="004F00BE" w:rsidRDefault="00737DC2" w:rsidP="00737DC2">
      <w:pPr>
        <w:spacing w:line="240" w:lineRule="auto"/>
        <w:jc w:val="both"/>
        <w:rPr>
          <w:rFonts w:ascii="Times New Roman" w:hAnsi="Times New Roman" w:cs="Times New Roman"/>
          <w:color w:val="FF0000"/>
          <w:sz w:val="24"/>
          <w:szCs w:val="24"/>
        </w:rPr>
      </w:pPr>
      <w:r w:rsidRPr="004F00BE">
        <w:rPr>
          <w:rFonts w:ascii="Times New Roman" w:hAnsi="Times New Roman" w:cs="Times New Roman"/>
          <w:color w:val="FF0000"/>
          <w:sz w:val="24"/>
          <w:szCs w:val="24"/>
        </w:rPr>
        <w:t>Los expertos consideran que se mantendrá o incluso subirá, prolongando la actual crisis energética global y su impacto en la inflación</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789F">
        <w:rPr>
          <w:rFonts w:ascii="Times New Roman" w:hAnsi="Times New Roman" w:cs="Times New Roman"/>
          <w:sz w:val="24"/>
          <w:szCs w:val="24"/>
        </w:rPr>
        <w:t>Luis Alberto Peralta</w:t>
      </w:r>
      <w:r>
        <w:rPr>
          <w:rFonts w:ascii="Times New Roman" w:hAnsi="Times New Roman" w:cs="Times New Roman"/>
          <w:sz w:val="24"/>
          <w:szCs w:val="24"/>
        </w:rPr>
        <w:t>)</w:t>
      </w:r>
    </w:p>
    <w:p w:rsidR="00737DC2" w:rsidRPr="0069106A" w:rsidRDefault="00737DC2" w:rsidP="00737DC2">
      <w:pPr>
        <w:spacing w:line="240" w:lineRule="auto"/>
        <w:jc w:val="both"/>
        <w:rPr>
          <w:rFonts w:ascii="Times New Roman" w:hAnsi="Times New Roman" w:cs="Times New Roman"/>
          <w:sz w:val="24"/>
          <w:szCs w:val="24"/>
        </w:rPr>
      </w:pPr>
      <w:r w:rsidRPr="004F00BE">
        <w:rPr>
          <w:rFonts w:ascii="Times New Roman" w:hAnsi="Times New Roman" w:cs="Times New Roman"/>
          <w:sz w:val="24"/>
          <w:szCs w:val="24"/>
          <w:u w:val="single"/>
        </w:rPr>
        <w:t>2021 ha sido un año de récords para los hidrocarburos</w:t>
      </w:r>
      <w:r w:rsidRPr="00AE789F">
        <w:rPr>
          <w:rFonts w:ascii="Times New Roman" w:hAnsi="Times New Roman" w:cs="Times New Roman"/>
          <w:sz w:val="24"/>
          <w:szCs w:val="24"/>
        </w:rPr>
        <w:t>. El gas natural ha tocado máximos históricos mientras que el barril de petróleo ha superado la barrera de los 80 euros por primera vez desde 2018.</w:t>
      </w:r>
    </w:p>
    <w:p w:rsidR="00737DC2" w:rsidRDefault="00737DC2" w:rsidP="00737DC2">
      <w:pPr>
        <w:spacing w:line="240" w:lineRule="auto"/>
        <w:jc w:val="both"/>
        <w:rPr>
          <w:rFonts w:ascii="Times New Roman" w:hAnsi="Times New Roman" w:cs="Times New Roman"/>
          <w:sz w:val="24"/>
          <w:szCs w:val="24"/>
        </w:rPr>
      </w:pPr>
    </w:p>
    <w:p w:rsidR="00737DC2" w:rsidRPr="00AE789F" w:rsidRDefault="00737DC2" w:rsidP="00737DC2">
      <w:pPr>
        <w:spacing w:line="240" w:lineRule="auto"/>
        <w:jc w:val="both"/>
        <w:rPr>
          <w:rFonts w:ascii="Times New Roman" w:hAnsi="Times New Roman" w:cs="Times New Roman"/>
          <w:sz w:val="24"/>
          <w:szCs w:val="24"/>
        </w:rPr>
      </w:pPr>
      <w:r>
        <w:rPr>
          <w:noProof/>
          <w:lang w:val="en-GB" w:eastAsia="zh-CN"/>
        </w:rPr>
        <w:lastRenderedPageBreak/>
        <w:drawing>
          <wp:inline distT="0" distB="0" distL="0" distR="0">
            <wp:extent cx="5731510" cy="3119189"/>
            <wp:effectExtent l="0" t="0" r="2540" b="5080"/>
            <wp:docPr id="252" name="Imagen 252" descr="El petróleo y gas seguirán sin dar tregua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petróleo y gas seguirán sin dar tregua en 2022"/>
                    <pic:cNvPicPr>
                      <a:picLocks noChangeAspect="1" noChangeArrowheads="1"/>
                    </pic:cNvPicPr>
                  </pic:nvPicPr>
                  <pic:blipFill>
                    <a:blip r:embed="rId3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19189"/>
                    </a:xfrm>
                    <a:prstGeom prst="rect">
                      <a:avLst/>
                    </a:prstGeom>
                    <a:noFill/>
                    <a:ln>
                      <a:noFill/>
                    </a:ln>
                  </pic:spPr>
                </pic:pic>
              </a:graphicData>
            </a:graphic>
          </wp:inline>
        </w:drawing>
      </w:r>
    </w:p>
    <w:p w:rsidR="00737DC2" w:rsidRDefault="00737DC2" w:rsidP="00737DC2">
      <w:pPr>
        <w:pStyle w:val="bbc-bm53ic"/>
        <w:shd w:val="clear" w:color="auto" w:fill="FDFDFD"/>
        <w:spacing w:after="0"/>
        <w:jc w:val="both"/>
      </w:pPr>
      <w:r>
        <w:t xml:space="preserve">- </w:t>
      </w:r>
      <w:r>
        <w:rPr>
          <w:u w:val="single"/>
        </w:rPr>
        <w:t>China o EE</w:t>
      </w:r>
      <w:r w:rsidRPr="004F7C87">
        <w:rPr>
          <w:u w:val="single"/>
        </w:rPr>
        <w:t>UU, ¿cuál es el mejor aliado para el futuro de Europa</w:t>
      </w:r>
      <w:r>
        <w:t xml:space="preserve">? (Cinco Días - </w:t>
      </w:r>
      <w:r w:rsidRPr="004F7C87">
        <w:rPr>
          <w:b/>
        </w:rPr>
        <w:t>19/2/22</w:t>
      </w:r>
      <w:r>
        <w:t>)</w:t>
      </w:r>
    </w:p>
    <w:p w:rsidR="00737DC2" w:rsidRDefault="00737DC2" w:rsidP="00737DC2">
      <w:pPr>
        <w:pStyle w:val="bbc-bm53ic"/>
        <w:shd w:val="clear" w:color="auto" w:fill="FDFDFD"/>
        <w:spacing w:after="0"/>
        <w:jc w:val="both"/>
        <w:rPr>
          <w:color w:val="FF0000"/>
        </w:rPr>
      </w:pPr>
      <w:r w:rsidRPr="00F14CA5">
        <w:rPr>
          <w:color w:val="FF0000"/>
        </w:rPr>
        <w:t>Los cantos de sirena de grandes oportunidades económicas resuenan desde China, pero Estados Unidos, aliado tradicional del Viejo Continente, comparte una serie de valores con los que Pekín antagoniza</w:t>
      </w:r>
    </w:p>
    <w:p w:rsidR="00737DC2" w:rsidRDefault="00737DC2" w:rsidP="00737DC2">
      <w:pPr>
        <w:pStyle w:val="bbc-bm53ic"/>
        <w:shd w:val="clear" w:color="auto" w:fill="FDFDFD"/>
        <w:spacing w:after="0"/>
        <w:jc w:val="both"/>
      </w:pPr>
      <w:r>
        <w:t>(Por Fernando Belinchón)</w:t>
      </w:r>
    </w:p>
    <w:p w:rsidR="00737DC2" w:rsidRDefault="00737DC2" w:rsidP="00737DC2">
      <w:pPr>
        <w:pStyle w:val="bbc-bm53ic"/>
        <w:shd w:val="clear" w:color="auto" w:fill="FDFDFD"/>
        <w:spacing w:after="0"/>
        <w:jc w:val="both"/>
      </w:pPr>
      <w:r>
        <w:rPr>
          <w:noProof/>
          <w:lang w:val="en-GB" w:eastAsia="zh-CN"/>
        </w:rPr>
        <w:drawing>
          <wp:inline distT="0" distB="0" distL="0" distR="0">
            <wp:extent cx="5734050" cy="4000500"/>
            <wp:effectExtent l="0" t="0" r="0" b="0"/>
            <wp:docPr id="253" name="Imagen 253" descr="Balanza Comercial Europa Chin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za Comercial Europa China EEUU"/>
                    <pic:cNvPicPr>
                      <a:picLocks noChangeAspect="1" noChangeArrowheads="1"/>
                    </pic:cNvPicPr>
                  </pic:nvPicPr>
                  <pic:blipFill>
                    <a:blip r:embed="rId3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98728"/>
                    </a:xfrm>
                    <a:prstGeom prst="rect">
                      <a:avLst/>
                    </a:prstGeom>
                    <a:noFill/>
                    <a:ln>
                      <a:noFill/>
                    </a:ln>
                  </pic:spPr>
                </pic:pic>
              </a:graphicData>
            </a:graphic>
          </wp:inline>
        </w:drawing>
      </w:r>
    </w:p>
    <w:p w:rsidR="00737DC2" w:rsidRDefault="00737DC2" w:rsidP="00737DC2">
      <w:pPr>
        <w:pStyle w:val="bbc-bm53ic"/>
        <w:shd w:val="clear" w:color="auto" w:fill="FDFDFD"/>
        <w:spacing w:after="0"/>
        <w:jc w:val="both"/>
      </w:pPr>
      <w:r w:rsidRPr="00F14CA5">
        <w:rPr>
          <w:u w:val="single"/>
        </w:rPr>
        <w:lastRenderedPageBreak/>
        <w:t>Estados Unidos aún es el país más poderoso, pero su principal contendiente sigue creciendo alterando con ello los equilibrios que han caracterizado al mundo desde el final de la guerra fría. Incluso una pandemia después y con temores de crisis inmobiliaria al acecho, las cifras plasman que China continúa mejorando su economía a un ritmo mucho mayor que el estadounidense. Atendiendo a los datos y proyecciones del Fondo Monetario Internacional (FMI), desde 2019 hasta finales de 2022 el PIB chino habrá repuntado un 28,73%; el estadounidense crecerá un 16% en ese mismo periodo</w:t>
      </w:r>
      <w:r>
        <w:t>. Con la pujanza económica del país asiático como principal argumento, no es de extrañar que surjan voces en diferentes partes del globo a favor de estrechar más las relaciones con Pekín. Pero no es tan sencillo, y el caso de la Unión Europea es paradigmático.</w:t>
      </w:r>
    </w:p>
    <w:p w:rsidR="00737DC2" w:rsidRPr="00C44851" w:rsidRDefault="00737DC2" w:rsidP="00737DC2">
      <w:pPr>
        <w:pStyle w:val="bbc-bm53ic"/>
        <w:shd w:val="clear" w:color="auto" w:fill="FDFDFD"/>
        <w:spacing w:after="0"/>
        <w:jc w:val="both"/>
        <w:rPr>
          <w:color w:val="FF0000"/>
          <w:u w:val="single"/>
        </w:rPr>
      </w:pPr>
      <w:r w:rsidRPr="00C44851">
        <w:rPr>
          <w:color w:val="FF0000"/>
          <w:u w:val="single"/>
        </w:rPr>
        <w:t>En 2020 China fue, según Eurostat, el socio comercial más activo de la Unión Europea por valor de mercancías importadas y exportadas entre ambas partes, si bien, la Unión acumula una balanza de cuenta corriente negativa ante el elevado peso de las primeras en comparación con el de las segundas (como muestra el gráfico que acompaña a esta información). Estados Unidos fue, por su parte, el segundo mayor socio por valor de mercancías negociadas, dejando en cambio un sustancial balance positivo para las cuentas comerciales europeas. Aun siendo el principal socio por volumen de mercancías, un abismo geoestratégico continúa separando a Pekín de Bruselas. Y, previsiblemente, así seguirá la situación.</w:t>
      </w:r>
    </w:p>
    <w:p w:rsidR="00737DC2" w:rsidRPr="00C44851" w:rsidRDefault="00737DC2" w:rsidP="00737DC2">
      <w:pPr>
        <w:pStyle w:val="bbc-bm53ic"/>
        <w:shd w:val="clear" w:color="auto" w:fill="FDFDFD"/>
        <w:spacing w:after="0"/>
        <w:jc w:val="both"/>
        <w:rPr>
          <w:u w:val="single"/>
        </w:rPr>
      </w:pPr>
      <w:r w:rsidRPr="00C44851">
        <w:rPr>
          <w:u w:val="single"/>
        </w:rPr>
        <w:t>Mario Esteban, investigador del Real Instituto Elcano y profesor de la Universidad Autónoma de Madrid, ahonda en el porqué de ese abismo y de su probable continuidad. “Mientras China sea un país autoritario, una economía cerrada, de ninguna manera le convendría a Europa emprender un cambio de tanta magnitud en las placas tectónicas de la geopolítica mundial. Si nuestros valores e intereses están más cerca de ot</w:t>
      </w:r>
      <w:r>
        <w:rPr>
          <w:u w:val="single"/>
        </w:rPr>
        <w:t>ros actores, en este caso de EE</w:t>
      </w:r>
      <w:r w:rsidRPr="00C44851">
        <w:rPr>
          <w:u w:val="single"/>
        </w:rPr>
        <w:t>UU, que además sigue siendo en estos momentos más poderoso que China de manera innegable, no hay forma de que vaya a interesar acercarse a un actor con el que tienes menos intereses y compartes menos valores. Esto no tiene sentido”, razona. La única gran diferencia bajo su punto de vista está en las importaciones, pero en todo lo demás, en exportaciones y, sobre todo, en inversiones, Estados Unidos sigue siendo mucho más importante para la UE que China. “La influencia económica china es importante, pero se tiende a magnificar esa importancia”, observa.</w:t>
      </w:r>
    </w:p>
    <w:p w:rsidR="00737DC2" w:rsidRPr="00C44851" w:rsidRDefault="00737DC2" w:rsidP="00737DC2">
      <w:pPr>
        <w:pStyle w:val="bbc-bm53ic"/>
        <w:shd w:val="clear" w:color="auto" w:fill="FDFDFD"/>
        <w:spacing w:after="0"/>
        <w:jc w:val="both"/>
        <w:rPr>
          <w:color w:val="FF0000"/>
          <w:u w:val="single"/>
        </w:rPr>
      </w:pPr>
      <w:r w:rsidRPr="00C44851">
        <w:rPr>
          <w:color w:val="FF0000"/>
          <w:u w:val="single"/>
        </w:rPr>
        <w:t>Asimismo, el investigador comenta que si bien el crecimiento económico chino es la gran bandera que enarbola Pekín a la hora de buscar unas mejores relaciones internacionales, a la vez es un escollo para un entendimiento sino-europeo más allá de lo meramente monetario. “Hay muchos choques en tema de derechos humanos, en regulación comercial, de internet... Muchas áreas en las que hay tensión. Estas diferencias ya existían desde hace tiempo, pero entonces la relación de poder era mucho más favorable a Occidente y China tenía muy pocas posibilidades de promover sus visiones alternativas de entender las cosas. A medida que estas relaciones de poder se van equilibrando, China gana poder a la hora de fomentar su visión y esto genera tensión en Occidente”, argumenta Esteban.</w:t>
      </w:r>
    </w:p>
    <w:p w:rsidR="00737DC2" w:rsidRDefault="00737DC2" w:rsidP="00737DC2">
      <w:pPr>
        <w:pStyle w:val="bbc-bm53ic"/>
        <w:shd w:val="clear" w:color="auto" w:fill="FDFDFD"/>
        <w:spacing w:after="0"/>
        <w:jc w:val="both"/>
      </w:pPr>
      <w:r>
        <w:t>El bloque alternativo</w:t>
      </w:r>
    </w:p>
    <w:p w:rsidR="00737DC2" w:rsidRDefault="00737DC2" w:rsidP="00737DC2">
      <w:pPr>
        <w:pStyle w:val="bbc-bm53ic"/>
        <w:shd w:val="clear" w:color="auto" w:fill="FDFDFD"/>
        <w:spacing w:after="0"/>
        <w:jc w:val="both"/>
      </w:pPr>
      <w:r>
        <w:t xml:space="preserve">Contestando al monopolio geopolítico estadounidense y de sus aliados desde el colapso de la URSS, acontecimientos recientes dan cuenta de que se está gestando un bloque alternativo encabezado por la propia China y Rusia. El pasado 4 de febrero, el presidente ruso, Vladimir Putin, visitó China con motivo de los Juegos Olímpicos de Invierno. Tras el encuentro de Putin con el presidente chino, Xi Jinping, ambos países acordaron una declaración exigiendo </w:t>
      </w:r>
      <w:r>
        <w:lastRenderedPageBreak/>
        <w:t>detener la expansión de la OTAN. Esto sucedió en plena tensión en Ucrania ante las sospechas de un posible ataque ruso.</w:t>
      </w:r>
    </w:p>
    <w:p w:rsidR="00737DC2" w:rsidRDefault="00737DC2" w:rsidP="00737DC2">
      <w:pPr>
        <w:pStyle w:val="bbc-bm53ic"/>
        <w:shd w:val="clear" w:color="auto" w:fill="FDFDFD"/>
        <w:spacing w:after="0"/>
        <w:jc w:val="both"/>
      </w:pPr>
      <w:r>
        <w:t>“Lo que busca China cuando se relaciona con Rusia no es lo mismo que quizás lo que pretenden cuando hablan con un país de África, por ejemplo. Por un lado, busca respaldo internacional para sus modelos alternativos. Esas formas de hacer las cosas diferentes a la que promueven los países occidentales. En el otro, puede estar buscando materias primas, oportunidades para sus empresas, inversiones, contratos. Básicamente esto. Lo que es cierto es que China, en general, a diferencia de EEUU y no tanto de la UE, tiene una cooperación en materia militar con otros países más bien limitada”, asevera Estaban.</w:t>
      </w:r>
    </w:p>
    <w:p w:rsidR="00737DC2" w:rsidRPr="00C44851" w:rsidRDefault="00737DC2" w:rsidP="00737DC2">
      <w:pPr>
        <w:pStyle w:val="bbc-bm53ic"/>
        <w:shd w:val="clear" w:color="auto" w:fill="FDFDFD"/>
        <w:spacing w:after="0"/>
        <w:jc w:val="both"/>
        <w:rPr>
          <w:color w:val="FF0000"/>
          <w:u w:val="single"/>
        </w:rPr>
      </w:pPr>
      <w:r w:rsidRPr="00C44851">
        <w:rPr>
          <w:color w:val="FF0000"/>
          <w:u w:val="single"/>
        </w:rPr>
        <w:t>El experto desglosa cómo, en función del país interlocutor, China ofrece unas cosas u otras. “A países menos desarrollados les ponen mucho más énfasis en la financiación o en las inversiones, pero sobre todo en la financiación. En países desarrollados ponen comparativamente el foco en materias de oportunidades de negocio. La idea de fondo muy clara, muy transversal, es esa presentación de gran atractivo de China como socio económico. Intenta transmitir esa imagen de China como gran motor de la economía mundial, que es la economía que va a ofrecer más oportunidades de negocio en el futuro y que es la economía que ofrece financiación a esos países que no pueden recurrir o que les es muy caro recurrir a otras vías de financiación tradicional”.</w:t>
      </w:r>
    </w:p>
    <w:p w:rsidR="00737DC2" w:rsidRDefault="00737DC2" w:rsidP="00737DC2">
      <w:pPr>
        <w:pStyle w:val="bbc-bm53ic"/>
        <w:shd w:val="clear" w:color="auto" w:fill="FDFDFD"/>
        <w:spacing w:after="0"/>
        <w:jc w:val="both"/>
      </w:pPr>
      <w:r>
        <w:t>La oportunidad con China</w:t>
      </w:r>
    </w:p>
    <w:p w:rsidR="00737DC2" w:rsidRDefault="00737DC2" w:rsidP="00737DC2">
      <w:pPr>
        <w:pStyle w:val="bbc-bm53ic"/>
        <w:shd w:val="clear" w:color="auto" w:fill="FDFDFD"/>
        <w:spacing w:after="0"/>
        <w:jc w:val="both"/>
      </w:pPr>
      <w:r>
        <w:t>Sobre las consecuencias de cooperar con China deja varias conclusiones el último Afrobarómetro, elaborado en base a encuestas en 34 países diferentes para estudiar la influencia del gigante asiático en el continente africano.</w:t>
      </w:r>
    </w:p>
    <w:p w:rsidR="00737DC2" w:rsidRDefault="00737DC2" w:rsidP="00737DC2">
      <w:pPr>
        <w:pStyle w:val="bbc-bm53ic"/>
        <w:shd w:val="clear" w:color="auto" w:fill="FDFDFD"/>
        <w:spacing w:after="0"/>
        <w:jc w:val="both"/>
      </w:pPr>
      <w:r>
        <w:t>A la pregunta sobre qué modelo es mejor a la hora de basar el desarrollo de sus países, el 33% de los consultados respondió que Estados Unidos, frente a un 22% que mencionó a China. Esto indica un cierto desencanto frente a la influencia china, ya que en la encuesta de 2014 la preferencia por el modelo del gigante asiático era del 25% y la del estadounidense del 31%. También se detectó una menor percepción de esa influencia. La mitad de los encuestados consideraron que China ejerce cierta o mucha influencia en sus países, frente al 71% de 2014.</w:t>
      </w:r>
    </w:p>
    <w:p w:rsidR="00737DC2" w:rsidRDefault="00737DC2" w:rsidP="00737DC2">
      <w:pPr>
        <w:pStyle w:val="bbc-bm53ic"/>
        <w:shd w:val="clear" w:color="auto" w:fill="FDFDFD"/>
        <w:spacing w:after="0"/>
        <w:jc w:val="both"/>
      </w:pPr>
      <w:r>
        <w:t>En el plano puramente económico, los encuestados sí que afirman en un 63% de los casos que las relaciones de sus países con China han sido positivas, frente a un 60% que también estimó lo mismo respecto a las mantenidas con Estados Unidos. No obstante, esa mejora económica de la mano de Pekín no sale gratis. Así, un 57% de los encuestados opinaron que sus Gobiernos se habían endeudado demasiado con el país asiático.</w:t>
      </w:r>
    </w:p>
    <w:p w:rsidR="00737DC2" w:rsidRDefault="00737DC2" w:rsidP="00737DC2">
      <w:pPr>
        <w:pStyle w:val="bbc-bm53ic"/>
        <w:shd w:val="clear" w:color="auto" w:fill="FDFDFD"/>
        <w:spacing w:after="0"/>
        <w:jc w:val="both"/>
      </w:pPr>
      <w:r>
        <w:t>La sinoesfera</w:t>
      </w:r>
    </w:p>
    <w:p w:rsidR="00737DC2" w:rsidRDefault="00737DC2" w:rsidP="00737DC2">
      <w:pPr>
        <w:pStyle w:val="bbc-bm53ic"/>
        <w:shd w:val="clear" w:color="auto" w:fill="FDFDFD"/>
        <w:spacing w:after="0"/>
        <w:jc w:val="both"/>
      </w:pPr>
      <w:r>
        <w:t>El citado Afrobarómetro deja también una conclusión clave sobre la naturaleza de las relaciones de China con el resto del mundo. Que haya lazos económicos no tiene por qué implicar cambios geoestratégicos. “Llevando la contraria a las preocupaciones sobre que la influencia china pueda debilitar el deseo democrático en África, los encuestados que calificaron la influencia de Pekín como muy positiva preferían formas de Gobierno democráticas incluso en mayor medida que los que calificaron como muy negativo el papel de China en sus países”, recoge el informe sobre el Afrobarómetro.</w:t>
      </w:r>
    </w:p>
    <w:p w:rsidR="00737DC2" w:rsidRDefault="00737DC2" w:rsidP="00737DC2">
      <w:pPr>
        <w:pStyle w:val="bbc-bm53ic"/>
        <w:shd w:val="clear" w:color="auto" w:fill="FDFDFD"/>
        <w:spacing w:after="0"/>
        <w:jc w:val="both"/>
      </w:pPr>
      <w:r>
        <w:lastRenderedPageBreak/>
        <w:t>De esta forma, las naciones compran el relato de cooperación económica procedente de Pekín pero, como norma general, no el político. Y a este respecto hay claros ejemplos.</w:t>
      </w:r>
    </w:p>
    <w:p w:rsidR="00737DC2" w:rsidRDefault="00737DC2" w:rsidP="00737DC2">
      <w:pPr>
        <w:pStyle w:val="bbc-bm53ic"/>
        <w:shd w:val="clear" w:color="auto" w:fill="FDFDFD"/>
        <w:spacing w:after="0"/>
        <w:jc w:val="both"/>
      </w:pPr>
      <w:r>
        <w:t>Uno de ellos es el acuerdo de libre comercio que China impulsó entre los países de ASEAN. En él estarán, entre otras naciones, Australia, Japón y Nueva Zelanda, países con estrechos vínculos con EEUU. De hecho, en 2021 Australia ratificó el Aukus, un tratado de cooperación militar con Reino Unido y Estados Unidos. Otro ejemplo es el caso de la Unión Europea.</w:t>
      </w:r>
    </w:p>
    <w:p w:rsidR="00737DC2" w:rsidRPr="00C44851" w:rsidRDefault="00737DC2" w:rsidP="00737DC2">
      <w:pPr>
        <w:pStyle w:val="bbc-bm53ic"/>
        <w:shd w:val="clear" w:color="auto" w:fill="FDFDFD"/>
        <w:spacing w:after="0"/>
        <w:jc w:val="both"/>
        <w:rPr>
          <w:color w:val="FF0000"/>
          <w:u w:val="single"/>
        </w:rPr>
      </w:pPr>
      <w:r w:rsidRPr="00C44851">
        <w:rPr>
          <w:color w:val="FF0000"/>
          <w:u w:val="single"/>
        </w:rPr>
        <w:t>En diciembre de 2020, la Unión firmó el conocido como CAI, un acuerdo de inversiones entre Bruselas y Pekín que busca facilitar el acceso al mercado chino para las empresas europeas. “Entonces se firmó, pero luego había que ratificarlo en el Parlamento Europeo. En ese proceso, la UE interpuso sanciones a entidades y ciudadanos chinos por su relación con violaciones de derechos humanos en Sinkiang. ¿Cuál fue la respuesta de China? La respuesta podría haber sido muchas. Y entre todas las opciones, escogió sancionar a miembros del Parlamento Europeo, el órgano que tiene que sancionar esta ley. Si tú realmente quieres que ese acuerdo se ratifique, no se te ocurre sancionar a quien tiene que votarlo”, dice Esteban.</w:t>
      </w:r>
    </w:p>
    <w:p w:rsidR="00737DC2" w:rsidRPr="00C44851" w:rsidRDefault="00737DC2" w:rsidP="00737DC2">
      <w:pPr>
        <w:pStyle w:val="bbc-bm53ic"/>
        <w:shd w:val="clear" w:color="auto" w:fill="FDFDFD"/>
        <w:spacing w:after="0"/>
        <w:jc w:val="both"/>
        <w:rPr>
          <w:color w:val="FF0000"/>
          <w:u w:val="single"/>
        </w:rPr>
      </w:pPr>
      <w:r w:rsidRPr="00C44851">
        <w:rPr>
          <w:color w:val="FF0000"/>
          <w:u w:val="single"/>
        </w:rPr>
        <w:t>Para el experto, la clave sobre si a Europa le conviene acercarse a China o si finalmente lo hará es preguntarse qué quiere decir exactamente acercamiento. “Por ejemplo, el CAI, si se ratifica el acuerdo. Aquí la ventaja sería que las empresas europeas en China tendrían más seguridad jurídica que la que tienen ahora y tendrían un acceso más fácil al mercado que en la actualidad. Pero eso en realidad no es necesariamente un cambio de paradigma en la relación. El alineamiento estratégico de la UE va a seguir con el vínculo transatlántico. Incluso la ratificación del CAI, que ahora mismo es imposible, no va a ser algo que implique un cambio de dirección estratégico”, concluye el investigador.</w:t>
      </w:r>
    </w:p>
    <w:p w:rsidR="00737DC2" w:rsidRPr="0006081B" w:rsidRDefault="00737DC2" w:rsidP="00737DC2">
      <w:pPr>
        <w:spacing w:line="240" w:lineRule="auto"/>
        <w:jc w:val="both"/>
        <w:rPr>
          <w:rFonts w:ascii="Times New Roman" w:hAnsi="Times New Roman" w:cs="Times New Roman"/>
          <w:sz w:val="24"/>
          <w:szCs w:val="24"/>
        </w:rPr>
      </w:pPr>
      <w:r w:rsidRPr="0006081B">
        <w:rPr>
          <w:rFonts w:ascii="Times New Roman" w:hAnsi="Times New Roman" w:cs="Times New Roman"/>
          <w:b/>
          <w:sz w:val="24"/>
          <w:szCs w:val="24"/>
        </w:rPr>
        <w:t>Nota</w:t>
      </w:r>
      <w:r w:rsidRPr="0006081B">
        <w:rPr>
          <w:rFonts w:ascii="Times New Roman" w:hAnsi="Times New Roman" w:cs="Times New Roman"/>
          <w:sz w:val="24"/>
          <w:szCs w:val="24"/>
        </w:rPr>
        <w:t xml:space="preserve">: </w:t>
      </w:r>
      <w:r w:rsidRPr="0006081B">
        <w:rPr>
          <w:rFonts w:ascii="Times New Roman" w:hAnsi="Times New Roman" w:cs="Times New Roman"/>
          <w:b/>
          <w:sz w:val="24"/>
          <w:szCs w:val="24"/>
        </w:rPr>
        <w:t xml:space="preserve">El “chantaje” de Rusia, a la “ambigua” Alemania (y </w:t>
      </w:r>
      <w:r>
        <w:rPr>
          <w:rFonts w:ascii="Times New Roman" w:hAnsi="Times New Roman" w:cs="Times New Roman"/>
          <w:b/>
          <w:sz w:val="24"/>
          <w:szCs w:val="24"/>
        </w:rPr>
        <w:t>de paso a toda la “ecolojeta” Unión Europea</w:t>
      </w:r>
      <w:r w:rsidRPr="0006081B">
        <w:rPr>
          <w:rFonts w:ascii="Times New Roman" w:hAnsi="Times New Roman" w:cs="Times New Roman"/>
          <w:b/>
          <w:sz w:val="24"/>
          <w:szCs w:val="24"/>
        </w:rPr>
        <w:t>)</w:t>
      </w:r>
    </w:p>
    <w:p w:rsidR="00737DC2" w:rsidRDefault="00737DC2" w:rsidP="00737DC2">
      <w:pPr>
        <w:spacing w:line="240" w:lineRule="auto"/>
        <w:jc w:val="both"/>
        <w:rPr>
          <w:rFonts w:ascii="Times New Roman" w:hAnsi="Times New Roman" w:cs="Times New Roman"/>
          <w:sz w:val="24"/>
          <w:szCs w:val="24"/>
        </w:rPr>
      </w:pPr>
      <w:r>
        <w:rPr>
          <w:noProof/>
          <w:lang w:val="en-GB" w:eastAsia="zh-CN"/>
        </w:rPr>
        <w:drawing>
          <wp:inline distT="0" distB="0" distL="0" distR="0">
            <wp:extent cx="5727700" cy="3194050"/>
            <wp:effectExtent l="0" t="0" r="6350" b="6350"/>
            <wp:docPr id="254" name="Imagen 254"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3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96175"/>
                    </a:xfrm>
                    <a:prstGeom prst="rect">
                      <a:avLst/>
                    </a:prstGeom>
                    <a:noFill/>
                    <a:ln>
                      <a:noFill/>
                    </a:ln>
                  </pic:spPr>
                </pic:pic>
              </a:graphicData>
            </a:graphic>
          </wp:inline>
        </w:drawing>
      </w:r>
    </w:p>
    <w:p w:rsidR="00737DC2" w:rsidRDefault="00737DC2" w:rsidP="00737DC2">
      <w:pPr>
        <w:spacing w:line="240" w:lineRule="auto"/>
        <w:jc w:val="both"/>
        <w:rPr>
          <w:rFonts w:ascii="Times New Roman" w:hAnsi="Times New Roman" w:cs="Times New Roman"/>
          <w:sz w:val="24"/>
          <w:szCs w:val="24"/>
          <w:shd w:val="clear" w:color="auto" w:fill="FDFDFD"/>
        </w:rPr>
      </w:pPr>
      <w:r w:rsidRPr="00733E58">
        <w:rPr>
          <w:rFonts w:ascii="Times New Roman" w:hAnsi="Times New Roman" w:cs="Times New Roman"/>
          <w:sz w:val="24"/>
          <w:szCs w:val="24"/>
          <w:shd w:val="clear" w:color="auto" w:fill="FDFDFD"/>
        </w:rPr>
        <w:lastRenderedPageBreak/>
        <w:t>De unos cinco millones de barriles de petróleo crudo que exporta cada día, más de la mitad va a Europa. Estados Unidos es menos dependiente, con alrededor del </w:t>
      </w:r>
      <w:r w:rsidRPr="00733E58">
        <w:rPr>
          <w:rFonts w:ascii="Times New Roman" w:hAnsi="Times New Roman" w:cs="Times New Roman"/>
          <w:bCs/>
          <w:sz w:val="24"/>
          <w:szCs w:val="24"/>
          <w:shd w:val="clear" w:color="auto" w:fill="FDFDFD"/>
        </w:rPr>
        <w:t>3% de su petróleoimportado</w:t>
      </w:r>
      <w:r w:rsidRPr="00733E58">
        <w:rPr>
          <w:rFonts w:ascii="Times New Roman" w:hAnsi="Times New Roman" w:cs="Times New Roman"/>
          <w:sz w:val="24"/>
          <w:szCs w:val="24"/>
          <w:shd w:val="clear" w:color="auto" w:fill="FDFDFD"/>
        </w:rPr>
        <w:t> procedente de Rusia en 2020.</w:t>
      </w:r>
    </w:p>
    <w:p w:rsidR="00737DC2" w:rsidRPr="00733E58" w:rsidRDefault="00737DC2" w:rsidP="00737DC2">
      <w:pPr>
        <w:spacing w:line="240" w:lineRule="auto"/>
        <w:jc w:val="both"/>
        <w:rPr>
          <w:rFonts w:ascii="Times New Roman" w:hAnsi="Times New Roman" w:cs="Times New Roman"/>
          <w:sz w:val="24"/>
          <w:szCs w:val="24"/>
        </w:rPr>
      </w:pPr>
      <w:r w:rsidRPr="0006081B">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Alexander Novak. “Hoy en día, Europa consume alrededor de 500.000 millones de metros cúbicos de gas al año, y el 40 % de esto proviene de Rusia”, ha destacado. La decisión no está tomada -ha dicho- pero “los políticos europeos, con sus reclamos y acusaciones, nos están empujando hacia ello”</w:t>
      </w:r>
      <w:r>
        <w:rPr>
          <w:rFonts w:ascii="Times New Roman" w:hAnsi="Times New Roman" w:cs="Times New Roman"/>
          <w:sz w:val="24"/>
          <w:szCs w:val="24"/>
        </w:rPr>
        <w:t>.</w:t>
      </w:r>
    </w:p>
    <w:p w:rsidR="00737DC2" w:rsidRDefault="00737DC2" w:rsidP="00737DC2">
      <w:pPr>
        <w:spacing w:line="240" w:lineRule="auto"/>
        <w:jc w:val="both"/>
        <w:rPr>
          <w:rFonts w:ascii="Times New Roman" w:hAnsi="Times New Roman" w:cs="Times New Roman"/>
          <w:sz w:val="24"/>
          <w:szCs w:val="24"/>
        </w:rPr>
      </w:pPr>
      <w:r>
        <w:rPr>
          <w:noProof/>
          <w:lang w:val="en-GB" w:eastAsia="zh-CN"/>
        </w:rPr>
        <w:drawing>
          <wp:inline distT="0" distB="0" distL="0" distR="0">
            <wp:extent cx="5734050" cy="3492500"/>
            <wp:effectExtent l="0" t="0" r="0" b="0"/>
            <wp:docPr id="255" name="Imagen 255"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3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90953"/>
                    </a:xfrm>
                    <a:prstGeom prst="rect">
                      <a:avLst/>
                    </a:prstGeom>
                    <a:noFill/>
                    <a:ln>
                      <a:noFill/>
                    </a:ln>
                  </pic:spPr>
                </pic:pic>
              </a:graphicData>
            </a:graphic>
          </wp:inline>
        </w:drawing>
      </w:r>
    </w:p>
    <w:p w:rsidR="00737DC2" w:rsidRPr="0022719C"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737DC2" w:rsidRPr="0022719C"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737DC2" w:rsidRPr="0022719C"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737DC2" w:rsidRPr="0022719C"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w:t>
      </w:r>
      <w:r>
        <w:rPr>
          <w:rFonts w:ascii="Times New Roman" w:hAnsi="Times New Roman" w:cs="Times New Roman"/>
          <w:sz w:val="24"/>
          <w:szCs w:val="24"/>
        </w:rPr>
        <w:t>tro de gas de Reino Unido, y EEUU</w:t>
      </w:r>
      <w:r w:rsidRPr="0022719C">
        <w:rPr>
          <w:rFonts w:ascii="Times New Roman" w:hAnsi="Times New Roman" w:cs="Times New Roman"/>
          <w:sz w:val="24"/>
          <w:szCs w:val="24"/>
        </w:rPr>
        <w:t xml:space="preserve"> no importa gas ruso.</w:t>
      </w:r>
    </w:p>
    <w:p w:rsidR="00737DC2"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737DC2" w:rsidRPr="0022719C"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737DC2" w:rsidRPr="0022719C"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737DC2"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737DC2" w:rsidRDefault="00737DC2" w:rsidP="00737DC2">
      <w:pPr>
        <w:spacing w:line="240" w:lineRule="auto"/>
        <w:jc w:val="both"/>
        <w:rPr>
          <w:rFonts w:ascii="Times New Roman" w:hAnsi="Times New Roman" w:cs="Times New Roman"/>
          <w:sz w:val="24"/>
          <w:szCs w:val="24"/>
        </w:rPr>
      </w:pPr>
      <w:r>
        <w:rPr>
          <w:noProof/>
          <w:lang w:val="en-GB" w:eastAsia="zh-CN"/>
        </w:rPr>
        <w:drawing>
          <wp:inline distT="0" distB="0" distL="0" distR="0">
            <wp:extent cx="5727700" cy="3467100"/>
            <wp:effectExtent l="0" t="0" r="6350" b="0"/>
            <wp:docPr id="256" name="Imagen 256"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3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69406"/>
                    </a:xfrm>
                    <a:prstGeom prst="rect">
                      <a:avLst/>
                    </a:prstGeom>
                    <a:noFill/>
                    <a:ln>
                      <a:noFill/>
                    </a:ln>
                  </pic:spPr>
                </pic:pic>
              </a:graphicData>
            </a:graphic>
          </wp:inline>
        </w:drawing>
      </w:r>
    </w:p>
    <w:p w:rsidR="00737DC2" w:rsidRPr="0022719C" w:rsidRDefault="00737DC2" w:rsidP="00737DC2">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737DC2" w:rsidRPr="0022719C"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737DC2" w:rsidRPr="000F4093"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093">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sidRPr="000F4093">
        <w:rPr>
          <w:rFonts w:ascii="Times New Roman" w:hAnsi="Times New Roman" w:cs="Times New Roman"/>
          <w:b/>
          <w:sz w:val="24"/>
          <w:szCs w:val="24"/>
        </w:rPr>
        <w:t>18/3/22</w:t>
      </w:r>
      <w:r>
        <w:rPr>
          <w:rFonts w:ascii="Times New Roman" w:hAnsi="Times New Roman" w:cs="Times New Roman"/>
          <w:sz w:val="24"/>
          <w:szCs w:val="24"/>
        </w:rPr>
        <w:t>)</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El 10% de la superficie agraria útil de España es erial y hay falta de relevo generacional; a la vez, el difícil acceso a la tierra frena la actividad</w:t>
      </w:r>
    </w:p>
    <w:p w:rsidR="00737DC2" w:rsidRPr="000F4093"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F4093">
        <w:rPr>
          <w:rFonts w:ascii="Times New Roman" w:hAnsi="Times New Roman" w:cs="Times New Roman"/>
          <w:sz w:val="24"/>
          <w:szCs w:val="24"/>
        </w:rPr>
        <w:t>Aurelio Medel Vicente</w:t>
      </w:r>
      <w:r>
        <w:rPr>
          <w:rFonts w:ascii="Times New Roman" w:hAnsi="Times New Roman" w:cs="Times New Roman"/>
          <w:sz w:val="24"/>
          <w:szCs w:val="24"/>
        </w:rPr>
        <w:t>)</w:t>
      </w:r>
    </w:p>
    <w:p w:rsidR="00737DC2" w:rsidRPr="00AA77B7" w:rsidRDefault="00737DC2" w:rsidP="00737DC2">
      <w:pPr>
        <w:spacing w:line="240" w:lineRule="auto"/>
        <w:jc w:val="both"/>
        <w:rPr>
          <w:rFonts w:ascii="Times New Roman" w:hAnsi="Times New Roman" w:cs="Times New Roman"/>
          <w:color w:val="FF0000"/>
          <w:sz w:val="24"/>
          <w:szCs w:val="24"/>
          <w:u w:val="single"/>
        </w:rPr>
      </w:pPr>
      <w:r w:rsidRPr="00AA77B7">
        <w:rPr>
          <w:rFonts w:ascii="Times New Roman" w:hAnsi="Times New Roman" w:cs="Times New Roman"/>
          <w:color w:val="FF0000"/>
          <w:sz w:val="24"/>
          <w:szCs w:val="24"/>
          <w:u w:val="single"/>
        </w:rPr>
        <w:t>La pandemia y la guerra de Ucrania ponen al descubierto los riesgos del abandono de productos básicos, como alimentos, confiando su producción a países capaces de suministrarlos a bajo precio. El abaratamiento y rapidez del transporte han hecho creer que da igual donde se produzca un bien, lo relevante es el coste (Made in China). Esta bendita globalización también ha multiplicado la capacidad de contagio de los virus y las guerras. El Covid-19 y el Putin-22 enseñan que ni el pan ni la democracia están garantizados.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Las generaciones de la EGB aprendieron que Ucrania es el granero de Europa. Ahora, con la invasión de Vladimir Putin, hasta en la barra del bar se sabe que España depende de Rusia y Ucrania en productos tan básicos como los cereales y el girasol, imprescindibles en la alimentación humana y animal. Tener petróleo y gas es cuestión de suerte; pero, ¡el tr</w:t>
      </w:r>
      <w:r>
        <w:rPr>
          <w:rFonts w:ascii="Times New Roman" w:hAnsi="Times New Roman" w:cs="Times New Roman"/>
          <w:sz w:val="24"/>
          <w:szCs w:val="24"/>
        </w:rPr>
        <w:t>igo!</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lastRenderedPageBreak/>
        <w:t>El déficit en productos básicos está ligado a décadas (1960-1990) primando la industria frente al campo, lo urbano versus lo rural. Después vino la incorporación de España a la UE (1986) y con ella a la Política Agraria Común (PAC) y el principio de que quien paga manda, dice qué se siembra y qué no. España tiene hoy un sector agrario muy atomizado, de baja rentabilidad, con poco peso en la economía nacional, pese a la enorme extensión que ocupa, y con problemas estructurales, algunos contradictorios, como que haya suelo de cultivo abandonad</w:t>
      </w:r>
      <w:r>
        <w:rPr>
          <w:rFonts w:ascii="Times New Roman" w:hAnsi="Times New Roman" w:cs="Times New Roman"/>
          <w:sz w:val="24"/>
          <w:szCs w:val="24"/>
        </w:rPr>
        <w:t>o y, a la vez, falta de tierra.</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España cuenta con 23 millones de hectáreas de superficie agraria útil (SAU), el 76% de secano y el 24% de regadío. De ese territorio, el 10%, 2,32 millones de hectáreas, se encuentran en estado de abandono, lo que supone que lleva más de cinco años en barbecho o ya es un erial, según datos del Fondo Español de Garantía Agraria (FEGA) de 2019. De esa superficie desaprovechada, tan solo el 9% eran pastos permanentes; el resto, tierras d</w:t>
      </w:r>
      <w:r>
        <w:rPr>
          <w:rFonts w:ascii="Times New Roman" w:hAnsi="Times New Roman" w:cs="Times New Roman"/>
          <w:sz w:val="24"/>
          <w:szCs w:val="24"/>
        </w:rPr>
        <w:t>e cultivo.</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Investigadores del Instituto Pirenaico de Ecología (CSIC), Teodoro Lasanta, Estela Nadal-Romero y Makki Khorchani, y la profesora de la Universidad de Murcia Asunción Romero-Díaz, publicaron en 2021 un estudio sobre las tierras abandonadas en España en el que detallaban una serie de causas socioeconómicas, ambientales y de gestión que explican este ab</w:t>
      </w:r>
      <w:r>
        <w:rPr>
          <w:rFonts w:ascii="Times New Roman" w:hAnsi="Times New Roman" w:cs="Times New Roman"/>
          <w:sz w:val="24"/>
          <w:szCs w:val="24"/>
        </w:rPr>
        <w:t>andono, entre las que destacan:</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1. La migración de la población rural hacia las ciudades y el enve</w:t>
      </w:r>
      <w:r>
        <w:rPr>
          <w:rFonts w:ascii="Times New Roman" w:hAnsi="Times New Roman" w:cs="Times New Roman"/>
          <w:sz w:val="24"/>
          <w:szCs w:val="24"/>
        </w:rPr>
        <w:t>jecimiento de la que permanece.</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2. Las innovaciones tecnológicas y la mecanización, que ha impulsado el abandono de laderas, campos pequeños y áreas poco acces</w:t>
      </w:r>
      <w:r>
        <w:rPr>
          <w:rFonts w:ascii="Times New Roman" w:hAnsi="Times New Roman" w:cs="Times New Roman"/>
          <w:sz w:val="24"/>
          <w:szCs w:val="24"/>
        </w:rPr>
        <w:t>ibles a la maquinaria agrícola.</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3. La baja productividad de algunos campos, por escasa fertilidad o suelos con horizontes poco desarrollados o </w:t>
      </w:r>
      <w:r>
        <w:rPr>
          <w:rFonts w:ascii="Times New Roman" w:hAnsi="Times New Roman" w:cs="Times New Roman"/>
          <w:sz w:val="24"/>
          <w:szCs w:val="24"/>
        </w:rPr>
        <w:t>muy pedregosos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4. La elevada competitividad de los mercados, lo que hace poco rentables algunos cu</w:t>
      </w:r>
      <w:r>
        <w:rPr>
          <w:rFonts w:ascii="Times New Roman" w:hAnsi="Times New Roman" w:cs="Times New Roman"/>
          <w:sz w:val="24"/>
          <w:szCs w:val="24"/>
        </w:rPr>
        <w:t>ltivos y algunas zonas rurales.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5. Los efectos de la PAC, que entre 1989 y 2008 incentivó el abandono de tierras agrícolas </w:t>
      </w:r>
      <w:r>
        <w:rPr>
          <w:rFonts w:ascii="Times New Roman" w:hAnsi="Times New Roman" w:cs="Times New Roman"/>
          <w:sz w:val="24"/>
          <w:szCs w:val="24"/>
        </w:rPr>
        <w:t>de forma permanente o temporal.</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6. El clima en ambientes semiáridos que reduce la productividad y aumenta la incertidumbre frente a l</w:t>
      </w:r>
      <w:r>
        <w:rPr>
          <w:rFonts w:ascii="Times New Roman" w:hAnsi="Times New Roman" w:cs="Times New Roman"/>
          <w:sz w:val="24"/>
          <w:szCs w:val="24"/>
        </w:rPr>
        <w:t>a irregularidad de las lluvias.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7. La existenc</w:t>
      </w:r>
      <w:r>
        <w:rPr>
          <w:rFonts w:ascii="Times New Roman" w:hAnsi="Times New Roman" w:cs="Times New Roman"/>
          <w:sz w:val="24"/>
          <w:szCs w:val="24"/>
        </w:rPr>
        <w:t>ia de ocupaciones alternativas.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8. Factores vinculados a la gestión: inadecuado manejo de explotaciones, sobreexplotación y salinización del suelo y/o de los acuíferos, etc. Estas razones para abandonar suelo útil conviven con que el acceso a la tierra sea la principal barrera de entrada de los jóvenes al sector agrícola, según un estudio realizado por la Comisión Europea. Por eso, el Ministerio de Agricultura, Pesca y Alimentación creó un Grupo Focal de Acceso a la Tierra que en 2020 elaboró un info</w:t>
      </w:r>
      <w:r>
        <w:rPr>
          <w:rFonts w:ascii="Times New Roman" w:hAnsi="Times New Roman" w:cs="Times New Roman"/>
          <w:sz w:val="24"/>
          <w:szCs w:val="24"/>
        </w:rPr>
        <w:t>rme para abordar este problema.</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superficie agraria española está gestionada por 945.000 explotaciones, con un tamaño medio de 25 hectáreas, el 93% propiedad de personas físicas. Se trata, por tanto, de un sector familiar. Esta característica, que es clave para vertebrar el territorio y fijar población, se convierte en “uno de los principales problemas que amenazan el futuro del sector agrario español, la falta de relevo generacional”, señala el estudio sobre el acceso a la tierra </w:t>
      </w:r>
      <w:r w:rsidRPr="000F4093">
        <w:rPr>
          <w:rFonts w:ascii="Times New Roman" w:hAnsi="Times New Roman" w:cs="Times New Roman"/>
          <w:sz w:val="24"/>
          <w:szCs w:val="24"/>
        </w:rPr>
        <w:lastRenderedPageBreak/>
        <w:t>elaborado por el Ministerio de Agricultura, Pesca y Alimentación. En España, por cada joven agricultor (menor de 40 años) hay casi cuatro mayores de 65 años, mientras que la media de la UE e</w:t>
      </w:r>
      <w:r>
        <w:rPr>
          <w:rFonts w:ascii="Times New Roman" w:hAnsi="Times New Roman" w:cs="Times New Roman"/>
          <w:sz w:val="24"/>
          <w:szCs w:val="24"/>
        </w:rPr>
        <w:t>s de un joven por tres mayores.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Para solventar esta situación de abandono de tierras y, a la vez, dificultad de acceso a las mismas, el Estado y las comunidades autónomas han promovido diferentes iniciativas, que no han dado grandes resultados. Todos tienen el mismo propósito, cultivar aquellas tierras que por una razón u otra han quedado abandonadas. No se trata solo de tierras de montaña de difícil explotación, hay bancos de tierras de regadío en Extremadura o en la huerta murciana, que se ofrecen para intermediar entre los propietarios que no las cultivan y </w:t>
      </w:r>
      <w:r>
        <w:rPr>
          <w:rFonts w:ascii="Times New Roman" w:hAnsi="Times New Roman" w:cs="Times New Roman"/>
          <w:sz w:val="24"/>
          <w:szCs w:val="24"/>
        </w:rPr>
        <w:t>los interesados en explotarlas.</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semana pasada el grupo Armanext, especializado en sacar compañías a Bolsa, presentó una iniciativa que encaja entre las soluciones que plantea el Estudio Sobre el Acceso a la Tierra, dar entrada a nuevos actores. Armanext sugiere extender la regulación de las socimi al sector agrario, como ya ocurre en otros países. En definitiva, como sucede en hoteles o centros comerciales, separar la propiedad del activo (edificio/tierra) de la gestión (la explotación), de manera que familias propietarias, pero desinteresadas en el sector agrícola, puedan arrendarlas a largo plazo a jóvenes o </w:t>
      </w:r>
      <w:r>
        <w:rPr>
          <w:rFonts w:ascii="Times New Roman" w:hAnsi="Times New Roman" w:cs="Times New Roman"/>
          <w:sz w:val="24"/>
          <w:szCs w:val="24"/>
        </w:rPr>
        <w:t>empresas para que las exploten.</w:t>
      </w:r>
    </w:p>
    <w:p w:rsidR="00737DC2" w:rsidRPr="000F4093" w:rsidRDefault="00737DC2" w:rsidP="00737DC2">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Esto facilitaría que, por ejemplo, el capital riesgo, que ya ha entrado en la industria agroalimentaria, dé un paso más y se interese por los cultivos e inyecte capital que facilite la modernización y ensanche el campo. Esto podría generar un círculo virtuoso, con explotación de tierras abandonadas, creación de empleo, sostenimiento de población en zonas rurales, reapertura de servicios públicos, revalorización del patrimonio rural y menor dependencia del exterior en productos básicos. Es un lujo absurdo tener un 10% del suelo cultivable como un erial, cualquier medida que lo movi</w:t>
      </w:r>
      <w:r>
        <w:rPr>
          <w:rFonts w:ascii="Times New Roman" w:hAnsi="Times New Roman" w:cs="Times New Roman"/>
          <w:sz w:val="24"/>
          <w:szCs w:val="24"/>
        </w:rPr>
        <w:t>lice debería ser bien recibida.</w:t>
      </w:r>
    </w:p>
    <w:p w:rsidR="00737DC2"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4093">
        <w:rPr>
          <w:rFonts w:ascii="Times New Roman" w:hAnsi="Times New Roman" w:cs="Times New Roman"/>
          <w:sz w:val="24"/>
          <w:szCs w:val="24"/>
        </w:rPr>
        <w:t>Aurelio Medel es Doctor en Ciencias de la Información. Profesor de la Universidad Complutense</w:t>
      </w:r>
      <w:r>
        <w:rPr>
          <w:rFonts w:ascii="Times New Roman" w:hAnsi="Times New Roman" w:cs="Times New Roman"/>
          <w:sz w:val="24"/>
          <w:szCs w:val="24"/>
        </w:rPr>
        <w:t>)</w:t>
      </w:r>
    </w:p>
    <w:p w:rsidR="00737DC2" w:rsidRPr="00B23ECC" w:rsidRDefault="00737DC2" w:rsidP="00737DC2">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Nota (18/3/22): Convulsión en los mercados agrarios (cuando la PAC hizo CRACK)</w:t>
      </w:r>
    </w:p>
    <w:p w:rsidR="00737DC2" w:rsidRPr="00B23ECC" w:rsidRDefault="00737DC2" w:rsidP="00737DC2">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cereal sube un 15% en una semana y pone en estado de alarma la inflación</w:t>
      </w:r>
    </w:p>
    <w:p w:rsidR="00737DC2" w:rsidRPr="00B23ECC" w:rsidRDefault="00737DC2" w:rsidP="00737DC2">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737DC2" w:rsidRPr="00B23ECC" w:rsidRDefault="00737DC2" w:rsidP="00737DC2">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La inflación cambia de teatro de operaciones. Si hasta hace pocos días eran las materias primas asociadas a la energía -petróleo, gas o electricidad-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marca niveles máximos no conocidos desde 2012, según el Consejo Internacional de Cereales.</w:t>
      </w:r>
    </w:p>
    <w:p w:rsidR="00737DC2" w:rsidRPr="00DB7E7F"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7E7F">
        <w:rPr>
          <w:rFonts w:ascii="Times New Roman" w:hAnsi="Times New Roman" w:cs="Times New Roman"/>
          <w:sz w:val="24"/>
          <w:szCs w:val="24"/>
          <w:u w:val="single"/>
        </w:rPr>
        <w:t>La OCDE señala a España como el país de la UE más dependiente del trigo de Ucrania</w:t>
      </w:r>
      <w:r>
        <w:rPr>
          <w:rFonts w:ascii="Times New Roman" w:hAnsi="Times New Roman" w:cs="Times New Roman"/>
          <w:sz w:val="24"/>
          <w:szCs w:val="24"/>
        </w:rPr>
        <w:t xml:space="preserve"> (Vozpópuli - </w:t>
      </w:r>
      <w:r w:rsidRPr="00DB7E7F">
        <w:rPr>
          <w:rFonts w:ascii="Times New Roman" w:hAnsi="Times New Roman" w:cs="Times New Roman"/>
          <w:b/>
          <w:sz w:val="24"/>
          <w:szCs w:val="24"/>
        </w:rPr>
        <w:t>18/3/22</w:t>
      </w:r>
      <w:r>
        <w:rPr>
          <w:rFonts w:ascii="Times New Roman" w:hAnsi="Times New Roman" w:cs="Times New Roman"/>
          <w:sz w:val="24"/>
          <w:szCs w:val="24"/>
        </w:rPr>
        <w:t>)</w:t>
      </w:r>
    </w:p>
    <w:p w:rsidR="00737DC2" w:rsidRPr="001B543D" w:rsidRDefault="00737DC2" w:rsidP="00737DC2">
      <w:pPr>
        <w:spacing w:line="240" w:lineRule="auto"/>
        <w:jc w:val="both"/>
        <w:rPr>
          <w:rFonts w:ascii="Times New Roman" w:hAnsi="Times New Roman" w:cs="Times New Roman"/>
          <w:color w:val="FF0000"/>
          <w:sz w:val="24"/>
          <w:szCs w:val="24"/>
        </w:rPr>
      </w:pPr>
      <w:r w:rsidRPr="001B543D">
        <w:rPr>
          <w:rFonts w:ascii="Times New Roman" w:hAnsi="Times New Roman" w:cs="Times New Roman"/>
          <w:color w:val="FF0000"/>
          <w:sz w:val="24"/>
          <w:szCs w:val="24"/>
        </w:rPr>
        <w:t>El 11% del trigo que importa España procede de Ucrania. La guerra con Rusia amenaza con generar problemas de abastecimiento en las materias primas que este país exporta, encareciendo los precios</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noProof/>
          <w:sz w:val="24"/>
          <w:szCs w:val="24"/>
          <w:lang w:val="en-GB" w:eastAsia="zh-CN"/>
        </w:rPr>
        <w:lastRenderedPageBreak/>
        <w:drawing>
          <wp:inline distT="0" distB="0" distL="0" distR="0">
            <wp:extent cx="5162550" cy="4616450"/>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5163271" cy="4617095"/>
                    </a:xfrm>
                    <a:prstGeom prst="rect">
                      <a:avLst/>
                    </a:prstGeom>
                  </pic:spPr>
                </pic:pic>
              </a:graphicData>
            </a:graphic>
          </wp:inline>
        </w:drawing>
      </w:r>
    </w:p>
    <w:p w:rsidR="00737DC2" w:rsidRPr="00DB7E7F"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(Por Beatriz Triguero)</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España es el país de la Unión Europea (UE) más dependiente del trigo ucraniano, una materia prima clave para la ganadería y la alimentación, según la Cooperación y el Desarrollo Económicos (OCDE). La guerra con Rusia amenaza con generar problemas de abas</w:t>
      </w:r>
      <w:r>
        <w:rPr>
          <w:rFonts w:ascii="Times New Roman" w:hAnsi="Times New Roman" w:cs="Times New Roman"/>
          <w:sz w:val="24"/>
          <w:szCs w:val="24"/>
        </w:rPr>
        <w:t>tecimiento desde el denominado “granero de Europa”</w:t>
      </w:r>
      <w:r w:rsidRPr="00DB7E7F">
        <w:rPr>
          <w:rFonts w:ascii="Times New Roman" w:hAnsi="Times New Roman" w:cs="Times New Roman"/>
          <w:sz w:val="24"/>
          <w:szCs w:val="24"/>
        </w:rPr>
        <w:t>, lo que hace que nuestro país sea más vulnerable al alza de precios que otros Estados miembros como Alemania, Italia o Francia.</w:t>
      </w:r>
    </w:p>
    <w:p w:rsidR="00737DC2"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En concreto, el 11% del trigo que España importó en 2019 procedía de Ucrania, frente al 1% de Alemania, el 2% de Francia y el 3% de Italia. Hay otros países europeos más expuestos a la escasez de trigo que España, como Grecia o Noruega, pero en esos casos son importadores de Rusia. Además, destacan varias economías de Oriente Medio en las que las importaciones de trigo de Rusia y Ucrania llegan a represent</w:t>
      </w:r>
      <w:r>
        <w:rPr>
          <w:rFonts w:ascii="Times New Roman" w:hAnsi="Times New Roman" w:cs="Times New Roman"/>
          <w:sz w:val="24"/>
          <w:szCs w:val="24"/>
        </w:rPr>
        <w:t>ar alrededor del 75% del total.</w:t>
      </w:r>
    </w:p>
    <w:p w:rsidR="00737DC2" w:rsidRPr="00DB7E7F" w:rsidRDefault="00737DC2" w:rsidP="00737DC2">
      <w:pPr>
        <w:spacing w:line="240" w:lineRule="auto"/>
        <w:jc w:val="both"/>
        <w:rPr>
          <w:rFonts w:ascii="Times New Roman" w:hAnsi="Times New Roman" w:cs="Times New Roman"/>
          <w:sz w:val="24"/>
          <w:szCs w:val="24"/>
        </w:rPr>
      </w:pPr>
      <w:r w:rsidRPr="00504021">
        <w:rPr>
          <w:rFonts w:ascii="Times New Roman" w:hAnsi="Times New Roman" w:cs="Times New Roman"/>
          <w:sz w:val="24"/>
          <w:szCs w:val="24"/>
          <w:u w:val="single"/>
        </w:rPr>
        <w:t>Rusia y Ucrania en conjunto representan alrededor del 30% de las exportaciones mundiales de trigo, según la OCDE. Esta materia prima es básica para la elaboración de algunos alimentos y para la dieta de los animales</w:t>
      </w:r>
      <w:r>
        <w:rPr>
          <w:rFonts w:ascii="Times New Roman" w:hAnsi="Times New Roman" w:cs="Times New Roman"/>
          <w:sz w:val="24"/>
          <w:szCs w:val="24"/>
        </w:rPr>
        <w:t>. “</w:t>
      </w:r>
      <w:r w:rsidRPr="00DB7E7F">
        <w:rPr>
          <w:rFonts w:ascii="Times New Roman" w:hAnsi="Times New Roman" w:cs="Times New Roman"/>
          <w:sz w:val="24"/>
          <w:szCs w:val="24"/>
        </w:rPr>
        <w:t>Un cese completo de las exportaciones de trigo de Rusia y Ucrania daría lugar a una grave escasez en muchas economías de mercados emergentes y en desarr</w:t>
      </w:r>
      <w:r>
        <w:rPr>
          <w:rFonts w:ascii="Times New Roman" w:hAnsi="Times New Roman" w:cs="Times New Roman"/>
          <w:sz w:val="24"/>
          <w:szCs w:val="24"/>
        </w:rPr>
        <w:t>ollo”</w:t>
      </w:r>
      <w:r w:rsidRPr="00DB7E7F">
        <w:rPr>
          <w:rFonts w:ascii="Times New Roman" w:hAnsi="Times New Roman" w:cs="Times New Roman"/>
          <w:sz w:val="24"/>
          <w:szCs w:val="24"/>
        </w:rPr>
        <w:t>, alerta en un informe publicado este jueves sobre el impacto económico y las implicaciones pol</w:t>
      </w:r>
      <w:r>
        <w:rPr>
          <w:rFonts w:ascii="Times New Roman" w:hAnsi="Times New Roman" w:cs="Times New Roman"/>
          <w:sz w:val="24"/>
          <w:szCs w:val="24"/>
        </w:rPr>
        <w:t>íticas de la guerra en Ucrania.</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La organización internacional a</w:t>
      </w:r>
      <w:r>
        <w:rPr>
          <w:rFonts w:ascii="Times New Roman" w:hAnsi="Times New Roman" w:cs="Times New Roman"/>
          <w:sz w:val="24"/>
          <w:szCs w:val="24"/>
        </w:rPr>
        <w:t>dvierte que si esto ocurriera, “</w:t>
      </w:r>
      <w:r w:rsidRPr="00DB7E7F">
        <w:rPr>
          <w:rFonts w:ascii="Times New Roman" w:hAnsi="Times New Roman" w:cs="Times New Roman"/>
          <w:sz w:val="24"/>
          <w:szCs w:val="24"/>
        </w:rPr>
        <w:t xml:space="preserve">existiría un riesgo agudo no solo de crisis económicas en algunos países, sino también de desastres humanitarios, con un </w:t>
      </w:r>
      <w:r w:rsidRPr="00DB7E7F">
        <w:rPr>
          <w:rFonts w:ascii="Times New Roman" w:hAnsi="Times New Roman" w:cs="Times New Roman"/>
          <w:sz w:val="24"/>
          <w:szCs w:val="24"/>
        </w:rPr>
        <w:lastRenderedPageBreak/>
        <w:t>fuerte au</w:t>
      </w:r>
      <w:r>
        <w:rPr>
          <w:rFonts w:ascii="Times New Roman" w:hAnsi="Times New Roman" w:cs="Times New Roman"/>
          <w:sz w:val="24"/>
          <w:szCs w:val="24"/>
        </w:rPr>
        <w:t>mento de la pobreza y el hambre”. Además, “</w:t>
      </w:r>
      <w:r w:rsidRPr="00DB7E7F">
        <w:rPr>
          <w:rFonts w:ascii="Times New Roman" w:hAnsi="Times New Roman" w:cs="Times New Roman"/>
          <w:sz w:val="24"/>
          <w:szCs w:val="24"/>
        </w:rPr>
        <w:t>la interrupción en la fabricación de fertilizantes corre el riesgo de hacer que estas interrupciones sean más duraderas, al poner bajo presión el suministro agrícola de los pr</w:t>
      </w:r>
      <w:r>
        <w:rPr>
          <w:rFonts w:ascii="Times New Roman" w:hAnsi="Times New Roman" w:cs="Times New Roman"/>
          <w:sz w:val="24"/>
          <w:szCs w:val="24"/>
        </w:rPr>
        <w:t>óximos años”, añade.</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Los precios hacen saltar las alarmas</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Índice de Precios de Consumo (IPC) ya refleja un alza en los precios de los productos que dependen del trigo. Las harinas y otros cereales fueron en febrero un 11,7% más cara que un año antes, mientras que el pan y otros productos de panadería se encarecieron un 6,4% y 7,4%, respectivamente. Además, los alimentos para bebé, compuestos en su mayoría de cereales, subieron sus precio</w:t>
      </w:r>
      <w:r>
        <w:rPr>
          <w:rFonts w:ascii="Times New Roman" w:hAnsi="Times New Roman" w:cs="Times New Roman"/>
          <w:sz w:val="24"/>
          <w:szCs w:val="24"/>
        </w:rPr>
        <w:t>s un 10,5% en términos anuales.</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su informe, la OCDE también refleja que los hogares vulnerables en España están más expuestos a una subida en los precios de la energía y los alimentos que los de otros países como Francia o Alemania. Para analizar el impacto de la inflación en los hogares, la OCDE divide a la población por quintiles y mide la proporción de sus ingresos que </w:t>
      </w:r>
      <w:r>
        <w:rPr>
          <w:rFonts w:ascii="Times New Roman" w:hAnsi="Times New Roman" w:cs="Times New Roman"/>
          <w:sz w:val="24"/>
          <w:szCs w:val="24"/>
        </w:rPr>
        <w:t xml:space="preserve">gastan en energía y alimentos. </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El primer quintil, que representa a los individuos con mayor nivel de pobreza, </w:t>
      </w:r>
      <w:proofErr w:type="gramStart"/>
      <w:r w:rsidRPr="00DB7E7F">
        <w:rPr>
          <w:rFonts w:ascii="Times New Roman" w:hAnsi="Times New Roman" w:cs="Times New Roman"/>
          <w:sz w:val="24"/>
          <w:szCs w:val="24"/>
        </w:rPr>
        <w:t>tienen</w:t>
      </w:r>
      <w:proofErr w:type="gramEnd"/>
      <w:r w:rsidRPr="00DB7E7F">
        <w:rPr>
          <w:rFonts w:ascii="Times New Roman" w:hAnsi="Times New Roman" w:cs="Times New Roman"/>
          <w:sz w:val="24"/>
          <w:szCs w:val="24"/>
        </w:rPr>
        <w:t xml:space="preserve"> una exposición a los alimentos y la energía próxima al 25% en España, frente al 23% de Alemania y el 20% de Francia. Nuestro país también está ligeramente por encima de la media de la Unión Europea (UE). Por encima de España en lo que a vulnerabilidad de los hogares españoles se refiere están Grecia, Portugal y los países del Este de</w:t>
      </w:r>
      <w:r>
        <w:rPr>
          <w:rFonts w:ascii="Times New Roman" w:hAnsi="Times New Roman" w:cs="Times New Roman"/>
          <w:sz w:val="24"/>
          <w:szCs w:val="24"/>
        </w:rPr>
        <w:t xml:space="preserve"> Europa.</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Como solución, la OCDE apunta que si bien las rebajas fiscales en los precios energéticos y los límites de precios reducen directamente el coste, también benefician a los hogares de mayores ingresos. Por ese motivo, </w:t>
      </w:r>
      <w:r>
        <w:rPr>
          <w:rFonts w:ascii="Times New Roman" w:hAnsi="Times New Roman" w:cs="Times New Roman"/>
          <w:sz w:val="24"/>
          <w:szCs w:val="24"/>
        </w:rPr>
        <w:t>“</w:t>
      </w:r>
      <w:r w:rsidRPr="00DB7E7F">
        <w:rPr>
          <w:rFonts w:ascii="Times New Roman" w:hAnsi="Times New Roman" w:cs="Times New Roman"/>
          <w:sz w:val="24"/>
          <w:szCs w:val="24"/>
        </w:rPr>
        <w:t>las ayudas directas pueden orientarse mejor y tener mayores efectos multiplicadores si se enfocan en los hogares de ingresos bajos y medios, aunque puede lle</w:t>
      </w:r>
      <w:r>
        <w:rPr>
          <w:rFonts w:ascii="Times New Roman" w:hAnsi="Times New Roman" w:cs="Times New Roman"/>
          <w:sz w:val="24"/>
          <w:szCs w:val="24"/>
        </w:rPr>
        <w:t>var más tiempo implementarlas”.</w:t>
      </w:r>
    </w:p>
    <w:p w:rsidR="00737DC2" w:rsidRPr="00DB7E7F"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panel de Funcas, que agrupa las estimaciones de una veintena de organismos económicos, ha elevado en 1,9 puntos la inflación media estimada para este año, del 3,5% estimado en enero al 5,4%. También ha incrementado ocho décimas la inflación subyacente (sin energía ni alimentos fresc</w:t>
      </w:r>
      <w:r>
        <w:rPr>
          <w:rFonts w:ascii="Times New Roman" w:hAnsi="Times New Roman" w:cs="Times New Roman"/>
          <w:sz w:val="24"/>
          <w:szCs w:val="24"/>
        </w:rPr>
        <w:t>os) hasta situarla en el 2,8%. “</w:t>
      </w:r>
      <w:r w:rsidRPr="00DB7E7F">
        <w:rPr>
          <w:rFonts w:ascii="Times New Roman" w:hAnsi="Times New Roman" w:cs="Times New Roman"/>
          <w:sz w:val="24"/>
          <w:szCs w:val="24"/>
        </w:rPr>
        <w:t>Las tensiones alcistas preexistentes, derivadas del encarecimiento de las materias primas y los cuellos de botella, se han agudizado tras la invasión de Ucrania, volviendo el panorama inflacioni</w:t>
      </w:r>
      <w:r>
        <w:rPr>
          <w:rFonts w:ascii="Times New Roman" w:hAnsi="Times New Roman" w:cs="Times New Roman"/>
          <w:sz w:val="24"/>
          <w:szCs w:val="24"/>
        </w:rPr>
        <w:t>sta aún más incierto”, señalan.</w:t>
      </w:r>
    </w:p>
    <w:p w:rsidR="00737DC2" w:rsidRDefault="00737DC2" w:rsidP="00737DC2">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Funcas explica que la economía mundial se enfrenta a un shock de oferta como consecuencia del impacto de la contienda en los mercados de la energía y de o</w:t>
      </w:r>
      <w:r>
        <w:rPr>
          <w:rFonts w:ascii="Times New Roman" w:hAnsi="Times New Roman" w:cs="Times New Roman"/>
          <w:sz w:val="24"/>
          <w:szCs w:val="24"/>
        </w:rPr>
        <w:t>tros recursos naturales clave. “</w:t>
      </w:r>
      <w:r w:rsidRPr="00DB7E7F">
        <w:rPr>
          <w:rFonts w:ascii="Times New Roman" w:hAnsi="Times New Roman" w:cs="Times New Roman"/>
          <w:sz w:val="24"/>
          <w:szCs w:val="24"/>
        </w:rPr>
        <w:t>La opinión mayoritaria es netamente pesimista con respecto al contexto internacional, tanto en la UE como fuera de ella. Además, prácticamente todos consideran que ese contexto se mantendrá en los próxi</w:t>
      </w:r>
      <w:r>
        <w:rPr>
          <w:rFonts w:ascii="Times New Roman" w:hAnsi="Times New Roman" w:cs="Times New Roman"/>
          <w:sz w:val="24"/>
          <w:szCs w:val="24"/>
        </w:rPr>
        <w:t>mos meses, o incluso irá a peor”</w:t>
      </w:r>
      <w:r w:rsidRPr="00DB7E7F">
        <w:rPr>
          <w:rFonts w:ascii="Times New Roman" w:hAnsi="Times New Roman" w:cs="Times New Roman"/>
          <w:sz w:val="24"/>
          <w:szCs w:val="24"/>
        </w:rPr>
        <w:t>, sentencian.</w:t>
      </w:r>
    </w:p>
    <w:p w:rsidR="00737DC2" w:rsidRPr="00D86B3A" w:rsidRDefault="00737DC2" w:rsidP="00737DC2">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Guerra en un mundo que representa nada</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motor de guerra de Vladimir Putin está siendo sostenido no solo por los pagos europeos por el petróleo y el gas rusos, sino también por una clase cómplice de “lumpen-burguesía” motivada únicamente por las trampas de la riqueza material. Los ucranianos, y todos los demás, están aprendiendo por las malas cómo el capitalismo global triunfa sobre la democracia y los derechos humanos.</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lastRenderedPageBreak/>
        <w:t>Los llamados oligarcas en Rusia y otros países excomunistas son una contraparte burguesa de lo que Marx llamó el lumpen-proletariado: una cohorte irreflexiva susceptible de manipulación política porque sus miembros no tienen conciencia de clase o potencial revolucionario propio. Sin embargo, a diferencia del proletariado, la lumpen-burguesía que surgió en estos países a partir de finales de la década de 1980 controla el capital -mucho- gracias a la salvaje “privatización” de los activos estatales.</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Un caso ejemplar es el de Rok Snežič, colaborador y amigo del primer ministro de derecha de Eslovenia, Janez Janša. Como “asesor fiscal independiente”, Snežič ayuda a las empresas eslovenas a cambiar su domicilio en la jurisdicción de impuestos más bajos de la República Srpska (la parte serbia de Bosnia y Herzegovina). Aparentemente no tiene posesiones privadas y ha borrado sus propias facturas de impuestos anteriores al declararse en bancarrota.</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Sin embargo, Snežič también se pasea en autos nuevos de lujo y tiene los medios para pagar anuncios publicitarios gigantes. Es empleado oficial de una empresa propiedad de su esposa, donde recibe un salario mensual de 37.362 euros (40.346 dólares) en efectivo…</w:t>
      </w:r>
    </w:p>
    <w:p w:rsidR="00737DC2" w:rsidRPr="00D86B3A"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D86B3A">
        <w:rPr>
          <w:rFonts w:ascii="Times New Roman" w:hAnsi="Times New Roman" w:cs="Times New Roman"/>
          <w:b/>
          <w:sz w:val="24"/>
          <w:szCs w:val="24"/>
        </w:rPr>
        <w:t>ntre discursos y mentiras</w:t>
      </w:r>
      <w:r>
        <w:rPr>
          <w:rFonts w:ascii="Times New Roman" w:hAnsi="Times New Roman" w:cs="Times New Roman"/>
          <w:b/>
          <w:sz w:val="24"/>
          <w:szCs w:val="24"/>
        </w:rPr>
        <w:t xml:space="preserve"> (Agenda 2030, Gran Reseteo, capitalismo inclusivo</w:t>
      </w:r>
      <w:r w:rsidRPr="00D86B3A">
        <w:rPr>
          <w:rFonts w:ascii="Times New Roman" w:hAnsi="Times New Roman" w:cs="Times New Roman"/>
          <w:b/>
          <w:sz w:val="24"/>
          <w:szCs w:val="24"/>
        </w:rPr>
        <w:t>…</w:t>
      </w:r>
      <w:r>
        <w:rPr>
          <w:rFonts w:ascii="Times New Roman" w:hAnsi="Times New Roman" w:cs="Times New Roman"/>
          <w:b/>
          <w:sz w:val="24"/>
          <w:szCs w:val="24"/>
        </w:rPr>
        <w:t>)</w:t>
      </w:r>
      <w:r w:rsidRPr="00D86B3A">
        <w:rPr>
          <w:rFonts w:ascii="Times New Roman" w:hAnsi="Times New Roman" w:cs="Times New Roman"/>
          <w:b/>
          <w:sz w:val="24"/>
          <w:szCs w:val="24"/>
        </w:rPr>
        <w:t xml:space="preserve"> la </w:t>
      </w:r>
      <w:r>
        <w:rPr>
          <w:rFonts w:ascii="Times New Roman" w:hAnsi="Times New Roman" w:cs="Times New Roman"/>
          <w:b/>
          <w:sz w:val="24"/>
          <w:szCs w:val="24"/>
        </w:rPr>
        <w:t>“</w:t>
      </w:r>
      <w:r w:rsidRPr="00D86B3A">
        <w:rPr>
          <w:rFonts w:ascii="Times New Roman" w:hAnsi="Times New Roman" w:cs="Times New Roman"/>
          <w:b/>
          <w:sz w:val="24"/>
          <w:szCs w:val="24"/>
        </w:rPr>
        <w:t>economía virtual</w:t>
      </w:r>
      <w:r>
        <w:rPr>
          <w:rFonts w:ascii="Times New Roman" w:hAnsi="Times New Roman" w:cs="Times New Roman"/>
          <w:b/>
          <w:sz w:val="24"/>
          <w:szCs w:val="24"/>
        </w:rPr>
        <w:t>”</w:t>
      </w:r>
      <w:r w:rsidRPr="00D86B3A">
        <w:rPr>
          <w:rFonts w:ascii="Times New Roman" w:hAnsi="Times New Roman" w:cs="Times New Roman"/>
          <w:b/>
          <w:sz w:val="24"/>
          <w:szCs w:val="24"/>
        </w:rPr>
        <w:t xml:space="preserve"> no aliviará que seamos más pobres, más frágiles, más dependientes, y con toda probabilidad, menos libres</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“La crisis económica no es una curva sino una pendiente. Y no son sólo las fuentes energéticas si no el conjunto. Cuando el optimismo de Francis Fukuyama reinventó el final de la historia -una bella imagen del nuevo mundo del capitalismo liberal- señaló como primordial la idea del mercado globalizado. Sin globalización no había paraíso. El 24 de febrero de 2022 (cuando Rusia invadió Ucrania) se rajó el molde globalizador y desde entonces se van cayendo las piezas de ese puzle que se imaginaba tan irreversible como eterno”, dice Gregorio Morán en un artículo publicado en Voxpópuli - </w:t>
      </w:r>
      <w:r w:rsidRPr="00D86B3A">
        <w:rPr>
          <w:rFonts w:ascii="Times New Roman" w:hAnsi="Times New Roman" w:cs="Times New Roman"/>
          <w:b/>
          <w:sz w:val="24"/>
          <w:szCs w:val="24"/>
        </w:rPr>
        <w:t>28/5/22</w:t>
      </w:r>
      <w:r w:rsidRPr="00D86B3A">
        <w:rPr>
          <w:rFonts w:ascii="Times New Roman" w:hAnsi="Times New Roman" w:cs="Times New Roman"/>
          <w:sz w:val="24"/>
          <w:szCs w:val="24"/>
        </w:rPr>
        <w:t>.</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Cuesta creer que el think tank del World Economic Forum</w:t>
      </w:r>
      <w:r>
        <w:rPr>
          <w:rFonts w:ascii="Times New Roman" w:hAnsi="Times New Roman" w:cs="Times New Roman"/>
          <w:sz w:val="24"/>
          <w:szCs w:val="24"/>
        </w:rPr>
        <w:t xml:space="preserve"> (Agenda 2030, Gran Reseteo, “capitalismo entre las partes”, “no poseerás nada y serás feliz”…) pueda ser</w:t>
      </w:r>
      <w:r w:rsidRPr="00D86B3A">
        <w:rPr>
          <w:rFonts w:ascii="Times New Roman" w:hAnsi="Times New Roman" w:cs="Times New Roman"/>
          <w:sz w:val="24"/>
          <w:szCs w:val="24"/>
        </w:rPr>
        <w:t xml:space="preserve"> el cerebro espongiforme de toda esta chapuza, me inclino por pensar que solo son un pelele manejado por los “amos del </w:t>
      </w:r>
      <w:r>
        <w:rPr>
          <w:rFonts w:ascii="Times New Roman" w:hAnsi="Times New Roman" w:cs="Times New Roman"/>
          <w:sz w:val="24"/>
          <w:szCs w:val="24"/>
        </w:rPr>
        <w:t>universo” (que suelen frecuentar el sarao anual de</w:t>
      </w:r>
      <w:r w:rsidRPr="00D86B3A">
        <w:rPr>
          <w:rFonts w:ascii="Times New Roman" w:hAnsi="Times New Roman" w:cs="Times New Roman"/>
          <w:sz w:val="24"/>
          <w:szCs w:val="24"/>
        </w:rPr>
        <w:t xml:space="preserve"> Davos). </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A lo sumo Klaus Schwab, asume el papel de Arthur Neville Chambe</w:t>
      </w:r>
      <w:r>
        <w:rPr>
          <w:rFonts w:ascii="Times New Roman" w:hAnsi="Times New Roman" w:cs="Times New Roman"/>
          <w:sz w:val="24"/>
          <w:szCs w:val="24"/>
        </w:rPr>
        <w:t>r</w:t>
      </w:r>
      <w:r w:rsidRPr="00D86B3A">
        <w:rPr>
          <w:rFonts w:ascii="Times New Roman" w:hAnsi="Times New Roman" w:cs="Times New Roman"/>
          <w:sz w:val="24"/>
          <w:szCs w:val="24"/>
        </w:rPr>
        <w:t xml:space="preserve">lain, como encargado de firmar con China el tratado (claudicación) por el cual se resigna la “libertad” (de Occidente), a cambio de mantener la “seguridad” (de una economía de casino).  </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bCs/>
          <w:sz w:val="24"/>
          <w:szCs w:val="24"/>
          <w:shd w:val="clear" w:color="auto" w:fill="FFFFFF"/>
        </w:rPr>
        <w:t>El tratado de Múnich, celebrado en 1938 entre Inglaterra -representada por su primer ministro Chamberlain- y Francia, por un lado, con la Alemania de Hitler. En esas circunstancias, Inglaterra y Francia permitieron que Hitler invadiera parte de Checoslovaquia para evitar la guerra, que llegó un año después cuando el dictador invadió Polonia.  </w:t>
      </w:r>
    </w:p>
    <w:p w:rsidR="00737DC2" w:rsidRPr="00D86B3A" w:rsidRDefault="00737DC2" w:rsidP="00737DC2">
      <w:pPr>
        <w:spacing w:line="240" w:lineRule="auto"/>
        <w:jc w:val="both"/>
        <w:rPr>
          <w:rFonts w:ascii="Times New Roman" w:hAnsi="Times New Roman" w:cs="Times New Roman"/>
          <w:bCs/>
          <w:sz w:val="24"/>
          <w:szCs w:val="24"/>
          <w:shd w:val="clear" w:color="auto" w:fill="FFFFFF"/>
        </w:rPr>
      </w:pPr>
      <w:r w:rsidRPr="00D86B3A">
        <w:rPr>
          <w:rFonts w:ascii="Times New Roman" w:hAnsi="Times New Roman" w:cs="Times New Roman"/>
          <w:bCs/>
          <w:sz w:val="24"/>
          <w:szCs w:val="24"/>
          <w:shd w:val="clear" w:color="auto" w:fill="FFFFFF"/>
        </w:rPr>
        <w:t>Curiosa nostalgia, en pleno siglo XXI, de un sistema que estuvo caracterizado por el culto a la personalidad, como todo sistema dictatorial, basado en el miedo y el terror implacable, en el adoctrinamiento masivo a través del Libro rojo de Mao, la muerte de millones de personas por la gran hambruna, las purgas, la persecución. Y, como broche turístico, le sugiero visit</w:t>
      </w:r>
      <w:r>
        <w:rPr>
          <w:rFonts w:ascii="Times New Roman" w:hAnsi="Times New Roman" w:cs="Times New Roman"/>
          <w:bCs/>
          <w:sz w:val="24"/>
          <w:szCs w:val="24"/>
          <w:shd w:val="clear" w:color="auto" w:fill="FFFFFF"/>
        </w:rPr>
        <w:t>ar la plaza de Plaza de Tiananmé</w:t>
      </w:r>
      <w:r w:rsidRPr="00D86B3A">
        <w:rPr>
          <w:rFonts w:ascii="Times New Roman" w:hAnsi="Times New Roman" w:cs="Times New Roman"/>
          <w:bCs/>
          <w:sz w:val="24"/>
          <w:szCs w:val="24"/>
          <w:shd w:val="clear" w:color="auto" w:fill="FFFFFF"/>
        </w:rPr>
        <w:t>n, en donde el régimen masacró a miles de estudiantes, por el solo hecho de pedir cambios a través de una manifestación pacífica.  </w:t>
      </w:r>
    </w:p>
    <w:p w:rsidR="00737DC2" w:rsidRPr="00D86B3A"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Y todos esos errores, pérdidas, derrotas, claudicaciones, y humillaciones, que ha provocado el proceso de globalización económica desde 1980 (Reagan-Thatcher), hasta abril del año 2022 </w:t>
      </w:r>
      <w:r w:rsidRPr="00D86B3A">
        <w:rPr>
          <w:rFonts w:ascii="Times New Roman" w:hAnsi="Times New Roman" w:cs="Times New Roman"/>
          <w:sz w:val="24"/>
          <w:szCs w:val="24"/>
        </w:rPr>
        <w:lastRenderedPageBreak/>
        <w:t xml:space="preserve">(crisis financiera del año 2008, crisis sanitaria del año 2020, crisis de oferta, interrupciones de la cadena de suministro global, inflación, guerra de Ucrania, aumento de la incertidumbre, los precios de la energía y las materias primas, estanflación y, más pronto que tarde, recesión - (subidas de tipos y reducción de balance, por parte de los bancos centrales para llevar a la inflación de vuelta a la meta)…  rescatados de la “maldita hemeroteca”, o sugeridos en mis “comentarios al margen”… ¿en beneficio de quién fueron realizadas?, o cómo decía Lenin: “¿quién beneficia a quién?”... </w:t>
      </w:r>
    </w:p>
    <w:p w:rsidR="00737DC2" w:rsidRDefault="00737DC2" w:rsidP="00737DC2">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Sigamos las “huellas” dejadas por The World Economic Forum, en la Montaña Mágica de Davos</w:t>
      </w:r>
      <w:r>
        <w:rPr>
          <w:rFonts w:ascii="Times New Roman" w:hAnsi="Times New Roman" w:cs="Times New Roman"/>
          <w:sz w:val="24"/>
          <w:szCs w:val="24"/>
        </w:rPr>
        <w:t>,</w:t>
      </w:r>
      <w:r w:rsidRPr="00D86B3A">
        <w:rPr>
          <w:rFonts w:ascii="Times New Roman" w:hAnsi="Times New Roman" w:cs="Times New Roman"/>
          <w:sz w:val="24"/>
          <w:szCs w:val="24"/>
        </w:rPr>
        <w:t xml:space="preserve"> para descubrirlo: el mundo según Xi Jinping (Partido Comunista de China): “En 2030, no tendrás nada y serás feliz”… todos los dilemas de la globalización serán resueltos con el Gran Reseteo. “Sic transit, gloria mundi” (y a quien Dios se la dé, San Pedro se la bendiga). </w:t>
      </w:r>
    </w:p>
    <w:p w:rsidR="00737DC2" w:rsidRPr="005A1498" w:rsidRDefault="00737DC2" w:rsidP="00737DC2">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El Covid y la guerra aceleran la tendencia</w:t>
      </w:r>
    </w:p>
    <w:p w:rsidR="00737DC2" w:rsidRPr="005A1498" w:rsidRDefault="00737DC2" w:rsidP="00737DC2">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guerra de Ucrania ha ahondado más en la tendencia a revertir la globalización que se inició con el Covid. La consecuencia más evidente es el aumento de costes y precios</w:t>
      </w:r>
      <w:r>
        <w:rPr>
          <w:rFonts w:ascii="Times New Roman" w:hAnsi="Times New Roman" w:cs="Times New Roman"/>
          <w:sz w:val="24"/>
          <w:szCs w:val="24"/>
        </w:rPr>
        <w:t>.</w:t>
      </w:r>
    </w:p>
    <w:p w:rsidR="00737DC2" w:rsidRPr="005A1498" w:rsidRDefault="00737DC2" w:rsidP="00737DC2">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El mundo tiende hacia una desglobalización. Al menos, esto es lo que prevén las grandes casas de inversión y análisis, que esperan una reversión del proceso de globalización de las décadas anteriores. Pero el Covid, primero, y la guerra de Ucrania por la invasión rusa, después, suponen un punto de inflexión que amenaza con más presiones inflacionistas.</w:t>
      </w:r>
    </w:p>
    <w:p w:rsidR="00737DC2" w:rsidRPr="005A1498" w:rsidRDefault="00737DC2" w:rsidP="00737DC2">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Puede que estemos ante una etapa inversa de la integración corporativa en las cadenas de valor globales, que se o</w:t>
      </w:r>
      <w:r>
        <w:rPr>
          <w:rFonts w:ascii="Times New Roman" w:hAnsi="Times New Roman" w:cs="Times New Roman"/>
          <w:sz w:val="24"/>
          <w:szCs w:val="24"/>
        </w:rPr>
        <w:t>rdenaron con base en el modelo “just-in-time”</w:t>
      </w:r>
      <w:r w:rsidRPr="005A1498">
        <w:rPr>
          <w:rFonts w:ascii="Times New Roman" w:hAnsi="Times New Roman" w:cs="Times New Roman"/>
          <w:sz w:val="24"/>
          <w:szCs w:val="24"/>
        </w:rPr>
        <w:t xml:space="preserve">, por el que la rentabilidad se impuso a la resistencia. Las conexiones con otras regiones del mundo se incrementaron, y normalizaron que traer o llevar un producto de una punta a otra del globo pareciera fácil -e incluso gratuito- pese a la complejidad de estas grandes redes. </w:t>
      </w:r>
    </w:p>
    <w:p w:rsidR="00737DC2" w:rsidRPr="005A1498" w:rsidRDefault="00737DC2" w:rsidP="00737DC2">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reorganización del comercio mundial abrirá oportunidades para las economías mundiales, sobre todo de cara al acercamiento de la producción y el cambio al modelo just-in-case. </w:t>
      </w:r>
    </w:p>
    <w:p w:rsidR="00737DC2" w:rsidRPr="005A1498" w:rsidRDefault="00737DC2" w:rsidP="00737DC2">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 xml:space="preserve">El “unicornio” azul y el onanismo de la memoria </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Cuando uno ha sobrevivido a dos o tres generaciones se siente como si estuviera en un circo viendo a un saltimbanqui realizar, una y otra vez, las mismas acrobacias. Hay ciertas pantomimas que están hechas para sorprender solo una vez; después fatigan y desilusionan.</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Viejos trucos de chistera (reciclados) ejecutados por prestidigitadores novatos. Atrapados en una pesadilla circular, nos parece que pasamos una y otra vez por el mismo lugar, donde se están cometiendo las mismas fechorías y pronunciando los mismos camelos, pero se trata en realidad de una espiral descendente: en cada vuelta, todo está más degradado. </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Sus errores se acelerarán con las prisas por enmendar yerros que la desesperación provoca en aquellos que han hecho de la mentira su faro y de la improvisación su única estrategia.</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Es notable el deterioro en los recursos argumentales, las mentiras se deshacen en el aire minutos después de haber sido pronunciadas, mientras los “Rasputines” de Silicon Valley, y los “Maquiavelos” del Wall Street, continúan intentando “empujar la soga”, defender sistemas políticos predemocráticos (o directamente, dictatoriales), sostener sistemas económicos premodernos (o directamente, medievales), porque, en su partida de tahúres, lo único que les importa es mantener la supervivencia de sus negocios.  </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lastRenderedPageBreak/>
        <w:t>El su flagrante atropello a todas las libertades, en su brutal indiferencia por la democracia verdadera, en su absurda ignorancia por la economía real, intentan convencer al ciudadano (abducido, intoxicado, desinformado, vigilado, controlado, manipulado, desempleado, o con empleo precario, temporal y estacional, de escaso valor añadido) que lo único importante en su vida es: ¡“estar conectados”! (menuda ilusión).</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Mientras qué, los devotos del mito de “estar conectados” (¿adolescentes eternos? ¿</w:t>
      </w:r>
      <w:proofErr w:type="gramStart"/>
      <w:r w:rsidRPr="008C18BF">
        <w:rPr>
          <w:rFonts w:ascii="Times New Roman" w:hAnsi="Times New Roman" w:cs="Times New Roman"/>
          <w:sz w:val="24"/>
          <w:szCs w:val="24"/>
        </w:rPr>
        <w:t>idiotas</w:t>
      </w:r>
      <w:proofErr w:type="gramEnd"/>
      <w:r w:rsidRPr="008C18BF">
        <w:rPr>
          <w:rFonts w:ascii="Times New Roman" w:hAnsi="Times New Roman" w:cs="Times New Roman"/>
          <w:sz w:val="24"/>
          <w:szCs w:val="24"/>
        </w:rPr>
        <w:t xml:space="preserve"> útiles? ¿</w:t>
      </w:r>
      <w:proofErr w:type="gramStart"/>
      <w:r w:rsidRPr="008C18BF">
        <w:rPr>
          <w:rFonts w:ascii="Times New Roman" w:hAnsi="Times New Roman" w:cs="Times New Roman"/>
          <w:sz w:val="24"/>
          <w:szCs w:val="24"/>
        </w:rPr>
        <w:t>esclavos</w:t>
      </w:r>
      <w:proofErr w:type="gramEnd"/>
      <w:r w:rsidRPr="008C18BF">
        <w:rPr>
          <w:rFonts w:ascii="Times New Roman" w:hAnsi="Times New Roman" w:cs="Times New Roman"/>
          <w:sz w:val="24"/>
          <w:szCs w:val="24"/>
        </w:rPr>
        <w:t xml:space="preserve"> felices?), vampirizados, siguen acumulando más ignorancia y más pobreza. Si no fuera tan dramático, hasta resultaría cómico y caricaturesco.</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En el largo </w:t>
      </w:r>
      <w:r>
        <w:rPr>
          <w:rFonts w:ascii="Times New Roman" w:hAnsi="Times New Roman" w:cs="Times New Roman"/>
          <w:sz w:val="24"/>
          <w:szCs w:val="24"/>
        </w:rPr>
        <w:t>“ví</w:t>
      </w:r>
      <w:r w:rsidRPr="008C18BF">
        <w:rPr>
          <w:rFonts w:ascii="Times New Roman" w:hAnsi="Times New Roman" w:cs="Times New Roman"/>
          <w:sz w:val="24"/>
          <w:szCs w:val="24"/>
        </w:rPr>
        <w:t>a crucis</w:t>
      </w:r>
      <w:r>
        <w:rPr>
          <w:rFonts w:ascii="Times New Roman" w:hAnsi="Times New Roman" w:cs="Times New Roman"/>
          <w:sz w:val="24"/>
          <w:szCs w:val="24"/>
        </w:rPr>
        <w:t>”</w:t>
      </w:r>
      <w:r w:rsidRPr="008C18BF">
        <w:rPr>
          <w:rFonts w:ascii="Times New Roman" w:hAnsi="Times New Roman" w:cs="Times New Roman"/>
          <w:sz w:val="24"/>
          <w:szCs w:val="24"/>
        </w:rPr>
        <w:t xml:space="preserve"> de ofensas a la inteligencia, aún resulta difícil vaticinar la duración de la agonía de semejante estolidez.</w:t>
      </w:r>
    </w:p>
    <w:p w:rsidR="00737DC2" w:rsidRPr="008C18BF" w:rsidRDefault="00737DC2" w:rsidP="00737DC2">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camino</w:t>
      </w:r>
      <w:r w:rsidRPr="008C18BF">
        <w:rPr>
          <w:rFonts w:ascii="Times New Roman" w:hAnsi="Times New Roman" w:cs="Times New Roman"/>
          <w:sz w:val="24"/>
          <w:szCs w:val="24"/>
        </w:rPr>
        <w:t xml:space="preserve"> de desinteligencia, de servidumbre y </w:t>
      </w:r>
      <w:r>
        <w:rPr>
          <w:rFonts w:ascii="Times New Roman" w:hAnsi="Times New Roman" w:cs="Times New Roman"/>
          <w:sz w:val="24"/>
          <w:szCs w:val="24"/>
        </w:rPr>
        <w:t>de manipulación, el único espacio</w:t>
      </w:r>
      <w:r w:rsidRPr="008C18BF">
        <w:rPr>
          <w:rFonts w:ascii="Times New Roman" w:hAnsi="Times New Roman" w:cs="Times New Roman"/>
          <w:sz w:val="24"/>
          <w:szCs w:val="24"/>
        </w:rPr>
        <w:t xml:space="preserve"> que queda (al ciudadano lúcido y responsable), es “pasar a la resistencia”. Algo que no es tan sencillo, ni lineal, como algunos (optimistas) pueden imaginar. Pero no imposible.</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Habrá que adentrarse en un mundo desconocido a través de un túnel incierto, donde las certezas se han perdido y sólo es posible asumir el riesgo de construirse una nueva realidad. En ese pasillo de los últimos deseos: ¿se encontrará luz al final, o sólo silencio y oscuridad?</w:t>
      </w:r>
    </w:p>
    <w:p w:rsidR="00737DC2" w:rsidRPr="00E77C66" w:rsidRDefault="00737DC2" w:rsidP="00737DC2">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Suspirando por la “nada” (los webonazos y los webonomics)</w:t>
      </w:r>
    </w:p>
    <w:p w:rsidR="00737DC2" w:rsidRPr="008C18BF"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“Cuando la multitud alaba una cosa, aunque de suyo no sea infame, lo es”,</w:t>
      </w:r>
      <w:r w:rsidRPr="008C18BF">
        <w:rPr>
          <w:rFonts w:ascii="Times New Roman" w:hAnsi="Times New Roman" w:cs="Times New Roman"/>
          <w:sz w:val="24"/>
          <w:szCs w:val="24"/>
        </w:rPr>
        <w:t xml:space="preserve"> advertía Cicerón. Lo era.</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que vino siendo la nueva economía, ahora un mero vehículo medieval (residuo poco apetecible, aunque tragable por una manada temerosa), con el que se sojuzga, domina, controla, y estabula, a esa misma multitud crédula, jacarandosa, pueril y anestesiada.</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después, diría un millennial, cuando se apaga el iPhone (sueño húmedo), y hay que subirse a la bicicleta para hacer el reparto de Glovo, Deliveroo, Uber Eats, Jast Eats (puta realidad)…</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para los trabajadores a destajo de Amazon (que tiene</w:t>
      </w:r>
      <w:r>
        <w:rPr>
          <w:rFonts w:ascii="Times New Roman" w:hAnsi="Times New Roman" w:cs="Times New Roman"/>
          <w:sz w:val="24"/>
          <w:szCs w:val="24"/>
        </w:rPr>
        <w:t>n</w:t>
      </w:r>
      <w:r w:rsidRPr="008C18BF">
        <w:rPr>
          <w:rFonts w:ascii="Times New Roman" w:hAnsi="Times New Roman" w:cs="Times New Roman"/>
          <w:sz w:val="24"/>
          <w:szCs w:val="24"/>
        </w:rPr>
        <w:t xml:space="preserve"> que mear en una botella, antes que el algoritmo les meta un palo en el culo), para los choferes de Uber, que tienen que aceptar el rol de falsos autónomos, trampeando a la hacienda pública, a los taxistas</w:t>
      </w:r>
      <w:r>
        <w:rPr>
          <w:rFonts w:ascii="Times New Roman" w:hAnsi="Times New Roman" w:cs="Times New Roman"/>
          <w:sz w:val="24"/>
          <w:szCs w:val="24"/>
        </w:rPr>
        <w:t>,</w:t>
      </w:r>
      <w:r w:rsidRPr="008C18BF">
        <w:rPr>
          <w:rFonts w:ascii="Times New Roman" w:hAnsi="Times New Roman" w:cs="Times New Roman"/>
          <w:sz w:val="24"/>
          <w:szCs w:val="24"/>
        </w:rPr>
        <w:t xml:space="preserve"> y a ellos mismos (explotados en su miseria)...</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737DC2" w:rsidRPr="008C18BF" w:rsidRDefault="00737DC2" w:rsidP="00737DC2">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Un progreso atroz. Un estrambote de pesadilla. No son anuncios de una película distópica, sino la amenazante realidad de las nuevas tecnologías.</w:t>
      </w:r>
    </w:p>
    <w:p w:rsidR="00737DC2" w:rsidRPr="00177A50" w:rsidRDefault="00737DC2" w:rsidP="00737DC2">
      <w:pPr>
        <w:spacing w:line="240" w:lineRule="auto"/>
        <w:jc w:val="both"/>
        <w:rPr>
          <w:rFonts w:ascii="Times New Roman" w:hAnsi="Times New Roman" w:cs="Times New Roman"/>
          <w:sz w:val="24"/>
          <w:szCs w:val="24"/>
        </w:rPr>
      </w:pPr>
      <w:r w:rsidRPr="00177A50">
        <w:rPr>
          <w:rFonts w:ascii="Times New Roman" w:hAnsi="Times New Roman" w:cs="Times New Roman"/>
          <w:sz w:val="24"/>
          <w:szCs w:val="24"/>
        </w:rPr>
        <w:t>¿Continuarán con sus “excusas estúpidas, alegaciones asnales, y molicie argumental”?, como diría Erasmo.</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¿Terminará alguna vez este período de esquizofrenia económica, que ya lleva dos grandes crisis (2008 y 2020) en su haber?</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lastRenderedPageBreak/>
        <w:t>¿Se puede terminar con la economía de casino, sin abordar el proceso de desglobalización, para recuperar las actividades productivas perdidas?</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Los historiadores (con más tiempo y perspectiva) podrán establecer si en el proceso de globalización económica hubo dolo o culpa. </w:t>
      </w:r>
    </w:p>
    <w:p w:rsidR="00737DC2" w:rsidRPr="00E77C66" w:rsidRDefault="00737DC2" w:rsidP="00737DC2">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La diferencia esencial es que en el dolo siempre existe mala fe, un concepto jurídico que se refiere a la intencionalidad, a la premeditación para alcanzar un determinado fin conociendo que supone un daño o perjuicio para alguien. </w:t>
      </w:r>
      <w:r w:rsidRPr="00E77C66">
        <w:rPr>
          <w:rFonts w:ascii="Times New Roman" w:eastAsia="Times New Roman" w:hAnsi="Times New Roman" w:cs="Times New Roman"/>
          <w:sz w:val="24"/>
          <w:szCs w:val="24"/>
        </w:rPr>
        <w:t>La arbitrariedad en la aplicación de algunas medidas correctivas ante las alarmas manifiestas corrobora la mala fe. Los avisos existieron y daban tiempo a reaccionar para evitar un mal mayor en el tejido industrial de EEUU o la UE.</w:t>
      </w:r>
    </w:p>
    <w:p w:rsidR="00737DC2" w:rsidRPr="00E77C66" w:rsidRDefault="00737DC2" w:rsidP="00737DC2">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737DC2" w:rsidRPr="00E77C66" w:rsidRDefault="00737DC2" w:rsidP="00737DC2">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Me resulta difícil saber si estos grandes empresarios son conscientes de lo que se viene encima o les gusta jugar con fuego y quemarse. </w:t>
      </w:r>
    </w:p>
    <w:p w:rsidR="00737DC2" w:rsidRPr="00E77C66" w:rsidRDefault="00737DC2" w:rsidP="00737DC2">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737DC2" w:rsidRPr="00E77C66" w:rsidRDefault="00737DC2" w:rsidP="00737DC2">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La mala fede una clase dirigente decadente, anclada en un mundo de economía productiva que desaparece sin que dé muestra de haberse enterado, no tiene excusa y supongo que tampoco perdón.</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737DC2" w:rsidRPr="00E77C66" w:rsidRDefault="00737DC2" w:rsidP="00737DC2">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“Oíd el ruido de rotas cadenas” (bloqueos, chantajes, desabastecimientos, e inflación)</w:t>
      </w:r>
    </w:p>
    <w:p w:rsidR="00737DC2" w:rsidRPr="00E77C66" w:rsidRDefault="00737DC2" w:rsidP="00737DC2">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737DC2" w:rsidRPr="00E77C66" w:rsidRDefault="00737DC2" w:rsidP="00737DC2">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w:t>
      </w:r>
      <w:r w:rsidRPr="00E77C66">
        <w:rPr>
          <w:rFonts w:ascii="Times New Roman" w:hAnsi="Times New Roman" w:cs="Times New Roman"/>
          <w:sz w:val="24"/>
          <w:szCs w:val="24"/>
          <w:shd w:val="clear" w:color="auto" w:fill="FFFFFF"/>
        </w:rPr>
        <w:lastRenderedPageBreak/>
        <w:t>amenazando con rematar las cuentas de resultados de las empresas y a los desafortunados bolsillos de los consumidores.</w:t>
      </w:r>
    </w:p>
    <w:p w:rsidR="00737DC2" w:rsidRPr="00E77C66" w:rsidRDefault="00737DC2" w:rsidP="00737DC2">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 ahora, les ha tocado entre el 7% y el 9% (y subiendo). Lo más probable es que les toque bastante más, aunque sea de manera “transitoria” (cómo escribieron algunos los “grandes bonetes”, y luego borraron con el codo).</w:t>
      </w:r>
    </w:p>
    <w:p w:rsidR="00737DC2" w:rsidRPr="00E77C66" w:rsidRDefault="00737DC2" w:rsidP="00737DC2">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 xml:space="preserve">¿Nadie pudo decirles que estaban equivocados? ¿Nadie pudo advertirle de los riesgos que corrían? </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Parece ser que no. Algunos</w:t>
      </w:r>
      <w:r>
        <w:rPr>
          <w:rFonts w:ascii="Times New Roman" w:hAnsi="Times New Roman" w:cs="Times New Roman"/>
          <w:sz w:val="24"/>
          <w:szCs w:val="24"/>
        </w:rPr>
        <w:t>,</w:t>
      </w:r>
      <w:r w:rsidRPr="00E77C66">
        <w:rPr>
          <w:rFonts w:ascii="Times New Roman" w:hAnsi="Times New Roman" w:cs="Times New Roman"/>
          <w:sz w:val="24"/>
          <w:szCs w:val="24"/>
        </w:rPr>
        <w:t xml:space="preserve"> porque les iban los negocios en ello (mientras haya música, que siga el baile), otros</w:t>
      </w:r>
      <w:r>
        <w:rPr>
          <w:rFonts w:ascii="Times New Roman" w:hAnsi="Times New Roman" w:cs="Times New Roman"/>
          <w:sz w:val="24"/>
          <w:szCs w:val="24"/>
        </w:rPr>
        <w:t>,</w:t>
      </w:r>
      <w:r w:rsidRPr="00E77C66">
        <w:rPr>
          <w:rFonts w:ascii="Times New Roman" w:hAnsi="Times New Roman" w:cs="Times New Roman"/>
          <w:sz w:val="24"/>
          <w:szCs w:val="24"/>
        </w:rPr>
        <w:t xml:space="preserve"> por miedo, sumisión, adulación o conveniencia (¿quién estaría dispuesto a decirlo</w:t>
      </w:r>
      <w:r>
        <w:rPr>
          <w:rFonts w:ascii="Times New Roman" w:hAnsi="Times New Roman" w:cs="Times New Roman"/>
          <w:sz w:val="24"/>
          <w:szCs w:val="24"/>
        </w:rPr>
        <w:t>,</w:t>
      </w:r>
      <w:r w:rsidRPr="00E77C66">
        <w:rPr>
          <w:rFonts w:ascii="Times New Roman" w:hAnsi="Times New Roman" w:cs="Times New Roman"/>
          <w:sz w:val="24"/>
          <w:szCs w:val="24"/>
        </w:rPr>
        <w:t xml:space="preserve"> y poner en riesgo sus contactos, sus privilegios, su posición?).</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Unos por ceguera voluntaria (miopía, avaricia, fatuidad, arrogancia) y otros subordinad</w:t>
      </w:r>
      <w:r>
        <w:rPr>
          <w:rFonts w:ascii="Times New Roman" w:hAnsi="Times New Roman" w:cs="Times New Roman"/>
          <w:sz w:val="24"/>
          <w:szCs w:val="24"/>
        </w:rPr>
        <w:t>os sumisos o lacayos</w:t>
      </w:r>
      <w:r w:rsidRPr="00E77C66">
        <w:rPr>
          <w:rFonts w:ascii="Times New Roman" w:hAnsi="Times New Roman" w:cs="Times New Roman"/>
          <w:sz w:val="24"/>
          <w:szCs w:val="24"/>
        </w:rPr>
        <w:t xml:space="preserve"> ambiciosos (competiendo entre ellos por la oportunidad de decirle a los amos de universo lo que querían oír), no parecen haber aprendido la lección.   </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En la apoteosis del reinado de la economía de especulación y entretenimiento, Estados Unidos y la Unión Europea han quedado apartadas de su “fe fundante” y adormecidas por el relativismo, el consumismo y el hedonismo, recibiendo una mortal puñalada metafísica. Solo una profunda catarsis (autocrítica, revisionismo, autonomía estratégica, desglobalización, control de capitales, intercambios compensados, equilibrio fiscal, ortodoxia monetaria…)   podrían cerrar hoy la profunda herida abierta y detener la hemorragia.</w:t>
      </w:r>
    </w:p>
    <w:p w:rsidR="00737DC2" w:rsidRPr="00E77C66" w:rsidRDefault="00737DC2" w:rsidP="00737DC2">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Tanto Estados Unidos, como la Unión Europea no pueden culpar a nadie más que a sí mismos. Y de momento, no parecen haber aprendido la lección.</w:t>
      </w:r>
    </w:p>
    <w:p w:rsidR="00737DC2" w:rsidRDefault="00737DC2" w:rsidP="00737DC2">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Creo que lo más que se puede espe</w:t>
      </w:r>
      <w:r>
        <w:rPr>
          <w:rFonts w:ascii="Times New Roman" w:hAnsi="Times New Roman" w:cs="Times New Roman"/>
          <w:b/>
          <w:sz w:val="24"/>
          <w:szCs w:val="24"/>
        </w:rPr>
        <w:t>rar, es que alguien se “apiade”…</w:t>
      </w:r>
      <w:r w:rsidRPr="00B4098A">
        <w:rPr>
          <w:rFonts w:ascii="Times New Roman" w:hAnsi="Times New Roman" w:cs="Times New Roman"/>
          <w:b/>
          <w:sz w:val="24"/>
          <w:szCs w:val="24"/>
        </w:rPr>
        <w:t xml:space="preserve"> y tire de la cadena</w:t>
      </w:r>
      <w:r>
        <w:rPr>
          <w:rFonts w:ascii="Times New Roman" w:hAnsi="Times New Roman" w:cs="Times New Roman"/>
          <w:b/>
          <w:sz w:val="24"/>
          <w:szCs w:val="24"/>
        </w:rPr>
        <w:t>.</w:t>
      </w:r>
    </w:p>
    <w:p w:rsidR="00737DC2" w:rsidRPr="00235118" w:rsidRDefault="00737DC2" w:rsidP="00737DC2">
      <w:pPr>
        <w:spacing w:line="240" w:lineRule="auto"/>
        <w:jc w:val="both"/>
        <w:rPr>
          <w:rFonts w:ascii="Times New Roman" w:hAnsi="Times New Roman" w:cs="Times New Roman"/>
          <w:b/>
          <w:sz w:val="24"/>
          <w:szCs w:val="24"/>
          <w:lang w:val="en-US"/>
        </w:rPr>
      </w:pPr>
      <w:proofErr w:type="gramStart"/>
      <w:r w:rsidRPr="00235118">
        <w:rPr>
          <w:rFonts w:ascii="Times New Roman" w:hAnsi="Times New Roman" w:cs="Times New Roman"/>
          <w:b/>
          <w:sz w:val="24"/>
          <w:szCs w:val="24"/>
          <w:lang w:val="en-US"/>
        </w:rPr>
        <w:t>Oremos.</w:t>
      </w:r>
      <w:proofErr w:type="gramEnd"/>
    </w:p>
    <w:p w:rsidR="00737DC2" w:rsidRPr="00C433B9" w:rsidRDefault="00737DC2" w:rsidP="00737DC2">
      <w:pPr>
        <w:spacing w:line="240" w:lineRule="auto"/>
        <w:jc w:val="both"/>
        <w:rPr>
          <w:rFonts w:ascii="Times New Roman" w:hAnsi="Times New Roman" w:cs="Times New Roman"/>
          <w:b/>
          <w:color w:val="FF0000"/>
          <w:sz w:val="24"/>
          <w:szCs w:val="24"/>
          <w:lang w:val="en-US"/>
        </w:rPr>
      </w:pPr>
      <w:r w:rsidRPr="00C433B9">
        <w:rPr>
          <w:rFonts w:ascii="Times New Roman" w:hAnsi="Times New Roman" w:cs="Times New Roman"/>
          <w:b/>
          <w:color w:val="FF0000"/>
          <w:sz w:val="24"/>
          <w:szCs w:val="24"/>
          <w:lang w:val="en-US"/>
        </w:rPr>
        <w:t>(29/11/22) Coda: Contestando la “homilía”</w:t>
      </w:r>
      <w:r>
        <w:rPr>
          <w:rFonts w:ascii="Times New Roman" w:hAnsi="Times New Roman" w:cs="Times New Roman"/>
          <w:b/>
          <w:color w:val="FF0000"/>
          <w:sz w:val="24"/>
          <w:szCs w:val="24"/>
          <w:lang w:val="en-US"/>
        </w:rPr>
        <w:t xml:space="preserve"> (W</w:t>
      </w:r>
      <w:r w:rsidRPr="00C433B9">
        <w:rPr>
          <w:rFonts w:ascii="Times New Roman" w:hAnsi="Times New Roman" w:cs="Times New Roman"/>
          <w:b/>
          <w:color w:val="FF0000"/>
          <w:sz w:val="24"/>
          <w:szCs w:val="24"/>
          <w:lang w:val="en-US"/>
        </w:rPr>
        <w:t>ork in progress</w:t>
      </w:r>
      <w:r>
        <w:rPr>
          <w:rFonts w:ascii="Times New Roman" w:hAnsi="Times New Roman" w:cs="Times New Roman"/>
          <w:b/>
          <w:color w:val="FF0000"/>
          <w:sz w:val="24"/>
          <w:szCs w:val="24"/>
          <w:lang w:val="en-US"/>
        </w:rPr>
        <w:t>)</w:t>
      </w:r>
      <w:r w:rsidRPr="00C433B9">
        <w:rPr>
          <w:rFonts w:ascii="Times New Roman" w:hAnsi="Times New Roman" w:cs="Times New Roman"/>
          <w:b/>
          <w:color w:val="FF0000"/>
          <w:sz w:val="24"/>
          <w:szCs w:val="24"/>
          <w:lang w:val="en-US"/>
        </w:rPr>
        <w:t xml:space="preserve"> del Wall Street Journal</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Las dos crisis económicas y financieras (2008 y 2020) más profundas desde la II GM. </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índice de desempleo en los países avanzados desde finales de la II GM.</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mayor desigualdad de ingresos en los países avanzados desde finales de la II GM.</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índice de inflación en los países avanzados de los últimos 40 años.</w:t>
      </w:r>
    </w:p>
    <w:p w:rsidR="00737DC2"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déficit fiscal en los países avanzados desde finales de la II GM.</w:t>
      </w:r>
    </w:p>
    <w:p w:rsidR="00737DC2" w:rsidRPr="00284F53" w:rsidRDefault="00737DC2" w:rsidP="00737D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mayor endeudamiento público en los países avanzados desde finales de la II GM. </w:t>
      </w:r>
    </w:p>
    <w:p w:rsidR="00737DC2" w:rsidRDefault="00737DC2" w:rsidP="00737DC2">
      <w:pPr>
        <w:jc w:val="both"/>
        <w:rPr>
          <w:rFonts w:ascii="Times New Roman" w:hAnsi="Times New Roman" w:cs="Times New Roman"/>
          <w:b/>
          <w:sz w:val="24"/>
          <w:szCs w:val="24"/>
        </w:rPr>
      </w:pPr>
      <w:r>
        <w:rPr>
          <w:rFonts w:ascii="Times New Roman" w:hAnsi="Times New Roman" w:cs="Times New Roman"/>
          <w:b/>
          <w:sz w:val="24"/>
          <w:szCs w:val="24"/>
        </w:rPr>
        <w:t>La pandemia de coronavirus, considerada entre las cinco más letales de la historia.</w:t>
      </w:r>
    </w:p>
    <w:p w:rsidR="00737DC2" w:rsidRPr="00284F53" w:rsidRDefault="00737DC2" w:rsidP="00737DC2">
      <w:pPr>
        <w:jc w:val="both"/>
        <w:rPr>
          <w:rFonts w:ascii="Times New Roman" w:hAnsi="Times New Roman" w:cs="Times New Roman"/>
          <w:b/>
          <w:sz w:val="24"/>
          <w:szCs w:val="24"/>
        </w:rPr>
      </w:pPr>
      <w:r>
        <w:rPr>
          <w:rFonts w:ascii="Times New Roman" w:hAnsi="Times New Roman" w:cs="Times New Roman"/>
          <w:b/>
          <w:sz w:val="24"/>
          <w:szCs w:val="24"/>
        </w:rPr>
        <w:t>Es difícil encontrar en la historia un récord de fracasos tan innegables, y simultáneos.</w:t>
      </w:r>
    </w:p>
    <w:p w:rsidR="00737DC2" w:rsidRPr="003438BE" w:rsidRDefault="00737DC2" w:rsidP="00737DC2">
      <w:pPr>
        <w:spacing w:line="240" w:lineRule="auto"/>
        <w:jc w:val="both"/>
        <w:rPr>
          <w:rFonts w:ascii="Times New Roman" w:hAnsi="Times New Roman" w:cs="Times New Roman"/>
          <w:b/>
          <w:color w:val="FF0000"/>
          <w:sz w:val="24"/>
          <w:szCs w:val="24"/>
        </w:rPr>
      </w:pPr>
      <w:r w:rsidRPr="006A2A08">
        <w:rPr>
          <w:rFonts w:ascii="Times New Roman" w:hAnsi="Times New Roman" w:cs="Times New Roman"/>
          <w:b/>
          <w:color w:val="FF0000"/>
          <w:sz w:val="24"/>
          <w:szCs w:val="24"/>
        </w:rPr>
        <w:t xml:space="preserve">¿Hasta dónde es sostenible la </w:t>
      </w:r>
      <w:r>
        <w:rPr>
          <w:rFonts w:ascii="Times New Roman" w:hAnsi="Times New Roman" w:cs="Times New Roman"/>
          <w:b/>
          <w:color w:val="FF0000"/>
          <w:sz w:val="24"/>
          <w:szCs w:val="24"/>
        </w:rPr>
        <w:t>globalización económica? “</w:t>
      </w:r>
      <w:r w:rsidRPr="00C433B9">
        <w:rPr>
          <w:rFonts w:ascii="Times New Roman" w:hAnsi="Times New Roman" w:cs="Times New Roman"/>
          <w:b/>
          <w:color w:val="FF0000"/>
          <w:sz w:val="24"/>
          <w:szCs w:val="24"/>
        </w:rPr>
        <w:t>Alere Flammam Veritatis</w:t>
      </w:r>
      <w:r>
        <w:rPr>
          <w:rFonts w:ascii="Times New Roman" w:hAnsi="Times New Roman" w:cs="Times New Roman"/>
          <w:b/>
          <w:color w:val="FF0000"/>
          <w:sz w:val="24"/>
          <w:szCs w:val="24"/>
        </w:rPr>
        <w:t>”…</w:t>
      </w:r>
    </w:p>
    <w:p w:rsidR="00737DC2" w:rsidRPr="00822031" w:rsidRDefault="00737DC2" w:rsidP="00737DC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Respetuosa “contestación” a Daniel Gros y otros</w:t>
      </w:r>
      <w:r w:rsidRPr="00822031">
        <w:rPr>
          <w:rFonts w:ascii="Times New Roman" w:hAnsi="Times New Roman" w:cs="Times New Roman"/>
          <w:b/>
          <w:sz w:val="24"/>
          <w:szCs w:val="24"/>
          <w:shd w:val="clear" w:color="auto" w:fill="FFFFFF"/>
        </w:rPr>
        <w:t xml:space="preserve"> apóstoles de la globalización, el librecambio, la financierización, la desregulación, la privatización, </w:t>
      </w:r>
      <w:r>
        <w:rPr>
          <w:rFonts w:ascii="Times New Roman" w:hAnsi="Times New Roman" w:cs="Times New Roman"/>
          <w:b/>
          <w:sz w:val="24"/>
          <w:szCs w:val="24"/>
          <w:shd w:val="clear" w:color="auto" w:fill="FFFFFF"/>
        </w:rPr>
        <w:t>y demás metaversos</w:t>
      </w:r>
    </w:p>
    <w:p w:rsidR="00737DC2" w:rsidRPr="00142B16" w:rsidRDefault="00737DC2" w:rsidP="00737DC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(26/1/23) El “mantra”</w:t>
      </w:r>
      <w:r w:rsidRPr="00D037EE">
        <w:rPr>
          <w:rFonts w:ascii="Times New Roman" w:hAnsi="Times New Roman" w:cs="Times New Roman"/>
          <w:b/>
          <w:sz w:val="24"/>
          <w:szCs w:val="24"/>
          <w:shd w:val="clear" w:color="auto" w:fill="FFFFFF"/>
        </w:rPr>
        <w:t xml:space="preserve"> del librecambio, y</w:t>
      </w:r>
      <w:r>
        <w:rPr>
          <w:rFonts w:ascii="Times New Roman" w:hAnsi="Times New Roman" w:cs="Times New Roman"/>
          <w:b/>
          <w:sz w:val="24"/>
          <w:szCs w:val="24"/>
          <w:shd w:val="clear" w:color="auto" w:fill="FFFFFF"/>
        </w:rPr>
        <w:t xml:space="preserve"> la realidad económica, en</w:t>
      </w:r>
      <w:r w:rsidRPr="00D037EE">
        <w:rPr>
          <w:rFonts w:ascii="Times New Roman" w:hAnsi="Times New Roman" w:cs="Times New Roman"/>
          <w:b/>
          <w:sz w:val="24"/>
          <w:szCs w:val="24"/>
          <w:shd w:val="clear" w:color="auto" w:fill="FFFFFF"/>
        </w:rPr>
        <w:t xml:space="preserve"> los países avanzados</w:t>
      </w:r>
    </w:p>
    <w:p w:rsidR="00737DC2" w:rsidRDefault="00737DC2" w:rsidP="00737DC2">
      <w:pPr>
        <w:spacing w:line="240" w:lineRule="auto"/>
        <w:jc w:val="both"/>
        <w:rPr>
          <w:rFonts w:ascii="Times New Roman" w:hAnsi="Times New Roman" w:cs="Times New Roman"/>
          <w:sz w:val="24"/>
          <w:szCs w:val="24"/>
          <w:shd w:val="clear" w:color="auto" w:fill="FFFFFF"/>
        </w:rPr>
      </w:pPr>
      <w:r>
        <w:rPr>
          <w:noProof/>
          <w:lang w:val="en-GB" w:eastAsia="zh-CN"/>
        </w:rPr>
        <w:drawing>
          <wp:inline distT="0" distB="0" distL="0" distR="0">
            <wp:extent cx="5731510" cy="3223974"/>
            <wp:effectExtent l="0" t="0" r="2540" b="0"/>
            <wp:docPr id="261" name="Imagen 261" descr="Remolca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molcadores"/>
                    <pic:cNvPicPr>
                      <a:picLocks noChangeAspect="1" noChangeArrowheads="1"/>
                    </pic:cNvPicPr>
                  </pic:nvPicPr>
                  <pic:blipFill>
                    <a:blip r:embed="rId3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974"/>
                    </a:xfrm>
                    <a:prstGeom prst="rect">
                      <a:avLst/>
                    </a:prstGeom>
                    <a:noFill/>
                    <a:ln>
                      <a:noFill/>
                    </a:ln>
                  </pic:spPr>
                </pic:pic>
              </a:graphicData>
            </a:graphic>
          </wp:inline>
        </w:drawing>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¿Cuándo darse cuenta que la “economía de los excesos” tiene un límite? ¿Mañana digo basta? </w:t>
      </w:r>
    </w:p>
    <w:p w:rsidR="00737DC2" w:rsidRDefault="00737DC2" w:rsidP="00737DC2">
      <w:pPr>
        <w:spacing w:line="240" w:lineRule="auto"/>
        <w:jc w:val="both"/>
        <w:rPr>
          <w:rFonts w:ascii="Times New Roman" w:hAnsi="Times New Roman" w:cs="Times New Roman"/>
          <w:sz w:val="24"/>
          <w:szCs w:val="24"/>
          <w:shd w:val="clear" w:color="auto" w:fill="FFFFFF"/>
        </w:rPr>
      </w:pPr>
      <w:r w:rsidRPr="00F36757">
        <w:rPr>
          <w:rFonts w:ascii="Times New Roman" w:hAnsi="Times New Roman" w:cs="Times New Roman"/>
          <w:sz w:val="24"/>
          <w:szCs w:val="24"/>
          <w:shd w:val="clear" w:color="auto" w:fill="FFFFFF"/>
        </w:rPr>
        <w:t>El Ever Given, que tiene 400 metros de largo (cuatro campos de fútbol), quedó atravesado en diagonal en el interior de un canal de no mucho más de 200 metros de ancho, y bloqueó el tránsito en ambas direcciones.</w:t>
      </w:r>
    </w:p>
    <w:p w:rsidR="00737DC2" w:rsidRPr="008B5FF8" w:rsidRDefault="00737DC2" w:rsidP="00737DC2">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Cerca del 15% del tráfico marítimo mundial transita por el canal de Suez, que es una fuente de ingresos clave para Egipto.</w:t>
      </w:r>
    </w:p>
    <w:p w:rsidR="00737DC2" w:rsidRPr="00314E99"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interrupción de marzo 2021</w:t>
      </w:r>
      <w:r w:rsidRPr="008B5FF8">
        <w:rPr>
          <w:rFonts w:ascii="Times New Roman" w:hAnsi="Times New Roman" w:cs="Times New Roman"/>
          <w:sz w:val="24"/>
          <w:szCs w:val="24"/>
          <w:shd w:val="clear" w:color="auto" w:fill="FFFFFF"/>
        </w:rPr>
        <w:t xml:space="preserve"> le costó al canal entre US$14-15 millones al día, alteró la cadena mundial de suministros y elevó el valor del flete de los petroleros.</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E574AA">
        <w:rPr>
          <w:rFonts w:ascii="Times New Roman" w:hAnsi="Times New Roman" w:cs="Times New Roman"/>
          <w:sz w:val="24"/>
          <w:szCs w:val="24"/>
          <w:shd w:val="clear" w:color="auto" w:fill="FFFFFF"/>
        </w:rPr>
        <w:t>Cuando los hechos cambian, yo cambio de opinión. Y ¿usted qué hace?”, respondió el gran economista ­británico John Maynard Keynes cuando en los años de entreguerras y de la Gran Depresión le acusaban de cambiar de opinión sobre la política que seguir. Su criterio moral era que el análisis económico y la acción de los gobiernos debían estar dirigidos por la razón y no</w:t>
      </w:r>
      <w:r w:rsidRPr="00D037EE">
        <w:rPr>
          <w:rFonts w:ascii="Times New Roman" w:hAnsi="Times New Roman" w:cs="Times New Roman"/>
          <w:sz w:val="24"/>
          <w:szCs w:val="24"/>
          <w:shd w:val="clear" w:color="auto" w:fill="FFFFFF"/>
        </w:rPr>
        <w:t>por la ideología de partido o los intereses de grupo.</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610572">
        <w:rPr>
          <w:rFonts w:ascii="Times New Roman" w:hAnsi="Times New Roman" w:cs="Times New Roman"/>
          <w:sz w:val="24"/>
          <w:szCs w:val="24"/>
          <w:shd w:val="clear" w:color="auto" w:fill="FFFFFF"/>
        </w:rPr>
        <w:t>Resulta fundamental preguntarse qué está pasando con los manuales económicos de los países que, al igual que en la época anterior a la gran depresión, no son capaces de dar respuesta a los problemas que el sistema económico actual está teniendo continua</w:t>
      </w:r>
      <w:r>
        <w:rPr>
          <w:rFonts w:ascii="Times New Roman" w:hAnsi="Times New Roman" w:cs="Times New Roman"/>
          <w:sz w:val="24"/>
          <w:szCs w:val="24"/>
          <w:shd w:val="clear" w:color="auto" w:fill="FFFFFF"/>
        </w:rPr>
        <w:t>mente. En la actualidad, estos “manuales”</w:t>
      </w:r>
      <w:r w:rsidRPr="00610572">
        <w:rPr>
          <w:rFonts w:ascii="Times New Roman" w:hAnsi="Times New Roman" w:cs="Times New Roman"/>
          <w:sz w:val="24"/>
          <w:szCs w:val="24"/>
          <w:shd w:val="clear" w:color="auto" w:fill="FFFFFF"/>
        </w:rPr>
        <w:t xml:space="preserve"> están regidos por la teoría económica neoclásica, pero la realidad es compleja y es imposible analiza</w:t>
      </w:r>
      <w:r>
        <w:rPr>
          <w:rFonts w:ascii="Times New Roman" w:hAnsi="Times New Roman" w:cs="Times New Roman"/>
          <w:sz w:val="24"/>
          <w:szCs w:val="24"/>
          <w:shd w:val="clear" w:color="auto" w:fill="FFFFFF"/>
        </w:rPr>
        <w:t>rla a partir de una sola teoría”</w:t>
      </w:r>
      <w:proofErr w:type="gramStart"/>
      <w:r>
        <w:rPr>
          <w:rFonts w:ascii="Times New Roman" w:hAnsi="Times New Roman" w:cs="Times New Roman"/>
          <w:sz w:val="24"/>
          <w:szCs w:val="24"/>
          <w:shd w:val="clear" w:color="auto" w:fill="FFFFFF"/>
        </w:rPr>
        <w:t>..</w:t>
      </w:r>
      <w:r w:rsidRPr="00610572">
        <w:rPr>
          <w:rFonts w:ascii="Times New Roman" w:hAnsi="Times New Roman" w:cs="Times New Roman"/>
          <w:sz w:val="24"/>
          <w:szCs w:val="24"/>
          <w:shd w:val="clear" w:color="auto" w:fill="FFFFFF"/>
        </w:rPr>
        <w:t>.</w:t>
      </w:r>
      <w:r>
        <w:t>(</w:t>
      </w:r>
      <w:proofErr w:type="gramEnd"/>
      <w:r>
        <w:rPr>
          <w:rFonts w:ascii="Times New Roman" w:hAnsi="Times New Roman" w:cs="Times New Roman"/>
          <w:sz w:val="24"/>
          <w:szCs w:val="24"/>
          <w:shd w:val="clear" w:color="auto" w:fill="FFFFFF"/>
        </w:rPr>
        <w:t xml:space="preserve">J. M. </w:t>
      </w:r>
      <w:r w:rsidRPr="00A9554C">
        <w:rPr>
          <w:rFonts w:ascii="Times New Roman" w:hAnsi="Times New Roman" w:cs="Times New Roman"/>
          <w:sz w:val="24"/>
          <w:szCs w:val="24"/>
          <w:shd w:val="clear" w:color="auto" w:fill="FFFFFF"/>
        </w:rPr>
        <w:t>Keynes</w:t>
      </w:r>
      <w:r>
        <w:rPr>
          <w:rFonts w:ascii="Times New Roman" w:hAnsi="Times New Roman" w:cs="Times New Roman"/>
          <w:sz w:val="24"/>
          <w:szCs w:val="24"/>
          <w:shd w:val="clear" w:color="auto" w:fill="FFFFFF"/>
        </w:rPr>
        <w:t>).</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¿Estamos ante un debate zanjado</w:t>
      </w:r>
      <w:proofErr w:type="gramStart"/>
      <w:r>
        <w:rPr>
          <w:rFonts w:ascii="Times New Roman" w:hAnsi="Times New Roman" w:cs="Times New Roman"/>
          <w:sz w:val="24"/>
          <w:szCs w:val="24"/>
          <w:shd w:val="clear" w:color="auto" w:fill="FFFFFF"/>
        </w:rPr>
        <w:t>?¿</w:t>
      </w:r>
      <w:proofErr w:type="gramEnd"/>
      <w:r>
        <w:rPr>
          <w:rFonts w:ascii="Times New Roman" w:hAnsi="Times New Roman" w:cs="Times New Roman"/>
          <w:sz w:val="24"/>
          <w:szCs w:val="24"/>
          <w:shd w:val="clear" w:color="auto" w:fill="FFFFFF"/>
        </w:rPr>
        <w:t>O es que</w:t>
      </w:r>
      <w:r w:rsidRPr="009B73F5">
        <w:rPr>
          <w:rFonts w:ascii="Times New Roman" w:hAnsi="Times New Roman" w:cs="Times New Roman"/>
          <w:sz w:val="24"/>
          <w:szCs w:val="24"/>
          <w:shd w:val="clear" w:color="auto" w:fill="FFFFFF"/>
        </w:rPr>
        <w:t xml:space="preserve"> sigue habiendo quienes </w:t>
      </w:r>
      <w:r>
        <w:rPr>
          <w:rFonts w:ascii="Times New Roman" w:hAnsi="Times New Roman" w:cs="Times New Roman"/>
          <w:sz w:val="24"/>
          <w:szCs w:val="24"/>
          <w:shd w:val="clear" w:color="auto" w:fill="FFFFFF"/>
        </w:rPr>
        <w:t xml:space="preserve">se niegan a aceptar lo evidente? Más allá de los delirios, de algunos personajes, y muchos más, personajillos, </w:t>
      </w:r>
      <w:r w:rsidRPr="004D1F72">
        <w:rPr>
          <w:rFonts w:ascii="Times New Roman" w:hAnsi="Times New Roman" w:cs="Times New Roman"/>
          <w:sz w:val="24"/>
          <w:szCs w:val="24"/>
          <w:shd w:val="clear" w:color="auto" w:fill="FFFFFF"/>
        </w:rPr>
        <w:t xml:space="preserve"> uncido</w:t>
      </w:r>
      <w:r>
        <w:rPr>
          <w:rFonts w:ascii="Times New Roman" w:hAnsi="Times New Roman" w:cs="Times New Roman"/>
          <w:sz w:val="24"/>
          <w:szCs w:val="24"/>
          <w:shd w:val="clear" w:color="auto" w:fill="FFFFFF"/>
        </w:rPr>
        <w:t>s</w:t>
      </w:r>
      <w:r w:rsidRPr="004D1F72">
        <w:rPr>
          <w:rFonts w:ascii="Times New Roman" w:hAnsi="Times New Roman" w:cs="Times New Roman"/>
          <w:sz w:val="24"/>
          <w:szCs w:val="24"/>
          <w:shd w:val="clear" w:color="auto" w:fill="FFFFFF"/>
        </w:rPr>
        <w:t xml:space="preserve"> a la arrogancia más que a la razón</w:t>
      </w:r>
      <w:r>
        <w:rPr>
          <w:rFonts w:ascii="Times New Roman" w:hAnsi="Times New Roman" w:cs="Times New Roman"/>
          <w:sz w:val="24"/>
          <w:szCs w:val="24"/>
          <w:shd w:val="clear" w:color="auto" w:fill="FFFFFF"/>
        </w:rPr>
        <w:t>, veamos la “seca información”, de que hablaba Dante, o la “raya de abajo”, como decían los “hacedores de mercado” del Citygroup:</w:t>
      </w:r>
    </w:p>
    <w:p w:rsidR="00737DC2" w:rsidRPr="009B73F5"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w:t>
      </w:r>
      <w:r w:rsidRPr="009B73F5">
        <w:rPr>
          <w:rFonts w:ascii="Times New Roman" w:hAnsi="Times New Roman" w:cs="Times New Roman"/>
          <w:sz w:val="24"/>
          <w:szCs w:val="24"/>
          <w:shd w:val="clear" w:color="auto" w:fill="FFFFFF"/>
        </w:rPr>
        <w:t>n China: en 1981, el 88 por ciento de la población vivía en una situación de pobreza extrema. Entonces, Deng Xiaoping puso en marcha sus reformas de</w:t>
      </w:r>
      <w:r>
        <w:rPr>
          <w:rFonts w:ascii="Times New Roman" w:hAnsi="Times New Roman" w:cs="Times New Roman"/>
          <w:sz w:val="24"/>
          <w:szCs w:val="24"/>
          <w:shd w:val="clear" w:color="auto" w:fill="FFFFFF"/>
        </w:rPr>
        <w:t xml:space="preserve"> libre mercado, con el lema de “</w:t>
      </w:r>
      <w:r w:rsidRPr="009B73F5">
        <w:rPr>
          <w:rFonts w:ascii="Times New Roman" w:hAnsi="Times New Roman" w:cs="Times New Roman"/>
          <w:sz w:val="24"/>
          <w:szCs w:val="24"/>
          <w:shd w:val="clear" w:color="auto" w:fill="FFFFFF"/>
        </w:rPr>
        <w:t xml:space="preserve">dejar que algunas </w:t>
      </w:r>
      <w:r>
        <w:rPr>
          <w:rFonts w:ascii="Times New Roman" w:hAnsi="Times New Roman" w:cs="Times New Roman"/>
          <w:sz w:val="24"/>
          <w:szCs w:val="24"/>
          <w:shd w:val="clear" w:color="auto" w:fill="FFFFFF"/>
        </w:rPr>
        <w:t>personas se enriquezcan primero”</w:t>
      </w:r>
      <w:r w:rsidRPr="009B73F5">
        <w:rPr>
          <w:rFonts w:ascii="Times New Roman" w:hAnsi="Times New Roman" w:cs="Times New Roman"/>
          <w:sz w:val="24"/>
          <w:szCs w:val="24"/>
          <w:shd w:val="clear" w:color="auto" w:fill="FFFFFF"/>
        </w:rPr>
        <w:t>. Hasta entonces, China no tenía ni un solo multimillonario porque la propiedad privada no estaba permitida bajo el régimen de Mao. En cambio, hoy hay más multimillonarios en China que en cualquier otro lugar del mundo, salvo Estados Unidos, pero la tasa de pobreza extrema ha caído hast</w:t>
      </w:r>
      <w:r>
        <w:rPr>
          <w:rFonts w:ascii="Times New Roman" w:hAnsi="Times New Roman" w:cs="Times New Roman"/>
          <w:sz w:val="24"/>
          <w:szCs w:val="24"/>
          <w:shd w:val="clear" w:color="auto" w:fill="FFFFFF"/>
        </w:rPr>
        <w:t>a ser inferior al 1 por ciento.</w:t>
      </w:r>
    </w:p>
    <w:p w:rsidR="00737DC2" w:rsidRDefault="00737DC2" w:rsidP="00737DC2">
      <w:pPr>
        <w:spacing w:line="240" w:lineRule="auto"/>
        <w:jc w:val="both"/>
        <w:rPr>
          <w:rFonts w:ascii="Times New Roman" w:hAnsi="Times New Roman" w:cs="Times New Roman"/>
          <w:sz w:val="24"/>
          <w:szCs w:val="24"/>
          <w:shd w:val="clear" w:color="auto" w:fill="FFFFFF"/>
        </w:rPr>
      </w:pPr>
      <w:r w:rsidRPr="009B73F5">
        <w:rPr>
          <w:rFonts w:ascii="Times New Roman" w:hAnsi="Times New Roman" w:cs="Times New Roman"/>
          <w:sz w:val="24"/>
          <w:szCs w:val="24"/>
          <w:shd w:val="clear" w:color="auto" w:fill="FFFFFF"/>
        </w:rPr>
        <w:t>Otro ejemplo claro es Vietnam. Tan recientemente como en 1993, hasta el 80 por ciento de la población del país vivía en la pobreza. Llegado el año 2020, esta proporción se había reducido a apenas un 5 por ciento, gracias a la introducción de derechos de propiedad privada y reformas de libre mercado. Al mismo tiempo, esto hizo que algunas personas en Vietnam se hicieran muy ricas y hoy en día hay varios multimillonarios en el país.</w:t>
      </w:r>
    </w:p>
    <w:p w:rsidR="00737DC2" w:rsidRDefault="00737DC2" w:rsidP="00737DC2">
      <w:pPr>
        <w:spacing w:line="240" w:lineRule="auto"/>
        <w:jc w:val="both"/>
        <w:rPr>
          <w:rFonts w:ascii="Times New Roman" w:hAnsi="Times New Roman" w:cs="Times New Roman"/>
          <w:sz w:val="24"/>
          <w:szCs w:val="24"/>
          <w:shd w:val="clear" w:color="auto" w:fill="FFFFFF"/>
        </w:rPr>
      </w:pPr>
      <w:r>
        <w:rPr>
          <w:noProof/>
          <w:lang w:val="en-GB" w:eastAsia="zh-CN"/>
        </w:rPr>
        <w:drawing>
          <wp:inline distT="0" distB="0" distL="0" distR="0">
            <wp:extent cx="5734050" cy="2565400"/>
            <wp:effectExtent l="0" t="0" r="0" b="6350"/>
            <wp:docPr id="259" name="Imagen 259" descr="zitelmann-numero-de-ricos-multimillonarios-vs-cifra-de-pobres-porcentaje-tasa-pobreza-forbes-oxf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itelmann-numero-de-ricos-multimillonarios-vs-cifra-de-pobres-porcentaje-tasa-pobreza-forbes-oxfam.jpg"/>
                    <pic:cNvPicPr>
                      <a:picLocks noChangeAspect="1" noChangeArrowheads="1"/>
                    </pic:cNvPicPr>
                  </pic:nvPicPr>
                  <pic:blipFill>
                    <a:blip r:embed="rId3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64264"/>
                    </a:xfrm>
                    <a:prstGeom prst="rect">
                      <a:avLst/>
                    </a:prstGeom>
                    <a:noFill/>
                    <a:ln>
                      <a:noFill/>
                    </a:ln>
                  </pic:spPr>
                </pic:pic>
              </a:graphicData>
            </a:graphic>
          </wp:inline>
        </w:drawing>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Según dicen “lo que saben” </w:t>
      </w:r>
      <w:r w:rsidRPr="00822031">
        <w:rPr>
          <w:rFonts w:ascii="Times New Roman" w:hAnsi="Times New Roman" w:cs="Times New Roman"/>
          <w:sz w:val="24"/>
          <w:szCs w:val="24"/>
          <w:shd w:val="clear" w:color="auto" w:fill="FFFFFF"/>
        </w:rPr>
        <w:t>en las últimas décadas, la caída de la pobreza se ha acelerado a un ritmo sin igual en ningún periodo anterior de la historia humana. En 1981, la tasa de pobreza absoluta era aún del 42,7 por ciento. En cambio, en 2000, había caído al 27,8 por ciento y en 2021 ya estaba por debajo del 10 por ciento.</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¿Pero qué ha ocurrido en los países ricos (ahora, en vías de subdesarrollo)? ¿La “tierra plana”… y la libre competencia… ha beneficiado a los países avanzados, países emergentes, países en vías de desarrollo, y países pobres… por igual? ¿La “lluvia fina” ha calado de idéntico modo entre la población de las naciones? Veamos a ver, como dice el castizo:</w:t>
      </w:r>
    </w:p>
    <w:p w:rsidR="00737DC2" w:rsidRPr="007124B4" w:rsidRDefault="00737DC2" w:rsidP="00737DC2">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xml:space="preserve">• La riqueza de los milmillonarios se ha duplicado en los últimos diez años, acaparando casi seis veces más riqueza de la que acaba en manos del 50 % más pobre de la población. </w:t>
      </w:r>
    </w:p>
    <w:p w:rsidR="00737DC2" w:rsidRPr="007124B4" w:rsidRDefault="00737DC2" w:rsidP="00737DC2">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xml:space="preserve">• De cada 100 dólares de la riqueza generada en los últimos diez años, 54,40 dólares han ido a parar a manos del 1 % más rico de la población, mientras que el 50 % más pobre tan solo ha percibido 0,70 dólares. </w:t>
      </w:r>
    </w:p>
    <w:p w:rsidR="00737DC2" w:rsidRPr="007124B4" w:rsidRDefault="00737DC2" w:rsidP="00737DC2">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xml:space="preserve">• La riqueza obtenida por el 1 % más rico de la población en los últimos diez años es 74 veces mayor que la que ha llegado a manos del 50 % más pobre. Más recientemente, la pandemia de la COVID-19 y el incremento desbocado de los precios de los alimentos y la energía han agravado aún más esta desigualdad extrema. </w:t>
      </w:r>
    </w:p>
    <w:p w:rsidR="00737DC2" w:rsidRPr="007124B4" w:rsidRDefault="00737DC2" w:rsidP="00737DC2">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lastRenderedPageBreak/>
        <w:t xml:space="preserve">• Desde 2020, por cada dólar de nueva riqueza que pudiera obtener cualquier persona perteneciente al 90 % más pobre, un milmillonario se embolsa 1,7 millones de dólares. </w:t>
      </w:r>
    </w:p>
    <w:p w:rsidR="00737DC2" w:rsidRPr="007124B4" w:rsidRDefault="00737DC2" w:rsidP="00737DC2">
      <w:pPr>
        <w:spacing w:line="240" w:lineRule="auto"/>
        <w:jc w:val="both"/>
        <w:rPr>
          <w:rFonts w:ascii="Times New Roman" w:hAnsi="Times New Roman" w:cs="Times New Roman"/>
          <w:sz w:val="24"/>
          <w:szCs w:val="24"/>
          <w:shd w:val="clear" w:color="auto" w:fill="FFFFFF"/>
        </w:rPr>
      </w:pPr>
      <w:r w:rsidRPr="007124B4">
        <w:rPr>
          <w:rFonts w:ascii="Times New Roman" w:hAnsi="Times New Roman" w:cs="Times New Roman"/>
          <w:sz w:val="24"/>
          <w:szCs w:val="24"/>
        </w:rPr>
        <w:t>• Por cada 100 dólares de nueva riqueza generados en la economía mundial entre diciembre de 2019 y diciembre de 2021,  fueron a parar a manos del 1 % más rico de la población, y tan solo 10 al 90 % más pobre.</w:t>
      </w:r>
    </w:p>
    <w:p w:rsidR="00737DC2" w:rsidRPr="006070B5" w:rsidRDefault="00737DC2" w:rsidP="00737DC2">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Desde 2020, el 1% más rico ha acaparado casi dos terceras partes de la nueva riqueza generada en el mundo, casi el doble que el 99 % restante.</w:t>
      </w:r>
    </w:p>
    <w:p w:rsidR="00737DC2" w:rsidRPr="006070B5" w:rsidRDefault="00737DC2" w:rsidP="00737DC2">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La fortuna de los milmillonarios aumenta en 2700 millones de dólares cada día, mientras que los salarios de al menos 1700 millones de trabajadoras y trabajadores, más que la población de India, crecen por debajo de lo que sube la inflación.</w:t>
      </w:r>
    </w:p>
    <w:p w:rsidR="00737DC2" w:rsidRDefault="00737DC2" w:rsidP="00737DC2">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xml:space="preserve">• Por cada dólar recaudado en impuestos a nivel global, tan sólo 4 centavos se recaudan sobre la riqueza, y la mitad de los milmillonarios del mundo vive en países donde no se aplica ningún impuesto de sucesiones a la riqueza que heredan sus descendientes. </w:t>
      </w:r>
    </w:p>
    <w:p w:rsidR="00737DC2" w:rsidRPr="006070B5" w:rsidRDefault="00737DC2" w:rsidP="00737DC2">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xml:space="preserve">Tiempos de crisis que están generando enormes fortunas para una minoría privilegiada </w:t>
      </w:r>
    </w:p>
    <w:p w:rsidR="00737DC2" w:rsidRPr="006070B5" w:rsidRDefault="00737DC2" w:rsidP="00737DC2">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Mientras tanto, la concentración de riqueza acumulada e</w:t>
      </w:r>
      <w:r>
        <w:rPr>
          <w:rFonts w:ascii="Times New Roman" w:hAnsi="Times New Roman" w:cs="Times New Roman"/>
          <w:sz w:val="24"/>
          <w:szCs w:val="24"/>
        </w:rPr>
        <w:t xml:space="preserve">n manos de una minoría de </w:t>
      </w:r>
      <w:proofErr w:type="gramStart"/>
      <w:r>
        <w:rPr>
          <w:rFonts w:ascii="Times New Roman" w:hAnsi="Times New Roman" w:cs="Times New Roman"/>
          <w:sz w:val="24"/>
          <w:szCs w:val="24"/>
        </w:rPr>
        <w:t>ultra</w:t>
      </w:r>
      <w:r w:rsidRPr="006070B5">
        <w:rPr>
          <w:rFonts w:ascii="Times New Roman" w:hAnsi="Times New Roman" w:cs="Times New Roman"/>
          <w:sz w:val="24"/>
          <w:szCs w:val="24"/>
        </w:rPr>
        <w:t xml:space="preserve"> ricos</w:t>
      </w:r>
      <w:proofErr w:type="gramEnd"/>
      <w:r w:rsidRPr="006070B5">
        <w:rPr>
          <w:rFonts w:ascii="Times New Roman" w:hAnsi="Times New Roman" w:cs="Times New Roman"/>
          <w:sz w:val="24"/>
          <w:szCs w:val="24"/>
        </w:rPr>
        <w:t xml:space="preserve">, que ya alcanzaba niveles récord, se ha intensificado. La actual “policrisis” global ha enriquecido aún más a esta reducida élite. Durante la última década, el 1 % más rico de la humanidad ha acaparado más del 50 % de la nueva riqueza global generada. </w:t>
      </w:r>
    </w:p>
    <w:p w:rsidR="00737DC2" w:rsidRDefault="00737DC2" w:rsidP="00737DC2">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El análisis de Oxfam a partir de los datos de Credit Suisse muestra que, desde 2020, la súper concentración de riqueza por parte de los súper ricos se ha intensificado. Desde entonces, dos tercios de la nueva riqueza generada a nivel global han ido a parar al 1 % más rico, casi seis veces más que la que acaba en manos del 90 % más pobre de la humanidad. Esto supone que, por cada dólar de nueva riqueza obtenido por una persona perteneciente al 90 % más pobre de la humanidad, un milmillonario se embolsa 1,7 millones de dólares.</w:t>
      </w:r>
    </w:p>
    <w:p w:rsidR="00737DC2" w:rsidRDefault="00737DC2" w:rsidP="00737DC2">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Según el Banco Mundial, en el momento más crudo de la pandemia, las pérdidas de ingresos del 40 % más pobre de la población mundial duplicaron a las del 20 % más rico, y la desigualdad de ingresos a nivel global aumentó por primera vez en décadas.</w:t>
      </w:r>
    </w:p>
    <w:p w:rsidR="00737DC2" w:rsidRDefault="00737DC2" w:rsidP="00737DC2">
      <w:pPr>
        <w:spacing w:line="240" w:lineRule="auto"/>
        <w:jc w:val="both"/>
        <w:rPr>
          <w:rFonts w:ascii="Times New Roman" w:hAnsi="Times New Roman" w:cs="Times New Roman"/>
          <w:color w:val="FF0000"/>
          <w:sz w:val="24"/>
          <w:szCs w:val="24"/>
          <w:shd w:val="clear" w:color="auto" w:fill="FFFFFF"/>
        </w:rPr>
      </w:pPr>
      <w:r w:rsidRPr="006070B5">
        <w:rPr>
          <w:rFonts w:ascii="Times New Roman" w:hAnsi="Times New Roman" w:cs="Times New Roman"/>
          <w:noProof/>
          <w:color w:val="FF0000"/>
          <w:sz w:val="24"/>
          <w:szCs w:val="24"/>
          <w:shd w:val="clear" w:color="auto" w:fill="FFFFFF"/>
          <w:lang w:val="en-GB" w:eastAsia="zh-CN"/>
        </w:rPr>
        <w:drawing>
          <wp:inline distT="0" distB="0" distL="0" distR="0">
            <wp:extent cx="5734050" cy="2959100"/>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734050" cy="2959100"/>
                    </a:xfrm>
                    <a:prstGeom prst="rect">
                      <a:avLst/>
                    </a:prstGeom>
                  </pic:spPr>
                </pic:pic>
              </a:graphicData>
            </a:graphic>
          </wp:inline>
        </w:drawing>
      </w:r>
    </w:p>
    <w:p w:rsidR="00737DC2" w:rsidRPr="00E574AA" w:rsidRDefault="00737DC2" w:rsidP="00737DC2">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lastRenderedPageBreak/>
        <w:t>En 2022, la fortuna total de los milmillonarios cayó ligeramente después de haber alcanzado niveles sin precedentes en 2021, pero sigue estando varios billones de dólares por encima de su valor pre-pandemia. De hecho, los últimos datos sugieren que, en los últimos meses, los milmillonarios han empezado a recuperar de n</w:t>
      </w:r>
      <w:r>
        <w:rPr>
          <w:rFonts w:ascii="Times New Roman" w:hAnsi="Times New Roman" w:cs="Times New Roman"/>
          <w:sz w:val="24"/>
          <w:szCs w:val="24"/>
        </w:rPr>
        <w:t xml:space="preserve">uevo la senda del crecimiento. </w:t>
      </w:r>
    </w:p>
    <w:p w:rsidR="00737DC2" w:rsidRPr="00E574AA" w:rsidRDefault="00737DC2" w:rsidP="00737DC2">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xml:space="preserve">• El 1 % más rico de la población posee el 45,6 % de la riqueza mundial, mientras que la mitad más pobre tan solo tiene el 0,75 %. </w:t>
      </w:r>
    </w:p>
    <w:p w:rsidR="00737DC2" w:rsidRPr="00E574AA" w:rsidRDefault="00737DC2" w:rsidP="00737DC2">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81 milmillonarios poseen más riqueza que el 50 % de la población mundial.</w:t>
      </w:r>
    </w:p>
    <w:p w:rsidR="00737DC2" w:rsidRPr="00E574AA" w:rsidRDefault="00737DC2" w:rsidP="00737DC2">
      <w:pPr>
        <w:spacing w:line="240" w:lineRule="auto"/>
        <w:jc w:val="both"/>
        <w:rPr>
          <w:rFonts w:ascii="Times New Roman" w:hAnsi="Times New Roman" w:cs="Times New Roman"/>
          <w:color w:val="FF0000"/>
          <w:sz w:val="24"/>
          <w:szCs w:val="24"/>
          <w:shd w:val="clear" w:color="auto" w:fill="FFFFFF"/>
        </w:rPr>
      </w:pPr>
      <w:r w:rsidRPr="00E574AA">
        <w:rPr>
          <w:rFonts w:ascii="Times New Roman" w:hAnsi="Times New Roman" w:cs="Times New Roman"/>
          <w:sz w:val="24"/>
          <w:szCs w:val="24"/>
        </w:rPr>
        <w:t>• Diez milmillonarios poseen más riqueza que 200 millones de mujeres africanas en conjunto.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¿Es una sorpresa? ¿No se lo esperaban? ¿Será porque algunos ciudadanos (necios) de los países avanzados se niegan a creer en las “promesas” de los “illuminatis” del librecambio?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rPr>
        <w:t>¿</w:t>
      </w:r>
      <w:r w:rsidRPr="00DF40BB">
        <w:rPr>
          <w:rFonts w:ascii="Times New Roman" w:hAnsi="Times New Roman" w:cs="Times New Roman"/>
          <w:sz w:val="24"/>
          <w:szCs w:val="24"/>
          <w:shd w:val="clear" w:color="auto" w:fill="FFFFFF"/>
        </w:rPr>
        <w:t>Cuántos hechos tienen que cambiar, para que los “dogmáticos” del multilateralismo, cambien de opinión? ¿Cuántas crisis habrá que padecer antes que los “alquimistas” de la globalización, acepten su fracaso?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En el siglo XXI, diversas crisis han puesto a prueba a este mundo interconectado. La debacle financiera de 2008, surgida en Wall Street, se propagó por todo el mundo, llevando a algunos a cuestionar las ventajas de la interdependencia económica.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Nuevas figuras políticas como Donald Trump, en Estados Unidos, y Narendra Modri, en India, empezaron a fomentar la idea de priorizar las necesidades propias y la autosuficiencia, y en Europa, Reino Unido votó a favor del Brexit y se independizó de la Unión Europea.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“El futuro de nuestra manufactura, nuestro futuro económico, las soluciones a la crisis climática, todo se hará en EEUU”, declaró en marzo el presidente estadounidense, Joe Biden, quien, apenas asumió su cargo, lanzó una iniciativa gubernamental llamada “Made in America” (Hecho en EEUU)</w:t>
      </w:r>
      <w:r>
        <w:rPr>
          <w:rFonts w:ascii="Times New Roman" w:hAnsi="Times New Roman" w:cs="Times New Roman"/>
          <w:sz w:val="24"/>
          <w:szCs w:val="24"/>
          <w:shd w:val="clear" w:color="auto" w:fill="FFFFFF"/>
        </w:rPr>
        <w:t>.</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En tanto, su par chino, Xi Jinping, lanzó su propia estrategia “Made in China” (Hecho en China), que apunta a aumentar la inversión en tecnología, y ha defendido en reiteradas ocasiones su política de “zili gengsheng”, que se traduce como “autosuficiencia”.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“La guerra comercial durante el gobierno de Trump hizo que China se diera cuenta de que, a menos que sea autosuficiente, si el mundo decide darle la espalda, ya sea políticamente o económicamente, no tiene una salida”, señaló Cindy Yu, anfitriona del podcast “Chinese Whispers” (Susurros chinos).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Pero la estocada más fuerte contra la globalización llegó con la pandemia de coronavirus, que llevó a muchos países a cerrar no solo sus fronteras, sino también su exportación de equipos médicos, desde mascarillas hasta vacunas, esenciales para combatir el virus.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Desde entonces, la invasión rusa de Ucrania llevó a muchos países europeos a quedarse sin el gas que solían importar desde el país de Vladimir Putin, y limitó al acceso de otros a los granos ucranianos, provocando una escalada en los precios internacionales de los alimentos.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Ello ha exacerbado los llamados en muchos países para desarrollar lo que lo antiguos griegos definían como una autarquía: básicamente un sistema autosuficiente.</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lastRenderedPageBreak/>
        <w:t>Pero ¿puede un país realmente depender solamente de sí mismo para subsistir? Y ¿le conviene producir todo lo que necesita en su territorio en vez de importar, aunque sea una parte?</w:t>
      </w:r>
    </w:p>
    <w:p w:rsidR="00737DC2" w:rsidRPr="00DF40BB" w:rsidRDefault="00737DC2" w:rsidP="00737DC2">
      <w:pPr>
        <w:spacing w:line="240" w:lineRule="auto"/>
        <w:jc w:val="both"/>
        <w:rPr>
          <w:rFonts w:ascii="Times New Roman" w:hAnsi="Times New Roman" w:cs="Times New Roman"/>
          <w:sz w:val="24"/>
          <w:szCs w:val="24"/>
        </w:rPr>
      </w:pPr>
      <w:r w:rsidRPr="00DF40BB">
        <w:rPr>
          <w:rFonts w:ascii="Times New Roman" w:hAnsi="Times New Roman" w:cs="Times New Roman"/>
          <w:sz w:val="24"/>
          <w:szCs w:val="24"/>
          <w:shd w:val="clear" w:color="auto" w:fill="FFFFFF"/>
        </w:rPr>
        <w:t>¿Cómo sería un mundo menos globalizado y más autárquico? ¿Traería más prosperidad?</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BBCMundo investigó las dos principales áreas en las que se busca la autosuficiencia: los alimentos y la energía.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Autoabastecimiento alimentario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Hoy casi todos los países del mundo importan parte de lo que comen, pero cada vez hay más personas que defienden la idea de consumir lo que se produce localmente. Y no solo por una cuestión de autosuficiencia.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El autoabastecimiento alimentario podría reducir las emisiones de gases dañinos para el medio ambiente y ayudar así a combatir el cambio climático, ya que se evitaría transportar alimentos desde una punta del planeta a otra.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Otro argumento a favor de una mayor autosuficiencia en la producción de alimentos es que hace que un país sea menos vulnerable si las cadenas de suministro internacionales se cortan debido al clima, la guerra o incluso accidentes, como el bloqueo del Canal de Suez ocurrido a comienzos de 2021.</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“La noción de autarquía y seguridad alimentaria están arriba en la lista para el diseño de políticas en este momento”, señala Tim Lang, profesor de Política Alimentaria en la Universidad de Londres.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Pero ¿puede un país que actualmente importa mucha de su comida lograr autoabastecerse?</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 xml:space="preserve">Para averiguarlo, el periodista Ben Chu, editor de Economía del programa BBC Newsnight, viajó a Devon, Inglaterra, donde se producen muchos de los cultivos que alimentan a los británicos (BBCMundo - </w:t>
      </w:r>
      <w:r w:rsidRPr="00DF40BB">
        <w:rPr>
          <w:rFonts w:ascii="Times New Roman" w:hAnsi="Times New Roman" w:cs="Times New Roman"/>
          <w:b/>
          <w:sz w:val="24"/>
          <w:szCs w:val="24"/>
          <w:shd w:val="clear" w:color="auto" w:fill="FFFFFF"/>
        </w:rPr>
        <w:t>22/1/23</w:t>
      </w:r>
      <w:r w:rsidRPr="00DF40B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En la actualidad Reino Unido produce cerca de la mitad de sus alimentos e importa la otra mitad. ¿Podría producir el 100%?</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“Si podemos, pero tendríamos que cambiar radicalmente nuestra dieta”, le respondió Guy Singh-Watson, fundador de Riverside Organic y elegido Granjero del Año dos veces por Radio 4 de la BBC.</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“La gente tendría que acostumbrarse a comer solo lo que podemos producir localmente en cada estación”, afirmó. Eso significaría decirles adiós a productos que hoy forman parte de la dieta común</w:t>
      </w:r>
      <w:r>
        <w:rPr>
          <w:rFonts w:ascii="Times New Roman" w:hAnsi="Times New Roman" w:cs="Times New Roman"/>
          <w:sz w:val="24"/>
          <w:szCs w:val="24"/>
          <w:shd w:val="clear" w:color="auto" w:fill="FFFFFF"/>
        </w:rPr>
        <w:t xml:space="preserve">, como por ejemplo las bananas. </w:t>
      </w:r>
      <w:r w:rsidRPr="00DF40BB">
        <w:rPr>
          <w:rFonts w:ascii="Times New Roman" w:hAnsi="Times New Roman" w:cs="Times New Roman"/>
          <w:sz w:val="24"/>
          <w:szCs w:val="24"/>
          <w:shd w:val="clear" w:color="auto" w:fill="FFFFFF"/>
        </w:rPr>
        <w:t>“Además tendríamos que comer much</w:t>
      </w:r>
      <w:r>
        <w:rPr>
          <w:rFonts w:ascii="Times New Roman" w:hAnsi="Times New Roman" w:cs="Times New Roman"/>
          <w:sz w:val="24"/>
          <w:szCs w:val="24"/>
          <w:shd w:val="clear" w:color="auto" w:fill="FFFFFF"/>
        </w:rPr>
        <w:t>ísima menos proteína animal -</w:t>
      </w:r>
      <w:r w:rsidRPr="00DF40BB">
        <w:rPr>
          <w:rFonts w:ascii="Times New Roman" w:hAnsi="Times New Roman" w:cs="Times New Roman"/>
          <w:sz w:val="24"/>
          <w:szCs w:val="24"/>
          <w:shd w:val="clear" w:color="auto" w:fill="FFFFFF"/>
        </w:rPr>
        <w:t>pro</w:t>
      </w:r>
      <w:r>
        <w:rPr>
          <w:rFonts w:ascii="Times New Roman" w:hAnsi="Times New Roman" w:cs="Times New Roman"/>
          <w:sz w:val="24"/>
          <w:szCs w:val="24"/>
          <w:shd w:val="clear" w:color="auto" w:fill="FFFFFF"/>
        </w:rPr>
        <w:t>ductos lácteos, huevos y carne-”</w:t>
      </w:r>
      <w:r w:rsidRPr="00DF40BB">
        <w:rPr>
          <w:rFonts w:ascii="Times New Roman" w:hAnsi="Times New Roman" w:cs="Times New Roman"/>
          <w:sz w:val="24"/>
          <w:szCs w:val="24"/>
          <w:shd w:val="clear" w:color="auto" w:fill="FFFFFF"/>
        </w:rPr>
        <w:t>, agregó Singh-Watson.</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El motivo es que mucha de la tierra para el pastoreo de animales tendría que dedicarse a los cultivos que antes se traían de afuera.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El economista Brad DeLong, autor del libro “Slouching Towards Utopia: An Economic History of the Twentieth Century” (“Encorvarse hacia la utopía: una historia económica del siglo XX”) resalta que, debido a estas limitaciones, autoabastecerse no es conveniente</w:t>
      </w:r>
      <w:proofErr w:type="gramStart"/>
      <w:r w:rsidRPr="00DF40BB">
        <w:rPr>
          <w:rFonts w:ascii="Times New Roman" w:hAnsi="Times New Roman" w:cs="Times New Roman"/>
          <w:sz w:val="24"/>
          <w:szCs w:val="24"/>
          <w:shd w:val="clear" w:color="auto" w:fill="FFFFFF"/>
        </w:rPr>
        <w:t>.“</w:t>
      </w:r>
      <w:proofErr w:type="gramEnd"/>
      <w:r w:rsidRPr="00DF40BB">
        <w:rPr>
          <w:rFonts w:ascii="Times New Roman" w:hAnsi="Times New Roman" w:cs="Times New Roman"/>
          <w:sz w:val="24"/>
          <w:szCs w:val="24"/>
          <w:shd w:val="clear" w:color="auto" w:fill="FFFFFF"/>
        </w:rPr>
        <w:t>No puedes cultivar o minar todo lo que quieres dentro de tus fronteras, y, sobre todo, no puedes hacerlo de manera eficiente y barata”, sostiene este defensor del libre comercio.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lastRenderedPageBreak/>
        <w:t>DeLong señala, además, que al tratar de producir todo uno mismo “estás sacrificando una enorme cantidad de ganancias potenciales a través del comercio”, ya que diferentes países tienen diferentes ventajas a la hora de producir.</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Otros expertos advierten que los intentos por lograr la autosuficiencia alimentaria en el pasado h</w:t>
      </w:r>
      <w:r>
        <w:rPr>
          <w:rFonts w:ascii="Times New Roman" w:hAnsi="Times New Roman" w:cs="Times New Roman"/>
          <w:sz w:val="24"/>
          <w:szCs w:val="24"/>
          <w:shd w:val="clear" w:color="auto" w:fill="FFFFFF"/>
        </w:rPr>
        <w:t xml:space="preserve">an tenido graves consecuencias. </w:t>
      </w:r>
      <w:r w:rsidRPr="00DF40BB">
        <w:rPr>
          <w:rFonts w:ascii="Times New Roman" w:hAnsi="Times New Roman" w:cs="Times New Roman"/>
          <w:sz w:val="24"/>
          <w:szCs w:val="24"/>
          <w:shd w:val="clear" w:color="auto" w:fill="FFFFFF"/>
        </w:rPr>
        <w:t>Ceyla Pazarbasioglu, directora de estrategia del Fondo Monetario Internacional (FMI), cree que los países deben diversificar y fortalecer sus cadenas de suministro de alimentos.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Pero advierte que los intentos de autarquía en los países más ricos pueden tener “consecuencias trágicas” sobre la</w:t>
      </w:r>
      <w:r>
        <w:rPr>
          <w:rFonts w:ascii="Times New Roman" w:hAnsi="Times New Roman" w:cs="Times New Roman"/>
          <w:sz w:val="24"/>
          <w:szCs w:val="24"/>
          <w:shd w:val="clear" w:color="auto" w:fill="FFFFFF"/>
        </w:rPr>
        <w:t xml:space="preserve">s naciones menos desarrolladas. </w:t>
      </w:r>
      <w:r w:rsidRPr="00DF40BB">
        <w:rPr>
          <w:rFonts w:ascii="Times New Roman" w:hAnsi="Times New Roman" w:cs="Times New Roman"/>
          <w:sz w:val="24"/>
          <w:szCs w:val="24"/>
          <w:shd w:val="clear" w:color="auto" w:fill="FFFFFF"/>
        </w:rPr>
        <w:t>“Después de la invasión rusa de Ucrania, hemos visto a unos 30 países imponer restricciones a la exportación”, señaló. “Esto ha tenido implicaciones para muchos y especialmente para los más vulnerables porque su consumo de alimentos es mucho mayor en términos de su consumo general”.</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Autoabastecimiento energético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Si hablamos de energía, ahí hay una mayor coincidencia entre muchos expertos de que tiene mucho sentido tratar de generar lo más posib</w:t>
      </w:r>
      <w:r>
        <w:rPr>
          <w:rFonts w:ascii="Times New Roman" w:hAnsi="Times New Roman" w:cs="Times New Roman"/>
          <w:sz w:val="24"/>
          <w:szCs w:val="24"/>
          <w:shd w:val="clear" w:color="auto" w:fill="FFFFFF"/>
        </w:rPr>
        <w:t xml:space="preserve">le, puertas adentro. </w:t>
      </w:r>
      <w:r w:rsidRPr="00DF40BB">
        <w:rPr>
          <w:rFonts w:ascii="Times New Roman" w:hAnsi="Times New Roman" w:cs="Times New Roman"/>
          <w:sz w:val="24"/>
          <w:szCs w:val="24"/>
          <w:shd w:val="clear" w:color="auto" w:fill="FFFFFF"/>
        </w:rPr>
        <w:t>No solo por razones de seguridad, sino porque las formas modernas de energía renovable generadas localmente, como la eólica y la solar, tienen emisiones de carbono insignificantes, a diferencia de los combustibles fósiles como el gas, el petróleo y el carbón, que en la mayoría de los casos se importan desde el exterior.</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En ese sentido, el giro autárquico que está viviendo el mundo por la pospandemia y la guerra en Ucrania podría ayudar al planeta a descarbonizarse y frenar el calentamiento global.</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Pero ¿es posible lograr el autoabastecimiento energético?</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Para su serie, Chu investigó el potencial de Reino Unido para crear sus propias fuentes de energía.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El empresario Greg Jackson, CEO de Octopus Energy, generadora de energía tanto tradicional como renovable, aseguró que el país podría depender principalmente de energías como la eólica y la solar, algo en lo que coincide</w:t>
      </w:r>
      <w:r>
        <w:rPr>
          <w:rFonts w:ascii="Times New Roman" w:hAnsi="Times New Roman" w:cs="Times New Roman"/>
          <w:sz w:val="24"/>
          <w:szCs w:val="24"/>
          <w:shd w:val="clear" w:color="auto" w:fill="FFFFFF"/>
        </w:rPr>
        <w:t xml:space="preserve">n otros expertos de ese sector. </w:t>
      </w:r>
      <w:r w:rsidRPr="00DF40BB">
        <w:rPr>
          <w:rFonts w:ascii="Times New Roman" w:hAnsi="Times New Roman" w:cs="Times New Roman"/>
          <w:sz w:val="24"/>
          <w:szCs w:val="24"/>
          <w:shd w:val="clear" w:color="auto" w:fill="FFFFFF"/>
        </w:rPr>
        <w:t>Sin embargo, esto requeriría crear campos gigantes repletos de turbinas de viento y paneles solares, algo a lo que se oponen muchos en zonas rurales, por considerar que arruinaría el paisaje.</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 xml:space="preserve">Josh Stratton, de JM Stratton &amp; Co, que tiene granjas de paneles solares, reconoce que hay que tener </w:t>
      </w:r>
      <w:r>
        <w:rPr>
          <w:rFonts w:ascii="Times New Roman" w:hAnsi="Times New Roman" w:cs="Times New Roman"/>
          <w:sz w:val="24"/>
          <w:szCs w:val="24"/>
          <w:shd w:val="clear" w:color="auto" w:fill="FFFFFF"/>
        </w:rPr>
        <w:t xml:space="preserve">mucho cuidado dónde se colocan. </w:t>
      </w:r>
      <w:r w:rsidRPr="00DF40BB">
        <w:rPr>
          <w:rFonts w:ascii="Times New Roman" w:hAnsi="Times New Roman" w:cs="Times New Roman"/>
          <w:sz w:val="24"/>
          <w:szCs w:val="24"/>
          <w:shd w:val="clear" w:color="auto" w:fill="FFFFFF"/>
        </w:rPr>
        <w:t>“En las décadas de 1950 y 1960 se erigieron las grandes torres de alta tensión, y hasta el día de hoy se las ve como una cicatriz visible”, señaló. “Tenemos que ser muy cuidadosos con dónde los ponemos porque no estarán colocados solo por cinco o diez años, o mientras tenemos una crisis energética”.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Entonces, ¿estarán países como Reino Unido preparados para pagar el “precio visual” que se requiere para tener autosuficiencia energética?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Para Greg Jackson, muchos lo verán con mejores ojos cuando se den cuenta de que viviendo cerca de estas fuentes de energía renovables sus costos energéticos bajarían notablemente</w:t>
      </w:r>
      <w:proofErr w:type="gramStart"/>
      <w:r w:rsidRPr="00DF40BB">
        <w:rPr>
          <w:rFonts w:ascii="Times New Roman" w:hAnsi="Times New Roman" w:cs="Times New Roman"/>
          <w:sz w:val="24"/>
          <w:szCs w:val="24"/>
          <w:shd w:val="clear" w:color="auto" w:fill="FFFFFF"/>
        </w:rPr>
        <w:t>.“</w:t>
      </w:r>
      <w:proofErr w:type="gramEnd"/>
      <w:r w:rsidRPr="00DF40BB">
        <w:rPr>
          <w:rFonts w:ascii="Times New Roman" w:hAnsi="Times New Roman" w:cs="Times New Roman"/>
          <w:sz w:val="24"/>
          <w:szCs w:val="24"/>
          <w:shd w:val="clear" w:color="auto" w:fill="FFFFFF"/>
        </w:rPr>
        <w:t>Cuanto más las personas empiecen a sentir estos beneficios, más habrá un efecto bola de nieve hacia ese mundo de energías más limpias y baratas”.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lastRenderedPageBreak/>
        <w:t xml:space="preserve">Sin embargo, el periodista y exfuncionario estadounidense Scott Malcomson, experto en globalización, advierte que los países no podrán lograr una verdadera autarquía energética si no son dueños de los recursos que se </w:t>
      </w:r>
      <w:r>
        <w:rPr>
          <w:rFonts w:ascii="Times New Roman" w:hAnsi="Times New Roman" w:cs="Times New Roman"/>
          <w:sz w:val="24"/>
          <w:szCs w:val="24"/>
          <w:shd w:val="clear" w:color="auto" w:fill="FFFFFF"/>
        </w:rPr>
        <w:t xml:space="preserve">usan para producir esa energía. </w:t>
      </w:r>
      <w:r w:rsidRPr="00DF40BB">
        <w:rPr>
          <w:rFonts w:ascii="Times New Roman" w:hAnsi="Times New Roman" w:cs="Times New Roman"/>
          <w:sz w:val="24"/>
          <w:szCs w:val="24"/>
          <w:shd w:val="clear" w:color="auto" w:fill="FFFFFF"/>
        </w:rPr>
        <w:t>“Si quieres lograr la autosuficiencia tienes que tener autosuficiencia de insumos. Puede ser petróleo y gas o los minerales que se necesitan para fabricar baterías en vehículos de energía limpia”, afirma.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Malcomson agrega que e</w:t>
      </w:r>
      <w:r>
        <w:rPr>
          <w:rFonts w:ascii="Times New Roman" w:hAnsi="Times New Roman" w:cs="Times New Roman"/>
          <w:sz w:val="24"/>
          <w:szCs w:val="24"/>
          <w:shd w:val="clear" w:color="auto" w:fill="FFFFFF"/>
        </w:rPr>
        <w:t>n un mundo crecientemente autárqu</w:t>
      </w:r>
      <w:r w:rsidRPr="00DF40BB">
        <w:rPr>
          <w:rFonts w:ascii="Times New Roman" w:hAnsi="Times New Roman" w:cs="Times New Roman"/>
          <w:sz w:val="24"/>
          <w:szCs w:val="24"/>
          <w:shd w:val="clear" w:color="auto" w:fill="FFFFFF"/>
        </w:rPr>
        <w:t>ico esos recursos podrían generar conflictos entre países, lo que pondría en riesgo no solo su seguridad sino también su prosperidad económica.</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Es decir que, si bien depender de otros países para importar energía puede representar una amenaza para la seguridad nacional, garantizar el autoabastecimiento energético también puede conllevar peligros.</w:t>
      </w:r>
    </w:p>
    <w:p w:rsidR="00737DC2" w:rsidRPr="00DF40BB"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“Si los países lo hacen todo puertas adentro tienen más riesgos porque dentro de los países también puede haber turbulencias”, agrega Ceyla Pazarbasioglu, del Fondo Monetario Internacional</w:t>
      </w:r>
      <w:proofErr w:type="gramStart"/>
      <w:r w:rsidRPr="00DF40BB">
        <w:rPr>
          <w:rFonts w:ascii="Times New Roman" w:hAnsi="Times New Roman" w:cs="Times New Roman"/>
          <w:sz w:val="24"/>
          <w:szCs w:val="24"/>
          <w:shd w:val="clear" w:color="auto" w:fill="FFFFFF"/>
        </w:rPr>
        <w:t>.“</w:t>
      </w:r>
      <w:proofErr w:type="gramEnd"/>
      <w:r w:rsidRPr="00DF40BB">
        <w:rPr>
          <w:rFonts w:ascii="Times New Roman" w:hAnsi="Times New Roman" w:cs="Times New Roman"/>
          <w:sz w:val="24"/>
          <w:szCs w:val="24"/>
          <w:shd w:val="clear" w:color="auto" w:fill="FFFFFF"/>
        </w:rPr>
        <w:t>Va a ser importante que haya un balance entre diversificar (las cadenas de suministro) y tener una mayor proporción de países que producen ciertos bienes, pero al mismo tiempo teniendo algún nivel de producción interna”, aconseja.</w:t>
      </w:r>
    </w:p>
    <w:p w:rsidR="00737DC2" w:rsidRDefault="00737DC2" w:rsidP="00737DC2">
      <w:pPr>
        <w:spacing w:line="240" w:lineRule="auto"/>
        <w:jc w:val="both"/>
        <w:rPr>
          <w:rFonts w:ascii="Times New Roman" w:hAnsi="Times New Roman" w:cs="Times New Roman"/>
          <w:sz w:val="24"/>
          <w:szCs w:val="24"/>
          <w:shd w:val="clear" w:color="auto" w:fill="FFFFFF"/>
        </w:rPr>
      </w:pPr>
      <w:r w:rsidRPr="00DF40BB">
        <w:rPr>
          <w:rFonts w:ascii="Times New Roman" w:hAnsi="Times New Roman" w:cs="Times New Roman"/>
          <w:sz w:val="24"/>
          <w:szCs w:val="24"/>
          <w:shd w:val="clear" w:color="auto" w:fill="FFFFFF"/>
        </w:rPr>
        <w:t xml:space="preserve">La funcionaria también advierte sobre los riesgos de dejar atrás la globalización y la cooperación internacional en un mundo en el que muchas de las amenazas -como el cambio climático o </w:t>
      </w:r>
      <w:r>
        <w:rPr>
          <w:rFonts w:ascii="Times New Roman" w:hAnsi="Times New Roman" w:cs="Times New Roman"/>
          <w:sz w:val="24"/>
          <w:szCs w:val="24"/>
          <w:shd w:val="clear" w:color="auto" w:fill="FFFFFF"/>
        </w:rPr>
        <w:t xml:space="preserve">las pandemias- son compartidas. </w:t>
      </w:r>
      <w:r w:rsidRPr="00DF40BB">
        <w:rPr>
          <w:rFonts w:ascii="Times New Roman" w:hAnsi="Times New Roman" w:cs="Times New Roman"/>
          <w:sz w:val="24"/>
          <w:szCs w:val="24"/>
          <w:shd w:val="clear" w:color="auto" w:fill="FFFFFF"/>
        </w:rPr>
        <w:t>“Significará que habrá un mundo menos resiliente, más propenso a los shocks, y que habrá dificultades para resolver algunos de los desafíos globales que enfrentamos todos”</w:t>
      </w:r>
      <w:r>
        <w:rPr>
          <w:rFonts w:ascii="Times New Roman" w:hAnsi="Times New Roman" w:cs="Times New Roman"/>
          <w:sz w:val="24"/>
          <w:szCs w:val="24"/>
          <w:shd w:val="clear" w:color="auto" w:fill="FFFFFF"/>
        </w:rPr>
        <w:t xml:space="preserve">. </w:t>
      </w:r>
      <w:r w:rsidRPr="00DF40BB">
        <w:rPr>
          <w:rFonts w:ascii="Times New Roman" w:hAnsi="Times New Roman" w:cs="Times New Roman"/>
          <w:sz w:val="24"/>
          <w:szCs w:val="24"/>
          <w:shd w:val="clear" w:color="auto" w:fill="FFFFFF"/>
        </w:rPr>
        <w:t>Las consecuenci</w:t>
      </w:r>
      <w:r>
        <w:rPr>
          <w:rFonts w:ascii="Times New Roman" w:hAnsi="Times New Roman" w:cs="Times New Roman"/>
          <w:sz w:val="24"/>
          <w:szCs w:val="24"/>
          <w:shd w:val="clear" w:color="auto" w:fill="FFFFFF"/>
        </w:rPr>
        <w:t>as económicas de un mundo autárqu</w:t>
      </w:r>
      <w:r w:rsidRPr="00DF40BB">
        <w:rPr>
          <w:rFonts w:ascii="Times New Roman" w:hAnsi="Times New Roman" w:cs="Times New Roman"/>
          <w:sz w:val="24"/>
          <w:szCs w:val="24"/>
          <w:shd w:val="clear" w:color="auto" w:fill="FFFFFF"/>
        </w:rPr>
        <w:t>ico tam</w:t>
      </w:r>
      <w:r>
        <w:rPr>
          <w:rFonts w:ascii="Times New Roman" w:hAnsi="Times New Roman" w:cs="Times New Roman"/>
          <w:sz w:val="24"/>
          <w:szCs w:val="24"/>
          <w:shd w:val="clear" w:color="auto" w:fill="FFFFFF"/>
        </w:rPr>
        <w:t xml:space="preserve">bién serían negativas, asegura. </w:t>
      </w:r>
      <w:r w:rsidRPr="00DF40BB">
        <w:rPr>
          <w:rFonts w:ascii="Times New Roman" w:hAnsi="Times New Roman" w:cs="Times New Roman"/>
          <w:sz w:val="24"/>
          <w:szCs w:val="24"/>
          <w:shd w:val="clear" w:color="auto" w:fill="FFFFFF"/>
        </w:rPr>
        <w:t>“Tendríamos productividad mucho más baja, menor crecimiento económico y estándares de vida más bajos... exactamente lo opuesto de lo que hemos ganado en el pasado gracias a la globalización”.</w:t>
      </w:r>
    </w:p>
    <w:p w:rsidR="00737DC2" w:rsidRDefault="00737DC2" w:rsidP="00737DC2">
      <w:pPr>
        <w:spacing w:line="240" w:lineRule="auto"/>
        <w:jc w:val="both"/>
        <w:rPr>
          <w:rFonts w:ascii="Times New Roman" w:hAnsi="Times New Roman" w:cs="Times New Roman"/>
          <w:b/>
          <w:sz w:val="24"/>
          <w:szCs w:val="24"/>
          <w:shd w:val="clear" w:color="auto" w:fill="FFFFFF"/>
        </w:rPr>
      </w:pPr>
      <w:r w:rsidRPr="00314E99">
        <w:rPr>
          <w:rFonts w:ascii="Times New Roman" w:hAnsi="Times New Roman" w:cs="Times New Roman"/>
          <w:b/>
          <w:sz w:val="24"/>
          <w:szCs w:val="24"/>
          <w:shd w:val="clear" w:color="auto" w:fill="FFFFFF"/>
        </w:rPr>
        <w:t>Una mirada del lado de la gente</w:t>
      </w:r>
      <w:r>
        <w:rPr>
          <w:rFonts w:ascii="Times New Roman" w:hAnsi="Times New Roman" w:cs="Times New Roman"/>
          <w:b/>
          <w:sz w:val="24"/>
          <w:szCs w:val="24"/>
          <w:shd w:val="clear" w:color="auto" w:fill="FFFFFF"/>
        </w:rPr>
        <w:t xml:space="preserve"> (la fábrica de pobres en los países ricos)</w:t>
      </w:r>
    </w:p>
    <w:p w:rsidR="00737DC2" w:rsidRDefault="00737DC2" w:rsidP="00737D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tuviera que señalar al país europeo que ha sido más “adicto” y que más se ha (supuestamente) “beneficiado” de la globalización y el librecambio, ese sería Alemania. Para vender sus vehículos, maquinaria e</w:t>
      </w:r>
      <w:r w:rsidRPr="001C6C9F">
        <w:rPr>
          <w:rFonts w:ascii="Times New Roman" w:hAnsi="Times New Roman" w:cs="Times New Roman"/>
          <w:sz w:val="24"/>
          <w:szCs w:val="24"/>
          <w:shd w:val="clear" w:color="auto" w:fill="FFFFFF"/>
        </w:rPr>
        <w:t>léctrica</w:t>
      </w:r>
      <w:r>
        <w:rPr>
          <w:rFonts w:ascii="Times New Roman" w:hAnsi="Times New Roman" w:cs="Times New Roman"/>
          <w:sz w:val="24"/>
          <w:szCs w:val="24"/>
          <w:shd w:val="clear" w:color="auto" w:fill="FFFFFF"/>
        </w:rPr>
        <w:t>, productos f</w:t>
      </w:r>
      <w:r w:rsidRPr="001C6C9F">
        <w:rPr>
          <w:rFonts w:ascii="Times New Roman" w:hAnsi="Times New Roman" w:cs="Times New Roman"/>
          <w:sz w:val="24"/>
          <w:szCs w:val="24"/>
          <w:shd w:val="clear" w:color="auto" w:fill="FFFFFF"/>
        </w:rPr>
        <w:t>armacéuticos</w:t>
      </w:r>
      <w:r>
        <w:rPr>
          <w:rFonts w:ascii="Times New Roman" w:hAnsi="Times New Roman" w:cs="Times New Roman"/>
          <w:sz w:val="24"/>
          <w:szCs w:val="24"/>
          <w:shd w:val="clear" w:color="auto" w:fill="FFFFFF"/>
        </w:rPr>
        <w:t xml:space="preserve"> y químicos, aparatos ópticos, técnicos y médicos… se ha abrazado al multilateralismo, aunque ello llevara implícito un alto costo social (desindustrialización, empobrecimiento de la clase media, precariado). Para vender sus “autitos” a China y USA, renunció al modelo renano (autarquía). </w:t>
      </w:r>
    </w:p>
    <w:p w:rsidR="00737DC2" w:rsidRPr="00145C8A"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t xml:space="preserve">Sostiene Lidia Conde Batalla, analista de economía y política alemana (Cinco Días - </w:t>
      </w:r>
      <w:r w:rsidRPr="00145C8A">
        <w:rPr>
          <w:rFonts w:ascii="Times New Roman" w:hAnsi="Times New Roman" w:cs="Times New Roman"/>
          <w:b/>
          <w:sz w:val="24"/>
          <w:szCs w:val="24"/>
          <w:shd w:val="clear" w:color="auto" w:fill="FFFFFF"/>
        </w:rPr>
        <w:t>24/1/23</w:t>
      </w:r>
      <w:r w:rsidRPr="00145C8A">
        <w:rPr>
          <w:rFonts w:ascii="Times New Roman" w:hAnsi="Times New Roman" w:cs="Times New Roman"/>
          <w:sz w:val="24"/>
          <w:szCs w:val="24"/>
          <w:shd w:val="clear" w:color="auto" w:fill="FFFFFF"/>
        </w:rPr>
        <w:t>), que Alemania ya no es una manzana, descrita así porque casi toda la población formaba parte hasta ahora de la clase media. Se ha convertido en una pera, con más gente arriba y la mayoría abajo. Al club de los superricos, al que pertenecen 3.100 alemanes con un patrimonio de por lo menos 100 millones de dólares, se sumaron 300 afortunados en 2021, según el Boston Consulting Group. En el mundo solo hay dos países con todavía más superricos que en Alemania: China, con 8.500, y EEUU, con 25.800. La otra cara de la moneda: los ingresos medios disponibles ascienden en Alemania a 2.588 euros netos mensuales (los ingresos medianos son inferiores), según la Oficina Federal de Estadística. El Gobierno está ciego en justicia social, critica en enero el sindicato Verdi. Hay mucho trabajo, pero se gana poco dinero. Mientras la generación de los baby boomers se está jubilando, la siguiente a ella será la generación que viva peor que sus padres. Por primera vez tras la segunda Guerra Mundial, una cohorte tendrá menos recursos que sus progenitores.</w:t>
      </w:r>
    </w:p>
    <w:p w:rsidR="00737DC2" w:rsidRPr="00145C8A"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lastRenderedPageBreak/>
        <w:t>Según un estudio de la OCDE, la clase media está menguando en Alemania. Sobre todo la clase media baja es la que peor lo está pasando. A pesar de estar bien formada y de trabajar duro, el sueldo de la working class apenas alcanza para llegar a fin de mes. No obstante, hoy todavía el 64% de la población está considerada clase media, un porcentaje superior al de la mayoría de los Estados de la OCDE. Solo Dinamarca o Eslovaquia están por delante de Alemania, con el 69% y el 71%, respectivamente.</w:t>
      </w:r>
    </w:p>
    <w:p w:rsidR="00737DC2" w:rsidRPr="00145C8A"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t>Lo contradictorio es que esto pasa en un país con un empuje económico tremendo…Nunca hubo tanta gente trabajando, 45,6 millones de personas. Pero 2022 representó también una caída del poder adquisitivo. Y cada vez es más difícil abrirse camino para entrar en la clase media, según datos de la OCDE y de la fundación Bertelsmann.</w:t>
      </w:r>
    </w:p>
    <w:p w:rsidR="00737DC2" w:rsidRPr="00145C8A"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t>La clase media ha menguado considerablemente entre 1995 y 2018, pasando del 74% al 64%. “Alemania sigue teniendo una clase media amplia y estable“, defiende Dorothee Spannagel, jefa de Política Social del Instituto de Ciencias Sociales WSI de la fundación Hans-Bröckler. Pero está perdiendo gente en la clase media baja de la que forman parte 18 millones de personas. “Se desvanece la esperanza de poder adquirir una vivienda trabajando en un oficio sólido</w:t>
      </w:r>
      <w:proofErr w:type="gramStart"/>
      <w:r w:rsidRPr="00145C8A">
        <w:rPr>
          <w:rFonts w:ascii="Times New Roman" w:hAnsi="Times New Roman" w:cs="Times New Roman"/>
          <w:sz w:val="24"/>
          <w:szCs w:val="24"/>
          <w:shd w:val="clear" w:color="auto" w:fill="FFFFFF"/>
        </w:rPr>
        <w:t>.“</w:t>
      </w:r>
      <w:proofErr w:type="gramEnd"/>
      <w:r w:rsidRPr="00145C8A">
        <w:rPr>
          <w:rFonts w:ascii="Times New Roman" w:hAnsi="Times New Roman" w:cs="Times New Roman"/>
          <w:sz w:val="24"/>
          <w:szCs w:val="24"/>
          <w:shd w:val="clear" w:color="auto" w:fill="FFFFFF"/>
        </w:rPr>
        <w:t xml:space="preserve"> Y surgen miedos. Lo dice también el investigador Christoph Butterwegge, de Colonia: “La pobreza no es un problema que afecte solo a grupos marginales, sino a las familias”. Los altos alquileres, y el precio de la energía y la inflación están estrangulando sus economías. Y la gente no cree que la situación mejorará, según la encuesta realizada por la Sociedad de Investigación del Consumo GfK.</w:t>
      </w:r>
    </w:p>
    <w:p w:rsidR="00737DC2" w:rsidRPr="00145C8A"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t>El presidente de la patronal BDA, Rainer Dulgen, argumenta que Alemania está en medio de un cambio estructural y advierte que no podrá conservar su nivel de bienestar. En 2022 la población perdió poder adquisitivo y, por ahora, no espera recuperarlo. Patrick Sachweh, del centro de investigación de política social de la universidad de Bremen, apunta: “Son muchos y hasta ahora han vivido muy bien: profesores, funcionarios, gente con oficios”. Disponen de entre 1.700 y 3.100 euros netos mensuales. De entre 3.540 y 6.640, una familia compuesta por dos adultos y dos niños. Esa clase media es la que sostiene con sus impuestos el Estado Social, confía en la democracia y le da estabilidad. Hasta ahora ha sido la columna alemana. “Formar parte de la clase media fue siempre una aspiración y un factor integrador“, añade Sachweh. Ahora esa clase media está menguada, lo que afecta sobre todo a la generación de jóvenes de entre 18 y 29 años. Mientras el 71% de los baby boomers conseguían formar parte de la clase media poco después de empezar a trabajar, solo el 61% de los millennials (nacidos entre 1983 y 1996) lo ha conseguido.</w:t>
      </w:r>
    </w:p>
    <w:p w:rsidR="00737DC2" w:rsidRPr="00145C8A"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t>La pandemia aceleró ese proceso y, la inflación, todavía más. El profesor de Economía de Bath, Guy Standing, habla de una nueva clase social: el precariado, y de que la brecha entre ricos y pobres se abre cada vez más. En Alemania el 1% de la población dispone de una cuarta parte del patrimonio total. Y la mitad de la población solo dispone del 1% del patrimonio. La crisis actual, con inflación disparada y altos precios energéticos, golpea a quienes menos tienen. Entre 2021 y 2022 se duplicó hasta el 41% el porcentaje de hogares de la clase media baja que apenas tenían para pagar la energía. Aumentan los debates políticos por el miedo a la exclusión social y por las tendencias populistas. Y se registran cambios de mentalidad. Sachweh apunta que los padres de la clase media reorientarán sus inversiones, menos en casa propia y más en la formación de sus hijos para garantizarles el bienestar y el ascenso social. No hay que perder de vista que el patrimonio neto (cálculo de la mediana) de los hogares alemanes es inferior al de los españoles porque se invierte menos en vivienda propia.</w:t>
      </w:r>
    </w:p>
    <w:p w:rsidR="00737DC2" w:rsidRDefault="00737DC2" w:rsidP="00737DC2">
      <w:pPr>
        <w:spacing w:line="240" w:lineRule="auto"/>
        <w:jc w:val="both"/>
        <w:rPr>
          <w:rFonts w:ascii="Times New Roman" w:hAnsi="Times New Roman" w:cs="Times New Roman"/>
          <w:sz w:val="24"/>
          <w:szCs w:val="24"/>
          <w:shd w:val="clear" w:color="auto" w:fill="FFFFFF"/>
        </w:rPr>
      </w:pPr>
      <w:r w:rsidRPr="00145C8A">
        <w:rPr>
          <w:rFonts w:ascii="Times New Roman" w:hAnsi="Times New Roman" w:cs="Times New Roman"/>
          <w:sz w:val="24"/>
          <w:szCs w:val="24"/>
          <w:shd w:val="clear" w:color="auto" w:fill="FFFFFF"/>
        </w:rPr>
        <w:lastRenderedPageBreak/>
        <w:t xml:space="preserve">Según Marcel Fratzscher, jefe del instituto de investigación DIW, la crisis social se agravará porque las clases medias y bajas pagarán más por la crisis y disponen de pocos recursos y </w:t>
      </w:r>
      <w:proofErr w:type="gramStart"/>
      <w:r w:rsidRPr="00145C8A">
        <w:rPr>
          <w:rFonts w:ascii="Times New Roman" w:hAnsi="Times New Roman" w:cs="Times New Roman"/>
          <w:sz w:val="24"/>
          <w:szCs w:val="24"/>
          <w:shd w:val="clear" w:color="auto" w:fill="FFFFFF"/>
        </w:rPr>
        <w:t>pocos</w:t>
      </w:r>
      <w:proofErr w:type="gramEnd"/>
      <w:r w:rsidRPr="00145C8A">
        <w:rPr>
          <w:rFonts w:ascii="Times New Roman" w:hAnsi="Times New Roman" w:cs="Times New Roman"/>
          <w:sz w:val="24"/>
          <w:szCs w:val="24"/>
          <w:shd w:val="clear" w:color="auto" w:fill="FFFFFF"/>
        </w:rPr>
        <w:t xml:space="preserve"> ahorros para compensarlo. Si Alemania no vira, perderá el consenso.</w:t>
      </w:r>
    </w:p>
    <w:p w:rsidR="00737DC2" w:rsidRPr="007342ED" w:rsidRDefault="00737DC2" w:rsidP="00737DC2">
      <w:pPr>
        <w:spacing w:line="240" w:lineRule="auto"/>
        <w:jc w:val="both"/>
        <w:rPr>
          <w:rFonts w:ascii="Times New Roman" w:hAnsi="Times New Roman" w:cs="Times New Roman"/>
          <w:sz w:val="24"/>
          <w:szCs w:val="24"/>
          <w:shd w:val="clear" w:color="auto" w:fill="FFFFFF"/>
        </w:rPr>
      </w:pPr>
      <w:r w:rsidRPr="007342ED">
        <w:rPr>
          <w:rFonts w:ascii="Times New Roman" w:hAnsi="Times New Roman" w:cs="Times New Roman"/>
          <w:sz w:val="24"/>
          <w:szCs w:val="24"/>
          <w:shd w:val="clear" w:color="auto" w:fill="FFFFFF"/>
        </w:rPr>
        <w:t xml:space="preserve">La dependencia de Europa respecto a Pekín ha aumentado a raíz del conflicto en Ucrania y de los planes para acelerar las transiciones verde y digital, señala Judith Arnal, Técnico Comercial y Economista del Estado y Doctora en Economía, colaboradora con Agenda Pública (Cinco Días - </w:t>
      </w:r>
      <w:r w:rsidRPr="007342ED">
        <w:rPr>
          <w:rFonts w:ascii="Times New Roman" w:hAnsi="Times New Roman" w:cs="Times New Roman"/>
          <w:b/>
          <w:sz w:val="24"/>
          <w:szCs w:val="24"/>
          <w:shd w:val="clear" w:color="auto" w:fill="FFFFFF"/>
        </w:rPr>
        <w:t>23/1/23</w:t>
      </w:r>
      <w:r w:rsidRPr="007342ED">
        <w:rPr>
          <w:rFonts w:ascii="Times New Roman" w:hAnsi="Times New Roman" w:cs="Times New Roman"/>
          <w:sz w:val="24"/>
          <w:szCs w:val="24"/>
          <w:shd w:val="clear" w:color="auto" w:fill="FFFFFF"/>
        </w:rPr>
        <w:t>)</w:t>
      </w:r>
    </w:p>
    <w:p w:rsidR="00737DC2" w:rsidRPr="007342ED" w:rsidRDefault="00737DC2" w:rsidP="00737DC2">
      <w:pPr>
        <w:spacing w:line="240" w:lineRule="auto"/>
        <w:jc w:val="both"/>
        <w:rPr>
          <w:rFonts w:ascii="Times New Roman" w:hAnsi="Times New Roman" w:cs="Times New Roman"/>
          <w:sz w:val="24"/>
          <w:szCs w:val="24"/>
          <w:shd w:val="clear" w:color="auto" w:fill="FFFFFF"/>
        </w:rPr>
      </w:pPr>
      <w:r w:rsidRPr="007342ED">
        <w:rPr>
          <w:rFonts w:ascii="Times New Roman" w:hAnsi="Times New Roman" w:cs="Times New Roman"/>
          <w:sz w:val="24"/>
          <w:szCs w:val="24"/>
          <w:shd w:val="clear" w:color="auto" w:fill="FFFFFF"/>
        </w:rPr>
        <w:t>La guerra contra Ucrania ha puesto de manifiesto la importancia de reforzar la autonomía estratégica abierta de la UE, acelerando la transformación de la economía. Un claro ejemplo ha sido el impulso a la transición energética, con el fin de reducir la dependencia del gas y petróleo rusos. Pero, en el intento de ser menos dependientes de Rusia, ¿está Europa aumentando su dependencia económica de otros países, como China? China es la segunda economía mundial, pero persigue un modelo económico y social distinto al de la UE, con diferentes intereses geopolíticos.</w:t>
      </w:r>
    </w:p>
    <w:p w:rsidR="00737DC2" w:rsidRPr="007342ED" w:rsidRDefault="00737DC2" w:rsidP="00737DC2">
      <w:pPr>
        <w:spacing w:line="240" w:lineRule="auto"/>
        <w:jc w:val="both"/>
        <w:rPr>
          <w:rFonts w:ascii="Times New Roman" w:hAnsi="Times New Roman" w:cs="Times New Roman"/>
          <w:sz w:val="24"/>
          <w:szCs w:val="24"/>
          <w:shd w:val="clear" w:color="auto" w:fill="FFFFFF"/>
        </w:rPr>
      </w:pPr>
      <w:r w:rsidRPr="007342ED">
        <w:rPr>
          <w:rFonts w:ascii="Times New Roman" w:hAnsi="Times New Roman" w:cs="Times New Roman"/>
          <w:sz w:val="24"/>
          <w:szCs w:val="24"/>
          <w:shd w:val="clear" w:color="auto" w:fill="FFFFFF"/>
        </w:rPr>
        <w:t xml:space="preserve">Una primera área en la que destaca el papel de China es en la extracción y refinamiento de materias primas críticas. Tal y como indicó la presidenta de la CE, Ursula Von der Leyen, el litio y las tierras raras serán pronto más importantes que el petróleo o el gas. Estos materiales son necesarios para acometer las transformaciones verde y digital de nuestras economías, por lo que se espera un fuerte aumento de su demanda en los próximos años. Teniendo en cuenta la importancia económica del material y el riesgo en su suministro, la Comisión Europea elabora cada tres años una lista con las materias primas críticas para la UE. En la última, de 2020, se refleja que el 98% de las tierras raras que consume la UE proceden de China, así como el 93% del magnesio, el 69% del wolframio, el 66% del escandio o el 49% del bismuto. Asimismo, la UE tiene dependencia de otros países cuyo sector minero está bajo el influjo de China, como es el caso de la RD del Congo, de donde la UE obtiene el 68% del cobalto que consume. </w:t>
      </w:r>
    </w:p>
    <w:p w:rsidR="00737DC2" w:rsidRPr="007342ED" w:rsidRDefault="00737DC2" w:rsidP="00737DC2">
      <w:pPr>
        <w:spacing w:line="240" w:lineRule="auto"/>
        <w:jc w:val="both"/>
        <w:rPr>
          <w:rFonts w:ascii="Times New Roman" w:hAnsi="Times New Roman" w:cs="Times New Roman"/>
          <w:sz w:val="24"/>
          <w:szCs w:val="24"/>
          <w:shd w:val="clear" w:color="auto" w:fill="FFFFFF"/>
        </w:rPr>
      </w:pPr>
      <w:r w:rsidRPr="007342ED">
        <w:rPr>
          <w:rFonts w:ascii="Times New Roman" w:hAnsi="Times New Roman" w:cs="Times New Roman"/>
          <w:sz w:val="24"/>
          <w:szCs w:val="24"/>
          <w:shd w:val="clear" w:color="auto" w:fill="FFFFFF"/>
        </w:rPr>
        <w:t>El papel que China juega en la transición verde de la economía europea va más allá de materias primas. En 2021, el 89% de los paneles solares y el 64% de turbinas de viento importados por la UE procedieron de China. Las cinco primeras empresas manufactureras de inversores solares, con una cuota de mercado superior al 60% en 2021 y con Huawei a la cabeza, también son de origen chino. El mercado de las baterías eléctricas para vehículos también está dominado por China, con las empresas CATL y BYD, que acumulan una cuota de mercado superior al 50% en 2022.</w:t>
      </w:r>
    </w:p>
    <w:p w:rsidR="00737DC2" w:rsidRDefault="00737DC2" w:rsidP="00737DC2">
      <w:pPr>
        <w:spacing w:line="240" w:lineRule="auto"/>
        <w:jc w:val="both"/>
        <w:rPr>
          <w:rFonts w:ascii="Times New Roman" w:hAnsi="Times New Roman" w:cs="Times New Roman"/>
          <w:sz w:val="24"/>
          <w:szCs w:val="24"/>
          <w:shd w:val="clear" w:color="auto" w:fill="FFFFFF"/>
        </w:rPr>
      </w:pPr>
      <w:r w:rsidRPr="007342ED">
        <w:rPr>
          <w:rFonts w:ascii="Times New Roman" w:hAnsi="Times New Roman" w:cs="Times New Roman"/>
          <w:sz w:val="24"/>
          <w:szCs w:val="24"/>
          <w:shd w:val="clear" w:color="auto" w:fill="FFFFFF"/>
        </w:rPr>
        <w:t>Las empresas chinas también están jugando un papel fundamental en la transformación digital de la UE. El coste relativamente más bajo y la calidad técnica ofrecida por proveedores chinos de 4G y 5G como Huawei y ZTE</w:t>
      </w:r>
      <w:r>
        <w:rPr>
          <w:rFonts w:ascii="Times New Roman" w:hAnsi="Times New Roman" w:cs="Times New Roman"/>
          <w:sz w:val="24"/>
          <w:szCs w:val="24"/>
          <w:shd w:val="clear" w:color="auto" w:fill="FFFFFF"/>
        </w:rPr>
        <w:t>,</w:t>
      </w:r>
      <w:r w:rsidRPr="007342ED">
        <w:rPr>
          <w:rFonts w:ascii="Times New Roman" w:hAnsi="Times New Roman" w:cs="Times New Roman"/>
          <w:sz w:val="24"/>
          <w:szCs w:val="24"/>
          <w:shd w:val="clear" w:color="auto" w:fill="FFFFFF"/>
        </w:rPr>
        <w:t xml:space="preserve"> llevó a muchos operadores europeos a optar por estas compañías para la implantación de tecnologías móviles. En 2015, la UE y China firmaron un importante acuerdo de cooperación en materia de despliegue de la tecnología 5G. No obstante, en 2017, China adoptó una ley de inteligencia nacional, estableciendo que las empresas y ciudadanos están obligados a colaborar con la seguridad nacional. Esto provocó una fuerte reacción de EEUU contra las empresas chinas, que ha acabado por extenderse a la UE.</w:t>
      </w:r>
    </w:p>
    <w:p w:rsidR="00737DC2" w:rsidRDefault="00737DC2" w:rsidP="00737DC2">
      <w:pPr>
        <w:spacing w:line="240" w:lineRule="auto"/>
        <w:jc w:val="both"/>
        <w:rPr>
          <w:rFonts w:ascii="Times New Roman" w:hAnsi="Times New Roman" w:cs="Times New Roman"/>
          <w:sz w:val="24"/>
          <w:szCs w:val="24"/>
          <w:shd w:val="clear" w:color="auto" w:fill="FFFFFF"/>
        </w:rPr>
      </w:pPr>
      <w:r w:rsidRPr="007342ED">
        <w:rPr>
          <w:rFonts w:ascii="Times New Roman" w:hAnsi="Times New Roman" w:cs="Times New Roman"/>
          <w:sz w:val="24"/>
          <w:szCs w:val="24"/>
          <w:shd w:val="clear" w:color="auto" w:fill="FFFFFF"/>
        </w:rPr>
        <w:t xml:space="preserve">En efecto, en 2020, la UE adoptó la caja de herramientas para la ciberseguridad 5G, estipulando que los Estados miembros deben analizar a los proveedores de tecnología 5G, estableciendo restricciones para aquellos catalogados como de alto riesgo. Esta caja de herramientas determina que han de ser clasificados como de alto riesgo aquellos proveedores </w:t>
      </w:r>
      <w:r w:rsidRPr="007342ED">
        <w:rPr>
          <w:rFonts w:ascii="Times New Roman" w:hAnsi="Times New Roman" w:cs="Times New Roman"/>
          <w:sz w:val="24"/>
          <w:szCs w:val="24"/>
          <w:shd w:val="clear" w:color="auto" w:fill="FFFFFF"/>
        </w:rPr>
        <w:lastRenderedPageBreak/>
        <w:t>que puedan estar sujetos a la interferencia de un tercer país no-UE, lo cual, teniendo en cuenta la ley de seguridad nacional china, apunta a que las empresas chinas de 5G han de ser clasificadas como tales. El enfoque seguido por los Estados miembros en la implementación de la caja de herramientas no es homogéneo, y va desde la prohibición directa sueca a los operadores de contratar con proveedores chinos hasta el enfoque alemán, caso por caso. A pesar de las reacciones de países como EEUU y de las medidas adoptadas por la UE, según un informe de la consultora danesa Strand, el 59% del equipamiento 5G RAN en Alemania en 2022 provenía de operadores chinos, frente al 57% del 4G RAN en 2020. Huawei tiene mayor cuota en Berlín que en Pekín, donde compite con otros operadores chinos.</w:t>
      </w:r>
    </w:p>
    <w:p w:rsidR="00737DC2" w:rsidRPr="00484F91" w:rsidRDefault="00737DC2" w:rsidP="00737DC2">
      <w:pPr>
        <w:spacing w:line="240" w:lineRule="auto"/>
        <w:jc w:val="both"/>
        <w:rPr>
          <w:rFonts w:ascii="Times New Roman" w:hAnsi="Times New Roman" w:cs="Times New Roman"/>
          <w:b/>
          <w:sz w:val="24"/>
          <w:szCs w:val="24"/>
          <w:shd w:val="clear" w:color="auto" w:fill="FFFFFF"/>
        </w:rPr>
      </w:pPr>
      <w:r w:rsidRPr="00484F91">
        <w:rPr>
          <w:rFonts w:ascii="Times New Roman" w:hAnsi="Times New Roman" w:cs="Times New Roman"/>
          <w:b/>
          <w:sz w:val="24"/>
          <w:szCs w:val="24"/>
          <w:shd w:val="clear" w:color="auto" w:fill="FFFFFF"/>
        </w:rPr>
        <w:t>Los daños ocultos del librecambio</w:t>
      </w:r>
    </w:p>
    <w:p w:rsidR="00737DC2" w:rsidRPr="004D0B4F"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el mundo, adhieran fervientemente al comercio libre.</w:t>
      </w:r>
    </w:p>
    <w:p w:rsidR="00737DC2" w:rsidRPr="004D0B4F"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El comercio internacional beneficia a unas pocas empresas y a unas pocas familias propietarias, perjudicando o en el mejor de los casos dejando en igualdad de condiciones, al resto de las empresas y familias, cualquiera sea el lugar de radicación o residencia. Para mayor agravante -si cabe-  el libre comercio -profetizado, publicitado e impuesto-, es solo una pantalla para la financierización de la economía, que es el objetivo buscado (y por lo que se constata, alcanzado).</w:t>
      </w:r>
    </w:p>
    <w:p w:rsidR="00737DC2" w:rsidRPr="004D0B4F"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El camino actual de la globalización del capitalismo deja cada vez más gente fuera del nuevo paradigma económico. Creer que todo se regulara por las leyes del mercado no significa que finalmente eso redunde en el interés del ciudadano común.</w:t>
      </w:r>
    </w:p>
    <w:p w:rsidR="00737DC2" w:rsidRPr="004D0B4F"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 xml:space="preserve">Con la globalización las empresas descubrieron que pueden producir en cualquier lugar del mundo, con mano de obra barata, precariedad laboral y posibilidades de evadir reglas. Rápido y barato. Ningún peso ni deberes para la empresa. Así, hay verdaderas zonas francas en el mundo, donde se trabaja sin derechos, sin descanso ni seguridad alguna. Y el patrón no tiene cara. Son los costados más oscuros del capitalismo </w:t>
      </w:r>
      <w:proofErr w:type="gramStart"/>
      <w:r w:rsidRPr="004D0B4F">
        <w:rPr>
          <w:rFonts w:ascii="Times New Roman" w:hAnsi="Times New Roman" w:cs="Times New Roman"/>
          <w:b/>
          <w:sz w:val="24"/>
          <w:szCs w:val="24"/>
          <w:shd w:val="clear" w:color="auto" w:fill="FFFFFF"/>
        </w:rPr>
        <w:t>globalizado</w:t>
      </w:r>
      <w:proofErr w:type="gramEnd"/>
      <w:r w:rsidRPr="004D0B4F">
        <w:rPr>
          <w:rFonts w:ascii="Times New Roman" w:hAnsi="Times New Roman" w:cs="Times New Roman"/>
          <w:b/>
          <w:sz w:val="24"/>
          <w:szCs w:val="24"/>
          <w:shd w:val="clear" w:color="auto" w:fill="FFFFFF"/>
        </w:rPr>
        <w:t>.</w:t>
      </w:r>
    </w:p>
    <w:p w:rsidR="00737DC2" w:rsidRPr="004D0B4F"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 xml:space="preserve">Los estados son impotentes ante los mercados y el poder de las corporaciones. Los gobiernos han quedado reducidos a meros lacayos serviles de las multinacionales. </w:t>
      </w:r>
    </w:p>
    <w:p w:rsidR="00737DC2" w:rsidRPr="004D0B4F"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¿Ante la falsa globalización de la libertad de mercado, que nos imponen los fascistas económicos, es posible proyectar un futuro diferente al pasado reciente? ¿Puede imaginarse un cambio de paradigma? ¿Sera posible que nos devuelvan el cerebro?</w:t>
      </w:r>
    </w:p>
    <w:p w:rsidR="00737DC2" w:rsidRDefault="00737DC2" w:rsidP="00737DC2">
      <w:pPr>
        <w:spacing w:line="240" w:lineRule="auto"/>
        <w:jc w:val="both"/>
        <w:rPr>
          <w:rFonts w:ascii="Times New Roman" w:hAnsi="Times New Roman" w:cs="Times New Roman"/>
          <w:b/>
          <w:sz w:val="24"/>
          <w:szCs w:val="24"/>
          <w:shd w:val="clear" w:color="auto" w:fill="FFFFFF"/>
        </w:rPr>
      </w:pPr>
      <w:r w:rsidRPr="004D0B4F">
        <w:rPr>
          <w:rFonts w:ascii="Times New Roman" w:hAnsi="Times New Roman" w:cs="Times New Roman"/>
          <w:b/>
          <w:sz w:val="24"/>
          <w:szCs w:val="24"/>
          <w:shd w:val="clear" w:color="auto" w:fill="FFFFFF"/>
        </w:rPr>
        <w:t>¿Se animara Europa a quitarse el burka que la niega, somete, condiciona y castra desde finales de la Segunda Guerra Mundial y, sin solución de continuidad, desde el fin de la Guerra Fría?</w:t>
      </w:r>
    </w:p>
    <w:p w:rsidR="00737DC2" w:rsidRPr="00737DC2" w:rsidRDefault="00737DC2" w:rsidP="008D4630">
      <w:pPr>
        <w:spacing w:line="240" w:lineRule="auto"/>
        <w:jc w:val="both"/>
        <w:rPr>
          <w:rFonts w:ascii="Times New Roman" w:hAnsi="Times New Roman" w:cs="Times New Roman"/>
          <w:b/>
          <w:sz w:val="24"/>
          <w:szCs w:val="24"/>
        </w:rPr>
      </w:pPr>
      <w:r>
        <w:rPr>
          <w:rFonts w:ascii="Times New Roman" w:hAnsi="Times New Roman" w:cs="Times New Roman"/>
          <w:sz w:val="24"/>
          <w:szCs w:val="24"/>
          <w:shd w:val="clear" w:color="auto" w:fill="FFFFFF"/>
        </w:rPr>
        <w:t xml:space="preserve">Estos últimos párrafos corresponden al Ensayo: </w:t>
      </w:r>
      <w:r w:rsidRPr="004D0B4F">
        <w:rPr>
          <w:rFonts w:ascii="Times New Roman" w:hAnsi="Times New Roman" w:cs="Times New Roman"/>
          <w:b/>
          <w:sz w:val="24"/>
          <w:szCs w:val="24"/>
          <w:shd w:val="clear" w:color="auto" w:fill="FFFFFF"/>
        </w:rPr>
        <w:t>“Los daños ocultos del librecambio - La doble vida de la economía global - Unión Europea y vulnerabilidad</w:t>
      </w:r>
      <w:r>
        <w:rPr>
          <w:rFonts w:ascii="Times New Roman" w:hAnsi="Times New Roman" w:cs="Times New Roman"/>
          <w:b/>
          <w:sz w:val="24"/>
          <w:szCs w:val="24"/>
          <w:shd w:val="clear" w:color="auto" w:fill="FFFFFF"/>
        </w:rPr>
        <w:t>…</w:t>
      </w:r>
      <w:r w:rsidRPr="004D0B4F">
        <w:rPr>
          <w:rFonts w:ascii="Times New Roman" w:hAnsi="Times New Roman" w:cs="Times New Roman"/>
          <w:b/>
          <w:sz w:val="24"/>
          <w:szCs w:val="24"/>
          <w:shd w:val="clear" w:color="auto" w:fill="FFFFFF"/>
        </w:rPr>
        <w:t>”</w:t>
      </w:r>
      <w:r>
        <w:rPr>
          <w:rFonts w:ascii="Times New Roman" w:hAnsi="Times New Roman" w:cs="Times New Roman"/>
          <w:sz w:val="24"/>
          <w:szCs w:val="24"/>
          <w:shd w:val="clear" w:color="auto" w:fill="FFFFFF"/>
        </w:rPr>
        <w:t xml:space="preserve">, publicado en </w:t>
      </w:r>
      <w:r>
        <w:rPr>
          <w:rFonts w:ascii="Times New Roman" w:hAnsi="Times New Roman" w:cs="Times New Roman"/>
          <w:b/>
          <w:sz w:val="24"/>
          <w:szCs w:val="24"/>
          <w:shd w:val="clear" w:color="auto" w:fill="FFFFFF"/>
        </w:rPr>
        <w:t>abril/</w:t>
      </w:r>
      <w:r w:rsidRPr="004A6B8D">
        <w:rPr>
          <w:rFonts w:ascii="Times New Roman" w:hAnsi="Times New Roman" w:cs="Times New Roman"/>
          <w:b/>
          <w:sz w:val="24"/>
          <w:szCs w:val="24"/>
          <w:shd w:val="clear" w:color="auto" w:fill="FFFFFF"/>
        </w:rPr>
        <w:t>2002</w:t>
      </w:r>
      <w:r>
        <w:rPr>
          <w:rFonts w:ascii="Times New Roman" w:hAnsi="Times New Roman" w:cs="Times New Roman"/>
          <w:sz w:val="24"/>
          <w:szCs w:val="24"/>
          <w:shd w:val="clear" w:color="auto" w:fill="FFFFFF"/>
        </w:rPr>
        <w:t xml:space="preserve">. Con ellos, quiero dar por concluida mi respetuosa respuesta al artículo de Daniel Gros, del </w:t>
      </w:r>
      <w:r w:rsidRPr="00FF2057">
        <w:rPr>
          <w:rFonts w:ascii="Times New Roman" w:hAnsi="Times New Roman" w:cs="Times New Roman"/>
          <w:sz w:val="24"/>
          <w:szCs w:val="24"/>
          <w:shd w:val="clear" w:color="auto" w:fill="FFFFFF"/>
        </w:rPr>
        <w:t>Centro</w:t>
      </w:r>
      <w:r>
        <w:rPr>
          <w:rFonts w:ascii="Times New Roman" w:hAnsi="Times New Roman" w:cs="Times New Roman"/>
          <w:sz w:val="24"/>
          <w:szCs w:val="24"/>
          <w:shd w:val="clear" w:color="auto" w:fill="FFFFFF"/>
        </w:rPr>
        <w:t xml:space="preserve"> de Estudios Políticos Europeos, en defensa del librecambio (</w:t>
      </w:r>
      <w:r>
        <w:rPr>
          <w:rFonts w:ascii="Times New Roman" w:hAnsi="Times New Roman" w:cs="Times New Roman"/>
          <w:sz w:val="24"/>
          <w:szCs w:val="24"/>
        </w:rPr>
        <w:t xml:space="preserve">El Economista - </w:t>
      </w:r>
      <w:r w:rsidRPr="008117D1">
        <w:rPr>
          <w:rFonts w:ascii="Times New Roman" w:hAnsi="Times New Roman" w:cs="Times New Roman"/>
          <w:b/>
          <w:sz w:val="24"/>
          <w:szCs w:val="24"/>
        </w:rPr>
        <w:t>15/12/22</w:t>
      </w:r>
      <w:r>
        <w:rPr>
          <w:rFonts w:ascii="Times New Roman" w:hAnsi="Times New Roman" w:cs="Times New Roman"/>
          <w:sz w:val="24"/>
          <w:szCs w:val="24"/>
        </w:rPr>
        <w:t xml:space="preserve">). </w:t>
      </w:r>
      <w:r w:rsidRPr="004A6B8D">
        <w:rPr>
          <w:rFonts w:ascii="Times New Roman" w:hAnsi="Times New Roman" w:cs="Times New Roman"/>
          <w:b/>
          <w:sz w:val="24"/>
          <w:szCs w:val="24"/>
        </w:rPr>
        <w:t>Han pasado 20 años, y Europa no se ha quitado</w:t>
      </w:r>
      <w:r>
        <w:rPr>
          <w:rFonts w:ascii="Times New Roman" w:hAnsi="Times New Roman" w:cs="Times New Roman"/>
          <w:b/>
          <w:sz w:val="24"/>
          <w:szCs w:val="24"/>
        </w:rPr>
        <w:t xml:space="preserve"> (aún)</w:t>
      </w:r>
      <w:r w:rsidRPr="004A6B8D">
        <w:rPr>
          <w:rFonts w:ascii="Times New Roman" w:hAnsi="Times New Roman" w:cs="Times New Roman"/>
          <w:b/>
          <w:sz w:val="24"/>
          <w:szCs w:val="24"/>
        </w:rPr>
        <w:t xml:space="preserve"> el burka globalista</w:t>
      </w:r>
      <w:r>
        <w:rPr>
          <w:rFonts w:ascii="Times New Roman" w:hAnsi="Times New Roman" w:cs="Times New Roman"/>
          <w:b/>
          <w:sz w:val="24"/>
          <w:szCs w:val="24"/>
        </w:rPr>
        <w:t>…</w:t>
      </w:r>
    </w:p>
    <w:sectPr w:rsidR="00737DC2" w:rsidRPr="00737DC2" w:rsidSect="000820F7">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haker 2 Lancet">
    <w:altName w:val="Shaker 2 Lancet"/>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503957"/>
    <w:multiLevelType w:val="hybridMultilevel"/>
    <w:tmpl w:val="0D1E99E0"/>
    <w:lvl w:ilvl="0" w:tplc="D1FC3E5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41D5A13"/>
    <w:multiLevelType w:val="multilevel"/>
    <w:tmpl w:val="A52CF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160199"/>
    <w:multiLevelType w:val="multilevel"/>
    <w:tmpl w:val="DEACF58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numFmt w:val="bullet"/>
      <w:lvlText w:val=""/>
      <w:lvlJc w:val="left"/>
      <w:pPr>
        <w:ind w:left="2160" w:hanging="360"/>
      </w:pPr>
      <w:rPr>
        <w:rFonts w:ascii="Times New Roman" w:eastAsiaTheme="minorHAnsi" w:hAnsi="Times New Roman"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A751309"/>
    <w:multiLevelType w:val="multilevel"/>
    <w:tmpl w:val="CC36A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F8E19E3"/>
    <w:multiLevelType w:val="multilevel"/>
    <w:tmpl w:val="B472E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9036978"/>
    <w:multiLevelType w:val="multilevel"/>
    <w:tmpl w:val="DCB81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F433ADC"/>
    <w:multiLevelType w:val="multilevel"/>
    <w:tmpl w:val="9AB80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9BD6674"/>
    <w:multiLevelType w:val="multilevel"/>
    <w:tmpl w:val="55DAF8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A4267D4"/>
    <w:multiLevelType w:val="multilevel"/>
    <w:tmpl w:val="07BAB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2795AB1"/>
    <w:multiLevelType w:val="multilevel"/>
    <w:tmpl w:val="FCBC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6"/>
  </w:num>
  <w:num w:numId="3">
    <w:abstractNumId w:val="5"/>
  </w:num>
  <w:num w:numId="4">
    <w:abstractNumId w:val="4"/>
  </w:num>
  <w:num w:numId="5">
    <w:abstractNumId w:val="3"/>
  </w:num>
  <w:num w:numId="6">
    <w:abstractNumId w:val="2"/>
  </w:num>
  <w:num w:numId="7">
    <w:abstractNumId w:val="1"/>
  </w:num>
  <w:num w:numId="8">
    <w:abstractNumId w:val="9"/>
  </w:num>
  <w:num w:numId="9">
    <w:abstractNumId w:val="7"/>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grammar="clean"/>
  <w:defaultTabStop w:val="708"/>
  <w:hyphenationZone w:val="425"/>
  <w:characterSpacingControl w:val="doNotCompress"/>
  <w:compat/>
  <w:rsids>
    <w:rsidRoot w:val="00772428"/>
    <w:rsid w:val="000820F7"/>
    <w:rsid w:val="001026F6"/>
    <w:rsid w:val="00566680"/>
    <w:rsid w:val="005E13A3"/>
    <w:rsid w:val="00737DC2"/>
    <w:rsid w:val="00772428"/>
    <w:rsid w:val="008D4630"/>
    <w:rsid w:val="00D35E8A"/>
    <w:rsid w:val="00E53855"/>
    <w:rsid w:val="00EC0FEC"/>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2428"/>
  </w:style>
  <w:style w:type="paragraph" w:styleId="Ttulo1">
    <w:name w:val="heading 1"/>
    <w:basedOn w:val="Normal"/>
    <w:next w:val="Normal"/>
    <w:link w:val="Ttulo1Car"/>
    <w:uiPriority w:val="9"/>
    <w:qFormat/>
    <w:rsid w:val="00737DC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737DC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772428"/>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737DC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724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72428"/>
    <w:rPr>
      <w:rFonts w:ascii="Tahoma" w:hAnsi="Tahoma" w:cs="Tahoma"/>
      <w:sz w:val="16"/>
      <w:szCs w:val="16"/>
    </w:rPr>
  </w:style>
  <w:style w:type="paragraph" w:styleId="NormalWeb">
    <w:name w:val="Normal (Web)"/>
    <w:basedOn w:val="Normal"/>
    <w:uiPriority w:val="99"/>
    <w:unhideWhenUsed/>
    <w:rsid w:val="0077242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772428"/>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772428"/>
    <w:rPr>
      <w:color w:val="0000FF" w:themeColor="hyperlink"/>
      <w:u w:val="single"/>
    </w:rPr>
  </w:style>
  <w:style w:type="character" w:customStyle="1" w:styleId="mw-headline">
    <w:name w:val="mw-headline"/>
    <w:basedOn w:val="Fuentedeprrafopredeter"/>
    <w:rsid w:val="00772428"/>
  </w:style>
  <w:style w:type="character" w:styleId="Textoennegrita">
    <w:name w:val="Strong"/>
    <w:basedOn w:val="Fuentedeprrafopredeter"/>
    <w:uiPriority w:val="22"/>
    <w:qFormat/>
    <w:rsid w:val="00E53855"/>
    <w:rPr>
      <w:b/>
      <w:bCs/>
    </w:rPr>
  </w:style>
  <w:style w:type="character" w:styleId="nfasis">
    <w:name w:val="Emphasis"/>
    <w:basedOn w:val="Fuentedeprrafopredeter"/>
    <w:uiPriority w:val="20"/>
    <w:qFormat/>
    <w:rsid w:val="00737DC2"/>
    <w:rPr>
      <w:i/>
      <w:iCs/>
    </w:rPr>
  </w:style>
  <w:style w:type="paragraph" w:customStyle="1" w:styleId="Default">
    <w:name w:val="Default"/>
    <w:rsid w:val="00737DC2"/>
    <w:pPr>
      <w:autoSpaceDE w:val="0"/>
      <w:autoSpaceDN w:val="0"/>
      <w:adjustRightInd w:val="0"/>
      <w:spacing w:after="0" w:line="240" w:lineRule="auto"/>
    </w:pPr>
    <w:rPr>
      <w:rFonts w:ascii="Shaker 2 Lancet" w:hAnsi="Shaker 2 Lancet" w:cs="Shaker 2 Lancet"/>
      <w:color w:val="000000"/>
      <w:sz w:val="24"/>
      <w:szCs w:val="24"/>
    </w:rPr>
  </w:style>
  <w:style w:type="character" w:customStyle="1" w:styleId="Ttulo1Car">
    <w:name w:val="Título 1 Car"/>
    <w:basedOn w:val="Fuentedeprrafopredeter"/>
    <w:link w:val="Ttulo1"/>
    <w:uiPriority w:val="9"/>
    <w:rsid w:val="00737DC2"/>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737DC2"/>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semiHidden/>
    <w:rsid w:val="00737DC2"/>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737DC2"/>
    <w:pPr>
      <w:ind w:left="720"/>
      <w:contextualSpacing/>
    </w:pPr>
  </w:style>
  <w:style w:type="paragraph" w:customStyle="1" w:styleId="yiv5244443261msonormal">
    <w:name w:val="yiv5244443261msonormal"/>
    <w:basedOn w:val="Normal"/>
    <w:rsid w:val="00737DC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oto-texto">
    <w:name w:val="foto-texto"/>
    <w:basedOn w:val="Fuentedeprrafopredeter"/>
    <w:rsid w:val="00737DC2"/>
  </w:style>
  <w:style w:type="character" w:customStyle="1" w:styleId="foto-agencia">
    <w:name w:val="foto-agencia"/>
    <w:basedOn w:val="Fuentedeprrafopredeter"/>
    <w:rsid w:val="00737DC2"/>
  </w:style>
  <w:style w:type="paragraph" w:customStyle="1" w:styleId="css-1ikvhrr-paragraph">
    <w:name w:val="css-1ikvhrr-paragraph"/>
    <w:basedOn w:val="Normal"/>
    <w:rsid w:val="00737DC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737DC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737DC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itle-label">
    <w:name w:val="title-label"/>
    <w:basedOn w:val="Fuentedeprrafopredeter"/>
    <w:rsid w:val="00737DC2"/>
  </w:style>
  <w:style w:type="character" w:customStyle="1" w:styleId="bbc-1gnhmg2">
    <w:name w:val="bbc-1gnhmg2"/>
    <w:basedOn w:val="Fuentedeprrafopredeter"/>
    <w:rsid w:val="00737DC2"/>
  </w:style>
  <w:style w:type="paragraph" w:customStyle="1" w:styleId="bbc-hhl7in">
    <w:name w:val="bbc-hhl7in"/>
    <w:basedOn w:val="Normal"/>
    <w:rsid w:val="00737DC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737DC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gkelc">
    <w:name w:val="hgkelc"/>
    <w:basedOn w:val="Fuentedeprrafopredeter"/>
    <w:rsid w:val="00737DC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2428"/>
  </w:style>
  <w:style w:type="paragraph" w:styleId="Ttulo3">
    <w:name w:val="heading 3"/>
    <w:basedOn w:val="Normal"/>
    <w:next w:val="Normal"/>
    <w:link w:val="Ttulo3Car"/>
    <w:uiPriority w:val="9"/>
    <w:unhideWhenUsed/>
    <w:qFormat/>
    <w:rsid w:val="00772428"/>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724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72428"/>
    <w:rPr>
      <w:rFonts w:ascii="Tahoma" w:hAnsi="Tahoma" w:cs="Tahoma"/>
      <w:sz w:val="16"/>
      <w:szCs w:val="16"/>
    </w:rPr>
  </w:style>
  <w:style w:type="paragraph" w:styleId="NormalWeb">
    <w:name w:val="Normal (Web)"/>
    <w:basedOn w:val="Normal"/>
    <w:uiPriority w:val="99"/>
    <w:unhideWhenUsed/>
    <w:rsid w:val="0077242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772428"/>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772428"/>
    <w:rPr>
      <w:color w:val="0000FF" w:themeColor="hyperlink"/>
      <w:u w:val="single"/>
    </w:rPr>
  </w:style>
  <w:style w:type="character" w:customStyle="1" w:styleId="mw-headline">
    <w:name w:val="mw-headline"/>
    <w:basedOn w:val="Fuentedeprrafopredeter"/>
    <w:rsid w:val="00772428"/>
  </w:style>
  <w:style w:type="character" w:styleId="Textoennegrita">
    <w:name w:val="Strong"/>
    <w:basedOn w:val="Fuentedeprrafopredeter"/>
    <w:uiPriority w:val="22"/>
    <w:qFormat/>
    <w:rsid w:val="00E53855"/>
    <w:rPr>
      <w:b/>
      <w:bC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3.png"/><Relationship Id="rId299" Type="http://schemas.openxmlformats.org/officeDocument/2006/relationships/hyperlink" Target="https://www.elconfidencial.com/tags/otros/desigualdad-5961/" TargetMode="External"/><Relationship Id="rId303" Type="http://schemas.openxmlformats.org/officeDocument/2006/relationships/image" Target="media/image218.jpeg"/><Relationship Id="rId21" Type="http://schemas.openxmlformats.org/officeDocument/2006/relationships/hyperlink" Target="https://es.wikipedia.org/wiki/Tratado_de_Nank%C3%ADn" TargetMode="External"/><Relationship Id="rId42" Type="http://schemas.openxmlformats.org/officeDocument/2006/relationships/hyperlink" Target="https://es.wikipedia.org/wiki/T%C3%A9" TargetMode="External"/><Relationship Id="rId63" Type="http://schemas.openxmlformats.org/officeDocument/2006/relationships/hyperlink" Target="https://es.wikipedia.org/wiki/T%C3%A9" TargetMode="External"/><Relationship Id="rId84" Type="http://schemas.openxmlformats.org/officeDocument/2006/relationships/image" Target="media/image10.png"/><Relationship Id="rId138" Type="http://schemas.openxmlformats.org/officeDocument/2006/relationships/image" Target="media/image64.png"/><Relationship Id="rId159" Type="http://schemas.openxmlformats.org/officeDocument/2006/relationships/image" Target="media/image85.png"/><Relationship Id="rId324" Type="http://schemas.openxmlformats.org/officeDocument/2006/relationships/hyperlink" Target="https://blogs.elconfidencial.com/economia/laissez-faire/2020-02-28/coronavirus-shock-oferta_2474011/" TargetMode="External"/><Relationship Id="rId345" Type="http://schemas.openxmlformats.org/officeDocument/2006/relationships/image" Target="media/image241.png"/><Relationship Id="rId170" Type="http://schemas.openxmlformats.org/officeDocument/2006/relationships/image" Target="media/image96.png"/><Relationship Id="rId191" Type="http://schemas.openxmlformats.org/officeDocument/2006/relationships/image" Target="media/image117.png"/><Relationship Id="rId205" Type="http://schemas.openxmlformats.org/officeDocument/2006/relationships/image" Target="media/image131.png"/><Relationship Id="rId226" Type="http://schemas.openxmlformats.org/officeDocument/2006/relationships/image" Target="media/image150.png"/><Relationship Id="rId247" Type="http://schemas.openxmlformats.org/officeDocument/2006/relationships/image" Target="media/image171.png"/><Relationship Id="rId107" Type="http://schemas.openxmlformats.org/officeDocument/2006/relationships/image" Target="media/image33.png"/><Relationship Id="rId268" Type="http://schemas.openxmlformats.org/officeDocument/2006/relationships/hyperlink" Target="https://www.imporalia.com/fabricar-en-china/" TargetMode="External"/><Relationship Id="rId289" Type="http://schemas.openxmlformats.org/officeDocument/2006/relationships/image" Target="media/image206.png"/><Relationship Id="rId11" Type="http://schemas.openxmlformats.org/officeDocument/2006/relationships/hyperlink" Target="https://es.wikipedia.org/wiki/Pinyin" TargetMode="External"/><Relationship Id="rId32" Type="http://schemas.openxmlformats.org/officeDocument/2006/relationships/hyperlink" Target="https://es.wikipedia.org/wiki/Macao" TargetMode="External"/><Relationship Id="rId53" Type="http://schemas.openxmlformats.org/officeDocument/2006/relationships/hyperlink" Target="https://es.wikipedia.org/wiki/Pa%C3%ADses_Bajos" TargetMode="External"/><Relationship Id="rId74" Type="http://schemas.openxmlformats.org/officeDocument/2006/relationships/hyperlink" Target="https://es.wikipedia.org/wiki/Kowloon" TargetMode="External"/><Relationship Id="rId128" Type="http://schemas.openxmlformats.org/officeDocument/2006/relationships/image" Target="media/image54.png"/><Relationship Id="rId149" Type="http://schemas.openxmlformats.org/officeDocument/2006/relationships/image" Target="media/image75.png"/><Relationship Id="rId314" Type="http://schemas.openxmlformats.org/officeDocument/2006/relationships/image" Target="media/image224.jpeg"/><Relationship Id="rId335" Type="http://schemas.openxmlformats.org/officeDocument/2006/relationships/image" Target="media/image231.jpeg"/><Relationship Id="rId356" Type="http://schemas.openxmlformats.org/officeDocument/2006/relationships/image" Target="media/image252.jpeg"/><Relationship Id="rId5" Type="http://schemas.openxmlformats.org/officeDocument/2006/relationships/webSettings" Target="webSettings.xml"/><Relationship Id="rId95" Type="http://schemas.openxmlformats.org/officeDocument/2006/relationships/image" Target="media/image21.png"/><Relationship Id="rId160" Type="http://schemas.openxmlformats.org/officeDocument/2006/relationships/image" Target="media/image86.png"/><Relationship Id="rId181" Type="http://schemas.openxmlformats.org/officeDocument/2006/relationships/image" Target="media/image107.png"/><Relationship Id="rId216" Type="http://schemas.openxmlformats.org/officeDocument/2006/relationships/image" Target="media/image142.png"/><Relationship Id="rId237" Type="http://schemas.openxmlformats.org/officeDocument/2006/relationships/image" Target="media/image161.png"/><Relationship Id="rId258" Type="http://schemas.openxmlformats.org/officeDocument/2006/relationships/image" Target="media/image182.png"/><Relationship Id="rId279" Type="http://schemas.openxmlformats.org/officeDocument/2006/relationships/image" Target="media/image196.png"/><Relationship Id="rId22" Type="http://schemas.openxmlformats.org/officeDocument/2006/relationships/hyperlink" Target="https://es.wikipedia.org/wiki/Portugal" TargetMode="External"/><Relationship Id="rId43" Type="http://schemas.openxmlformats.org/officeDocument/2006/relationships/hyperlink" Target="https://es.wikipedia.org/wiki/Seda" TargetMode="External"/><Relationship Id="rId64" Type="http://schemas.openxmlformats.org/officeDocument/2006/relationships/hyperlink" Target="https://es.wikipedia.org/wiki/Costa_Este_de_los_Estados_Unidos" TargetMode="External"/><Relationship Id="rId118" Type="http://schemas.openxmlformats.org/officeDocument/2006/relationships/image" Target="media/image44.png"/><Relationship Id="rId139" Type="http://schemas.openxmlformats.org/officeDocument/2006/relationships/image" Target="media/image65.png"/><Relationship Id="rId290" Type="http://schemas.openxmlformats.org/officeDocument/2006/relationships/image" Target="media/image207.png"/><Relationship Id="rId304" Type="http://schemas.openxmlformats.org/officeDocument/2006/relationships/image" Target="media/image219.jpeg"/><Relationship Id="rId325" Type="http://schemas.openxmlformats.org/officeDocument/2006/relationships/hyperlink" Target="https://www.youtube.com/watch?v=pPv0sU_28yw" TargetMode="External"/><Relationship Id="rId346" Type="http://schemas.openxmlformats.org/officeDocument/2006/relationships/image" Target="media/image242.png"/><Relationship Id="rId85" Type="http://schemas.openxmlformats.org/officeDocument/2006/relationships/image" Target="media/image11.png"/><Relationship Id="rId150" Type="http://schemas.openxmlformats.org/officeDocument/2006/relationships/image" Target="media/image76.png"/><Relationship Id="rId171" Type="http://schemas.openxmlformats.org/officeDocument/2006/relationships/image" Target="media/image97.png"/><Relationship Id="rId192" Type="http://schemas.openxmlformats.org/officeDocument/2006/relationships/image" Target="media/image118.png"/><Relationship Id="rId206" Type="http://schemas.openxmlformats.org/officeDocument/2006/relationships/image" Target="media/image132.png"/><Relationship Id="rId227" Type="http://schemas.openxmlformats.org/officeDocument/2006/relationships/image" Target="media/image151.png"/><Relationship Id="rId248" Type="http://schemas.openxmlformats.org/officeDocument/2006/relationships/image" Target="media/image172.png"/><Relationship Id="rId269" Type="http://schemas.openxmlformats.org/officeDocument/2006/relationships/hyperlink" Target="https://www.alibaba.com/" TargetMode="External"/><Relationship Id="rId12" Type="http://schemas.openxmlformats.org/officeDocument/2006/relationships/hyperlink" Target="https://es.wikipedia.org/wiki/Imperio_chino" TargetMode="External"/><Relationship Id="rId33" Type="http://schemas.openxmlformats.org/officeDocument/2006/relationships/hyperlink" Target="https://es.wikipedia.org/wiki/Filipinas" TargetMode="External"/><Relationship Id="rId108" Type="http://schemas.openxmlformats.org/officeDocument/2006/relationships/image" Target="media/image34.png"/><Relationship Id="rId129" Type="http://schemas.openxmlformats.org/officeDocument/2006/relationships/image" Target="media/image55.png"/><Relationship Id="rId280" Type="http://schemas.openxmlformats.org/officeDocument/2006/relationships/image" Target="media/image197.png"/><Relationship Id="rId315" Type="http://schemas.openxmlformats.org/officeDocument/2006/relationships/hyperlink" Target="https://www.bp.com/content/dam/bp/business-sites/en/global/corporate/pdfs/energy-economics/statistical-review/bp-stats-review-2019-full-report.pdf" TargetMode="External"/><Relationship Id="rId336" Type="http://schemas.openxmlformats.org/officeDocument/2006/relationships/image" Target="media/image232.jpeg"/><Relationship Id="rId357" Type="http://schemas.openxmlformats.org/officeDocument/2006/relationships/image" Target="media/image253.png"/><Relationship Id="rId54" Type="http://schemas.openxmlformats.org/officeDocument/2006/relationships/hyperlink" Target="https://es.wikipedia.org/wiki/Bengala" TargetMode="External"/><Relationship Id="rId75" Type="http://schemas.openxmlformats.org/officeDocument/2006/relationships/hyperlink" Target="https://es.wikipedia.org/wiki/Singapur" TargetMode="External"/><Relationship Id="rId96" Type="http://schemas.openxmlformats.org/officeDocument/2006/relationships/image" Target="media/image22.png"/><Relationship Id="rId140" Type="http://schemas.openxmlformats.org/officeDocument/2006/relationships/image" Target="media/image66.png"/><Relationship Id="rId161" Type="http://schemas.openxmlformats.org/officeDocument/2006/relationships/image" Target="media/image87.png"/><Relationship Id="rId182" Type="http://schemas.openxmlformats.org/officeDocument/2006/relationships/image" Target="media/image108.png"/><Relationship Id="rId217" Type="http://schemas.openxmlformats.org/officeDocument/2006/relationships/image" Target="media/image143.png"/><Relationship Id="rId6" Type="http://schemas.openxmlformats.org/officeDocument/2006/relationships/image" Target="media/image1.png"/><Relationship Id="rId238" Type="http://schemas.openxmlformats.org/officeDocument/2006/relationships/image" Target="media/image162.png"/><Relationship Id="rId259" Type="http://schemas.openxmlformats.org/officeDocument/2006/relationships/image" Target="media/image183.png"/><Relationship Id="rId23" Type="http://schemas.openxmlformats.org/officeDocument/2006/relationships/hyperlink" Target="https://es.wikipedia.org/wiki/China" TargetMode="External"/><Relationship Id="rId119" Type="http://schemas.openxmlformats.org/officeDocument/2006/relationships/image" Target="media/image45.png"/><Relationship Id="rId270" Type="http://schemas.openxmlformats.org/officeDocument/2006/relationships/hyperlink" Target="https://www.imporalia.com/guia-para-crear-un-e-commerce-de-importacion-desde-china/" TargetMode="External"/><Relationship Id="rId291" Type="http://schemas.openxmlformats.org/officeDocument/2006/relationships/image" Target="media/image208.png"/><Relationship Id="rId305" Type="http://schemas.openxmlformats.org/officeDocument/2006/relationships/image" Target="media/image220.jpeg"/><Relationship Id="rId326" Type="http://schemas.openxmlformats.org/officeDocument/2006/relationships/image" Target="media/image226.jpeg"/><Relationship Id="rId347" Type="http://schemas.openxmlformats.org/officeDocument/2006/relationships/image" Target="media/image243.png"/><Relationship Id="rId44" Type="http://schemas.openxmlformats.org/officeDocument/2006/relationships/hyperlink" Target="https://es.wikipedia.org/wiki/Porcelana" TargetMode="External"/><Relationship Id="rId65" Type="http://schemas.openxmlformats.org/officeDocument/2006/relationships/hyperlink" Target="https://es.wikipedia.org/wiki/Reino_Unido_de_Gran_Breta%C3%B1a_e_Irlanda" TargetMode="External"/><Relationship Id="rId86" Type="http://schemas.openxmlformats.org/officeDocument/2006/relationships/image" Target="media/image12.png"/><Relationship Id="rId130" Type="http://schemas.openxmlformats.org/officeDocument/2006/relationships/image" Target="media/image56.png"/><Relationship Id="rId151" Type="http://schemas.openxmlformats.org/officeDocument/2006/relationships/image" Target="media/image77.png"/><Relationship Id="rId172" Type="http://schemas.openxmlformats.org/officeDocument/2006/relationships/image" Target="media/image98.png"/><Relationship Id="rId193" Type="http://schemas.openxmlformats.org/officeDocument/2006/relationships/image" Target="media/image119.png"/><Relationship Id="rId207" Type="http://schemas.openxmlformats.org/officeDocument/2006/relationships/image" Target="media/image133.png"/><Relationship Id="rId228" Type="http://schemas.openxmlformats.org/officeDocument/2006/relationships/image" Target="media/image152.png"/><Relationship Id="rId249" Type="http://schemas.openxmlformats.org/officeDocument/2006/relationships/image" Target="media/image173.png"/><Relationship Id="rId13" Type="http://schemas.openxmlformats.org/officeDocument/2006/relationships/hyperlink" Target="https://es.wikipedia.org/wiki/Imperio_brit%C3%A1nico" TargetMode="External"/><Relationship Id="rId109" Type="http://schemas.openxmlformats.org/officeDocument/2006/relationships/image" Target="media/image35.png"/><Relationship Id="rId260" Type="http://schemas.openxmlformats.org/officeDocument/2006/relationships/image" Target="media/image184.png"/><Relationship Id="rId281" Type="http://schemas.openxmlformats.org/officeDocument/2006/relationships/image" Target="media/image198.png"/><Relationship Id="rId316" Type="http://schemas.openxmlformats.org/officeDocument/2006/relationships/hyperlink" Target="https://www.elconfidencial.com/tecnologia/ciencia/2020-02-19/coronavirus-covid19-estudio-tasa-mortalidad_2461183/" TargetMode="External"/><Relationship Id="rId337" Type="http://schemas.openxmlformats.org/officeDocument/2006/relationships/image" Target="media/image233.jpeg"/><Relationship Id="rId34" Type="http://schemas.openxmlformats.org/officeDocument/2006/relationships/hyperlink" Target="https://es.wikipedia.org/wiki/Gale%C3%B3n_de_Manila" TargetMode="External"/><Relationship Id="rId55" Type="http://schemas.openxmlformats.org/officeDocument/2006/relationships/hyperlink" Target="https://es.wikipedia.org/wiki/Amapola" TargetMode="External"/><Relationship Id="rId76" Type="http://schemas.openxmlformats.org/officeDocument/2006/relationships/hyperlink" Target="https://es.wikipedia.org/wiki/Cant%C3%B3n_(China)" TargetMode="External"/><Relationship Id="rId97" Type="http://schemas.openxmlformats.org/officeDocument/2006/relationships/image" Target="media/image23.png"/><Relationship Id="rId120" Type="http://schemas.openxmlformats.org/officeDocument/2006/relationships/image" Target="media/image46.png"/><Relationship Id="rId141" Type="http://schemas.openxmlformats.org/officeDocument/2006/relationships/image" Target="media/image67.png"/><Relationship Id="rId358" Type="http://schemas.openxmlformats.org/officeDocument/2006/relationships/image" Target="media/image254.png"/><Relationship Id="rId7" Type="http://schemas.openxmlformats.org/officeDocument/2006/relationships/image" Target="media/image2.png"/><Relationship Id="rId162" Type="http://schemas.openxmlformats.org/officeDocument/2006/relationships/image" Target="media/image88.png"/><Relationship Id="rId183" Type="http://schemas.openxmlformats.org/officeDocument/2006/relationships/image" Target="media/image109.png"/><Relationship Id="rId218" Type="http://schemas.openxmlformats.org/officeDocument/2006/relationships/hyperlink" Target="javascript:openImgPopup('/images/img_press/858chart3_e.png','links',1050,660,1)" TargetMode="External"/><Relationship Id="rId239" Type="http://schemas.openxmlformats.org/officeDocument/2006/relationships/image" Target="media/image163.png"/><Relationship Id="rId250" Type="http://schemas.openxmlformats.org/officeDocument/2006/relationships/image" Target="media/image174.png"/><Relationship Id="rId271" Type="http://schemas.openxmlformats.org/officeDocument/2006/relationships/hyperlink" Target="https://www.imporalia.com/blog/" TargetMode="External"/><Relationship Id="rId292" Type="http://schemas.openxmlformats.org/officeDocument/2006/relationships/image" Target="media/image209.jpeg"/><Relationship Id="rId306" Type="http://schemas.openxmlformats.org/officeDocument/2006/relationships/image" Target="media/image221.jpeg"/><Relationship Id="rId24" Type="http://schemas.openxmlformats.org/officeDocument/2006/relationships/hyperlink" Target="https://es.wikipedia.org/wiki/Macao" TargetMode="External"/><Relationship Id="rId45" Type="http://schemas.openxmlformats.org/officeDocument/2006/relationships/hyperlink" Target="https://es.wikipedia.org/wiki/Plata" TargetMode="External"/><Relationship Id="rId66" Type="http://schemas.openxmlformats.org/officeDocument/2006/relationships/hyperlink" Target="https://es.wikipedia.org/wiki/Turqu%C3%ADa" TargetMode="External"/><Relationship Id="rId87" Type="http://schemas.openxmlformats.org/officeDocument/2006/relationships/image" Target="media/image13.png"/><Relationship Id="rId110" Type="http://schemas.openxmlformats.org/officeDocument/2006/relationships/image" Target="media/image36.png"/><Relationship Id="rId131" Type="http://schemas.openxmlformats.org/officeDocument/2006/relationships/image" Target="media/image57.png"/><Relationship Id="rId327" Type="http://schemas.openxmlformats.org/officeDocument/2006/relationships/hyperlink" Target="https://www.eleconomista.es/autor/Francisco-S-Jimenez" TargetMode="External"/><Relationship Id="rId348" Type="http://schemas.openxmlformats.org/officeDocument/2006/relationships/image" Target="media/image244.png"/><Relationship Id="rId152" Type="http://schemas.openxmlformats.org/officeDocument/2006/relationships/image" Target="media/image78.png"/><Relationship Id="rId173" Type="http://schemas.openxmlformats.org/officeDocument/2006/relationships/image" Target="media/image99.png"/><Relationship Id="rId194" Type="http://schemas.openxmlformats.org/officeDocument/2006/relationships/image" Target="media/image120.png"/><Relationship Id="rId208" Type="http://schemas.openxmlformats.org/officeDocument/2006/relationships/image" Target="media/image134.png"/><Relationship Id="rId229" Type="http://schemas.openxmlformats.org/officeDocument/2006/relationships/image" Target="media/image153.png"/><Relationship Id="rId240" Type="http://schemas.openxmlformats.org/officeDocument/2006/relationships/image" Target="media/image164.png"/><Relationship Id="rId261" Type="http://schemas.openxmlformats.org/officeDocument/2006/relationships/image" Target="media/image185.png"/><Relationship Id="rId14" Type="http://schemas.openxmlformats.org/officeDocument/2006/relationships/hyperlink" Target="https://es.wikipedia.org/wiki/Primera_Guerra_del_Opio" TargetMode="External"/><Relationship Id="rId35" Type="http://schemas.openxmlformats.org/officeDocument/2006/relationships/hyperlink" Target="https://es.wikipedia.org/wiki/Ruta_de_la_Seda" TargetMode="External"/><Relationship Id="rId56" Type="http://schemas.openxmlformats.org/officeDocument/2006/relationships/hyperlink" Target="https://es.wikipedia.org/wiki/Imperio_otomano" TargetMode="External"/><Relationship Id="rId77" Type="http://schemas.openxmlformats.org/officeDocument/2006/relationships/hyperlink" Target="https://es.wikipedia.org/wiki/Charles_Elliot" TargetMode="External"/><Relationship Id="rId100" Type="http://schemas.openxmlformats.org/officeDocument/2006/relationships/image" Target="media/image26.png"/><Relationship Id="rId282" Type="http://schemas.openxmlformats.org/officeDocument/2006/relationships/image" Target="media/image199.png"/><Relationship Id="rId317" Type="http://schemas.openxmlformats.org/officeDocument/2006/relationships/hyperlink" Target="https://www.elconfidencial.com/economia/2019-05-26/comercio-tecnologia-desatan-guerra-fria-eeuu-china_2019982/" TargetMode="External"/><Relationship Id="rId338" Type="http://schemas.openxmlformats.org/officeDocument/2006/relationships/image" Target="media/image234.gif"/><Relationship Id="rId359" Type="http://schemas.openxmlformats.org/officeDocument/2006/relationships/fontTable" Target="fontTable.xml"/><Relationship Id="rId8" Type="http://schemas.openxmlformats.org/officeDocument/2006/relationships/image" Target="media/image3.png"/><Relationship Id="rId98" Type="http://schemas.openxmlformats.org/officeDocument/2006/relationships/image" Target="media/image24.png"/><Relationship Id="rId121" Type="http://schemas.openxmlformats.org/officeDocument/2006/relationships/image" Target="media/image47.png"/><Relationship Id="rId142" Type="http://schemas.openxmlformats.org/officeDocument/2006/relationships/image" Target="media/image68.png"/><Relationship Id="rId163" Type="http://schemas.openxmlformats.org/officeDocument/2006/relationships/image" Target="media/image89.png"/><Relationship Id="rId184" Type="http://schemas.openxmlformats.org/officeDocument/2006/relationships/image" Target="media/image110.png"/><Relationship Id="rId219" Type="http://schemas.openxmlformats.org/officeDocument/2006/relationships/image" Target="media/image144.png"/><Relationship Id="rId230" Type="http://schemas.openxmlformats.org/officeDocument/2006/relationships/image" Target="media/image154.png"/><Relationship Id="rId251" Type="http://schemas.openxmlformats.org/officeDocument/2006/relationships/image" Target="media/image175.png"/><Relationship Id="rId25" Type="http://schemas.openxmlformats.org/officeDocument/2006/relationships/hyperlink" Target="https://es.wikipedia.org/wiki/Rebeli%C3%B3n_Taiping" TargetMode="External"/><Relationship Id="rId46" Type="http://schemas.openxmlformats.org/officeDocument/2006/relationships/hyperlink" Target="https://es.wikipedia.org/wiki/Raj_brit%C3%A1nico" TargetMode="External"/><Relationship Id="rId67" Type="http://schemas.openxmlformats.org/officeDocument/2006/relationships/hyperlink" Target="https://es.wikipedia.org/wiki/Daoguang" TargetMode="External"/><Relationship Id="rId272" Type="http://schemas.openxmlformats.org/officeDocument/2006/relationships/image" Target="media/image189.png"/><Relationship Id="rId293" Type="http://schemas.openxmlformats.org/officeDocument/2006/relationships/image" Target="media/image210.png"/><Relationship Id="rId307" Type="http://schemas.openxmlformats.org/officeDocument/2006/relationships/image" Target="media/image222.jpeg"/><Relationship Id="rId328" Type="http://schemas.openxmlformats.org/officeDocument/2006/relationships/hyperlink" Target="https://www.eleconomista.es/economia/noticias/10215289/11/19/Quien-es-el-culpable-del-colapso-de-los-tipos-de-interes-en-la-Eurozona.html" TargetMode="External"/><Relationship Id="rId349" Type="http://schemas.openxmlformats.org/officeDocument/2006/relationships/image" Target="media/image245.png"/><Relationship Id="rId88" Type="http://schemas.openxmlformats.org/officeDocument/2006/relationships/image" Target="media/image14.png"/><Relationship Id="rId111" Type="http://schemas.openxmlformats.org/officeDocument/2006/relationships/image" Target="media/image37.png"/><Relationship Id="rId132" Type="http://schemas.openxmlformats.org/officeDocument/2006/relationships/image" Target="media/image58.png"/><Relationship Id="rId153" Type="http://schemas.openxmlformats.org/officeDocument/2006/relationships/image" Target="media/image79.png"/><Relationship Id="rId174" Type="http://schemas.openxmlformats.org/officeDocument/2006/relationships/image" Target="media/image100.png"/><Relationship Id="rId195" Type="http://schemas.openxmlformats.org/officeDocument/2006/relationships/image" Target="media/image121.png"/><Relationship Id="rId209" Type="http://schemas.openxmlformats.org/officeDocument/2006/relationships/image" Target="media/image135.png"/><Relationship Id="rId360" Type="http://schemas.openxmlformats.org/officeDocument/2006/relationships/theme" Target="theme/theme1.xml"/><Relationship Id="rId220" Type="http://schemas.openxmlformats.org/officeDocument/2006/relationships/hyperlink" Target="javascript:openImgPopup('/images/img_press/858chart4_e.png','links',1050,613,1)" TargetMode="External"/><Relationship Id="rId241" Type="http://schemas.openxmlformats.org/officeDocument/2006/relationships/image" Target="media/image165.png"/><Relationship Id="rId15" Type="http://schemas.openxmlformats.org/officeDocument/2006/relationships/hyperlink" Target="https://es.wikipedia.org/wiki/Segunda_Guerra_del_Opio" TargetMode="External"/><Relationship Id="rId36" Type="http://schemas.openxmlformats.org/officeDocument/2006/relationships/hyperlink" Target="https://es.wikipedia.org/wiki/Cant%C3%B3n_(China)" TargetMode="External"/><Relationship Id="rId57" Type="http://schemas.openxmlformats.org/officeDocument/2006/relationships/hyperlink" Target="https://es.wikipedia.org/wiki/Persia" TargetMode="External"/><Relationship Id="rId106" Type="http://schemas.openxmlformats.org/officeDocument/2006/relationships/image" Target="media/image32.png"/><Relationship Id="rId127" Type="http://schemas.openxmlformats.org/officeDocument/2006/relationships/image" Target="media/image53.png"/><Relationship Id="rId262" Type="http://schemas.openxmlformats.org/officeDocument/2006/relationships/image" Target="media/image186.png"/><Relationship Id="rId283" Type="http://schemas.openxmlformats.org/officeDocument/2006/relationships/image" Target="media/image200.png"/><Relationship Id="rId313" Type="http://schemas.openxmlformats.org/officeDocument/2006/relationships/hyperlink" Target="https://www.ft.com/content/6f7fdbae-4b3b-11ea-95a0-43d18ec715f5" TargetMode="External"/><Relationship Id="rId318" Type="http://schemas.openxmlformats.org/officeDocument/2006/relationships/image" Target="media/image225.jpeg"/><Relationship Id="rId339" Type="http://schemas.openxmlformats.org/officeDocument/2006/relationships/image" Target="media/image235.png"/><Relationship Id="rId10" Type="http://schemas.openxmlformats.org/officeDocument/2006/relationships/hyperlink" Target="https://es.wikipedia.org/wiki/Caracteres_chinos_simplificados" TargetMode="External"/><Relationship Id="rId31" Type="http://schemas.openxmlformats.org/officeDocument/2006/relationships/hyperlink" Target="https://es.wikipedia.org/wiki/India" TargetMode="External"/><Relationship Id="rId52" Type="http://schemas.openxmlformats.org/officeDocument/2006/relationships/hyperlink" Target="https://es.wikipedia.org/wiki/Yakarta" TargetMode="External"/><Relationship Id="rId73" Type="http://schemas.openxmlformats.org/officeDocument/2006/relationships/hyperlink" Target="https://es.wikipedia.org/wiki/Victoria_I_del_Reino_Unido" TargetMode="External"/><Relationship Id="rId78" Type="http://schemas.openxmlformats.org/officeDocument/2006/relationships/image" Target="media/image4.png"/><Relationship Id="rId94" Type="http://schemas.openxmlformats.org/officeDocument/2006/relationships/image" Target="media/image20.png"/><Relationship Id="rId99" Type="http://schemas.openxmlformats.org/officeDocument/2006/relationships/image" Target="media/image25.png"/><Relationship Id="rId101" Type="http://schemas.openxmlformats.org/officeDocument/2006/relationships/image" Target="media/image27.png"/><Relationship Id="rId122" Type="http://schemas.openxmlformats.org/officeDocument/2006/relationships/image" Target="media/image48.png"/><Relationship Id="rId143" Type="http://schemas.openxmlformats.org/officeDocument/2006/relationships/image" Target="media/image69.png"/><Relationship Id="rId148" Type="http://schemas.openxmlformats.org/officeDocument/2006/relationships/image" Target="media/image74.png"/><Relationship Id="rId164" Type="http://schemas.openxmlformats.org/officeDocument/2006/relationships/image" Target="media/image90.png"/><Relationship Id="rId169" Type="http://schemas.openxmlformats.org/officeDocument/2006/relationships/image" Target="media/image95.png"/><Relationship Id="rId185" Type="http://schemas.openxmlformats.org/officeDocument/2006/relationships/image" Target="media/image111.png"/><Relationship Id="rId334" Type="http://schemas.openxmlformats.org/officeDocument/2006/relationships/image" Target="media/image230.jpeg"/><Relationship Id="rId350" Type="http://schemas.openxmlformats.org/officeDocument/2006/relationships/image" Target="media/image246.jpeg"/><Relationship Id="rId355" Type="http://schemas.openxmlformats.org/officeDocument/2006/relationships/image" Target="media/image251.png"/><Relationship Id="rId4" Type="http://schemas.openxmlformats.org/officeDocument/2006/relationships/settings" Target="settings.xml"/><Relationship Id="rId9" Type="http://schemas.openxmlformats.org/officeDocument/2006/relationships/hyperlink" Target="https://es.wikipedia.org/wiki/Caracteres_chinos_tradicionales" TargetMode="External"/><Relationship Id="rId180" Type="http://schemas.openxmlformats.org/officeDocument/2006/relationships/image" Target="media/image106.png"/><Relationship Id="rId210" Type="http://schemas.openxmlformats.org/officeDocument/2006/relationships/image" Target="media/image136.jpeg"/><Relationship Id="rId215" Type="http://schemas.openxmlformats.org/officeDocument/2006/relationships/image" Target="media/image141.png"/><Relationship Id="rId236" Type="http://schemas.openxmlformats.org/officeDocument/2006/relationships/image" Target="media/image160.png"/><Relationship Id="rId257" Type="http://schemas.openxmlformats.org/officeDocument/2006/relationships/image" Target="media/image181.png"/><Relationship Id="rId278" Type="http://schemas.openxmlformats.org/officeDocument/2006/relationships/image" Target="media/image195.png"/><Relationship Id="rId26" Type="http://schemas.openxmlformats.org/officeDocument/2006/relationships/hyperlink" Target="https://es.wikipedia.org/wiki/Rebeli%C3%B3n_de_los_B%C3%B3xers" TargetMode="External"/><Relationship Id="rId231" Type="http://schemas.openxmlformats.org/officeDocument/2006/relationships/image" Target="media/image155.png"/><Relationship Id="rId252" Type="http://schemas.openxmlformats.org/officeDocument/2006/relationships/image" Target="media/image176.png"/><Relationship Id="rId273" Type="http://schemas.openxmlformats.org/officeDocument/2006/relationships/image" Target="media/image190.png"/><Relationship Id="rId294" Type="http://schemas.openxmlformats.org/officeDocument/2006/relationships/image" Target="media/image211.png"/><Relationship Id="rId308" Type="http://schemas.openxmlformats.org/officeDocument/2006/relationships/image" Target="media/image223.jpeg"/><Relationship Id="rId329" Type="http://schemas.openxmlformats.org/officeDocument/2006/relationships/hyperlink" Target="https://www.frbsf.org/economic-research/files/wp2020-09.pdf" TargetMode="External"/><Relationship Id="rId47" Type="http://schemas.openxmlformats.org/officeDocument/2006/relationships/hyperlink" Target="https://es.wikipedia.org/wiki/Emperador_Daoguang" TargetMode="External"/><Relationship Id="rId68" Type="http://schemas.openxmlformats.org/officeDocument/2006/relationships/hyperlink" Target="https://es.wikipedia.org/wiki/Lin_Hse_Tsu" TargetMode="External"/><Relationship Id="rId89" Type="http://schemas.openxmlformats.org/officeDocument/2006/relationships/image" Target="media/image15.png"/><Relationship Id="rId112" Type="http://schemas.openxmlformats.org/officeDocument/2006/relationships/image" Target="media/image38.png"/><Relationship Id="rId133" Type="http://schemas.openxmlformats.org/officeDocument/2006/relationships/image" Target="media/image59.png"/><Relationship Id="rId154" Type="http://schemas.openxmlformats.org/officeDocument/2006/relationships/image" Target="media/image80.png"/><Relationship Id="rId175" Type="http://schemas.openxmlformats.org/officeDocument/2006/relationships/image" Target="media/image101.png"/><Relationship Id="rId340" Type="http://schemas.openxmlformats.org/officeDocument/2006/relationships/image" Target="media/image236.png"/><Relationship Id="rId361" Type="http://schemas.microsoft.com/office/2007/relationships/stylesWithEffects" Target="stylesWithEffects.xml"/><Relationship Id="rId196" Type="http://schemas.openxmlformats.org/officeDocument/2006/relationships/image" Target="media/image122.png"/><Relationship Id="rId200" Type="http://schemas.openxmlformats.org/officeDocument/2006/relationships/image" Target="media/image126.png"/><Relationship Id="rId16" Type="http://schemas.openxmlformats.org/officeDocument/2006/relationships/hyperlink" Target="https://es.wikipedia.org/wiki/Segundo_Imperio_franc%C3%A9s" TargetMode="External"/><Relationship Id="rId221" Type="http://schemas.openxmlformats.org/officeDocument/2006/relationships/image" Target="media/image145.png"/><Relationship Id="rId242" Type="http://schemas.openxmlformats.org/officeDocument/2006/relationships/image" Target="media/image166.png"/><Relationship Id="rId263" Type="http://schemas.openxmlformats.org/officeDocument/2006/relationships/image" Target="media/image187.png"/><Relationship Id="rId284" Type="http://schemas.openxmlformats.org/officeDocument/2006/relationships/image" Target="media/image201.png"/><Relationship Id="rId319" Type="http://schemas.openxmlformats.org/officeDocument/2006/relationships/hyperlink" Target="https://ec.europa.eu/commission/presscorner/detail/es/IP_19_6215" TargetMode="External"/><Relationship Id="rId37" Type="http://schemas.openxmlformats.org/officeDocument/2006/relationships/hyperlink" Target="https://es.wikipedia.org/wiki/Imperio_mogol" TargetMode="External"/><Relationship Id="rId58" Type="http://schemas.openxmlformats.org/officeDocument/2006/relationships/hyperlink" Target="https://es.wikipedia.org/wiki/India" TargetMode="External"/><Relationship Id="rId79" Type="http://schemas.openxmlformats.org/officeDocument/2006/relationships/image" Target="media/image5.png"/><Relationship Id="rId102" Type="http://schemas.openxmlformats.org/officeDocument/2006/relationships/image" Target="media/image28.png"/><Relationship Id="rId123" Type="http://schemas.openxmlformats.org/officeDocument/2006/relationships/image" Target="media/image49.png"/><Relationship Id="rId144" Type="http://schemas.openxmlformats.org/officeDocument/2006/relationships/image" Target="media/image70.png"/><Relationship Id="rId330" Type="http://schemas.openxmlformats.org/officeDocument/2006/relationships/image" Target="media/image227.jpeg"/><Relationship Id="rId90" Type="http://schemas.openxmlformats.org/officeDocument/2006/relationships/image" Target="media/image16.png"/><Relationship Id="rId165" Type="http://schemas.openxmlformats.org/officeDocument/2006/relationships/image" Target="media/image91.png"/><Relationship Id="rId186" Type="http://schemas.openxmlformats.org/officeDocument/2006/relationships/image" Target="media/image112.png"/><Relationship Id="rId351" Type="http://schemas.openxmlformats.org/officeDocument/2006/relationships/image" Target="media/image247.jpeg"/><Relationship Id="rId211" Type="http://schemas.openxmlformats.org/officeDocument/2006/relationships/image" Target="media/image137.png"/><Relationship Id="rId232" Type="http://schemas.openxmlformats.org/officeDocument/2006/relationships/image" Target="media/image156.png"/><Relationship Id="rId253" Type="http://schemas.openxmlformats.org/officeDocument/2006/relationships/image" Target="media/image177.png"/><Relationship Id="rId274" Type="http://schemas.openxmlformats.org/officeDocument/2006/relationships/image" Target="media/image191.png"/><Relationship Id="rId295" Type="http://schemas.openxmlformats.org/officeDocument/2006/relationships/image" Target="media/image212.jpeg"/><Relationship Id="rId309" Type="http://schemas.openxmlformats.org/officeDocument/2006/relationships/hyperlink" Target="https://web.archive.org/web/20130614123132/http:/jm-bd.es/LIBROteka/%20Daniel%20Defoe%20-%20Diario%20del%20a%C3%B1o%20de%20la%20peste.pdf" TargetMode="External"/><Relationship Id="rId27" Type="http://schemas.openxmlformats.org/officeDocument/2006/relationships/hyperlink" Target="https://es.wikipedia.org/wiki/Dinast%C3%ADa_Qing" TargetMode="External"/><Relationship Id="rId48" Type="http://schemas.openxmlformats.org/officeDocument/2006/relationships/hyperlink" Target="https://es.wikipedia.org/wiki/Opio" TargetMode="External"/><Relationship Id="rId69" Type="http://schemas.openxmlformats.org/officeDocument/2006/relationships/hyperlink" Target="https://es.wikipedia.org/wiki/Lin_Hse_Tsu" TargetMode="External"/><Relationship Id="rId113" Type="http://schemas.openxmlformats.org/officeDocument/2006/relationships/image" Target="media/image39.png"/><Relationship Id="rId134" Type="http://schemas.openxmlformats.org/officeDocument/2006/relationships/image" Target="media/image60.png"/><Relationship Id="rId320" Type="http://schemas.openxmlformats.org/officeDocument/2006/relationships/hyperlink" Target="https://www.elconfidencial.com/economia/2019-05-07/guerra-comercial-nacionalismo-aranceles-globalizacion_1985042/" TargetMode="External"/><Relationship Id="rId80" Type="http://schemas.openxmlformats.org/officeDocument/2006/relationships/image" Target="media/image6.png"/><Relationship Id="rId155" Type="http://schemas.openxmlformats.org/officeDocument/2006/relationships/image" Target="media/image81.png"/><Relationship Id="rId176" Type="http://schemas.openxmlformats.org/officeDocument/2006/relationships/image" Target="media/image102.png"/><Relationship Id="rId197" Type="http://schemas.openxmlformats.org/officeDocument/2006/relationships/image" Target="media/image123.png"/><Relationship Id="rId341" Type="http://schemas.openxmlformats.org/officeDocument/2006/relationships/image" Target="media/image237.png"/><Relationship Id="rId201" Type="http://schemas.openxmlformats.org/officeDocument/2006/relationships/image" Target="media/image127.png"/><Relationship Id="rId222" Type="http://schemas.openxmlformats.org/officeDocument/2006/relationships/image" Target="media/image146.png"/><Relationship Id="rId243" Type="http://schemas.openxmlformats.org/officeDocument/2006/relationships/image" Target="media/image167.png"/><Relationship Id="rId264" Type="http://schemas.openxmlformats.org/officeDocument/2006/relationships/image" Target="media/image188.png"/><Relationship Id="rId285" Type="http://schemas.openxmlformats.org/officeDocument/2006/relationships/image" Target="media/image202.png"/><Relationship Id="rId17" Type="http://schemas.openxmlformats.org/officeDocument/2006/relationships/hyperlink" Target="https://es.wikipedia.org/wiki/Opio" TargetMode="External"/><Relationship Id="rId38" Type="http://schemas.openxmlformats.org/officeDocument/2006/relationships/hyperlink" Target="https://es.wikipedia.org/wiki/Compa%C3%B1%C3%ADa_Brit%C3%A1nica_de_las_Indias_Orientales" TargetMode="External"/><Relationship Id="rId59" Type="http://schemas.openxmlformats.org/officeDocument/2006/relationships/hyperlink" Target="https://es.wikipedia.org/wiki/Imperio_chino" TargetMode="External"/><Relationship Id="rId103" Type="http://schemas.openxmlformats.org/officeDocument/2006/relationships/image" Target="media/image29.png"/><Relationship Id="rId124" Type="http://schemas.openxmlformats.org/officeDocument/2006/relationships/image" Target="media/image50.png"/><Relationship Id="rId310" Type="http://schemas.openxmlformats.org/officeDocument/2006/relationships/hyperlink" Target="https://es.wikipedia.org/wiki/Diario_del_a%C3%B1o_de_la_peste" TargetMode="External"/><Relationship Id="rId70" Type="http://schemas.openxmlformats.org/officeDocument/2006/relationships/hyperlink" Target="https://es.wikipedia.org/wiki/Victoria_I_del_Reino_Unido" TargetMode="External"/><Relationship Id="rId91" Type="http://schemas.openxmlformats.org/officeDocument/2006/relationships/image" Target="media/image17.png"/><Relationship Id="rId145" Type="http://schemas.openxmlformats.org/officeDocument/2006/relationships/image" Target="media/image71.png"/><Relationship Id="rId166" Type="http://schemas.openxmlformats.org/officeDocument/2006/relationships/image" Target="media/image92.png"/><Relationship Id="rId187" Type="http://schemas.openxmlformats.org/officeDocument/2006/relationships/image" Target="media/image113.png"/><Relationship Id="rId331" Type="http://schemas.openxmlformats.org/officeDocument/2006/relationships/hyperlink" Target="https://www.eleconomista.es/economia/noticias/10452602/03/20/Deutsche-Bank-anticipa-un-colapso-de-la-economia-espanola-del-20-sera-la-potencia-europea-mas-castigada.html" TargetMode="External"/><Relationship Id="rId352" Type="http://schemas.openxmlformats.org/officeDocument/2006/relationships/image" Target="media/image248.png"/><Relationship Id="rId1" Type="http://schemas.openxmlformats.org/officeDocument/2006/relationships/customXml" Target="../customXml/item1.xml"/><Relationship Id="rId212" Type="http://schemas.openxmlformats.org/officeDocument/2006/relationships/image" Target="media/image138.png"/><Relationship Id="rId233" Type="http://schemas.openxmlformats.org/officeDocument/2006/relationships/image" Target="media/image157.png"/><Relationship Id="rId254" Type="http://schemas.openxmlformats.org/officeDocument/2006/relationships/image" Target="media/image178.png"/><Relationship Id="rId28" Type="http://schemas.openxmlformats.org/officeDocument/2006/relationships/hyperlink" Target="https://es.wikipedia.org/wiki/Occidente" TargetMode="External"/><Relationship Id="rId49" Type="http://schemas.openxmlformats.org/officeDocument/2006/relationships/hyperlink" Target="https://es.wikipedia.org/wiki/Dinast%C3%ADa_Qing" TargetMode="External"/><Relationship Id="rId114" Type="http://schemas.openxmlformats.org/officeDocument/2006/relationships/image" Target="media/image40.png"/><Relationship Id="rId275" Type="http://schemas.openxmlformats.org/officeDocument/2006/relationships/image" Target="media/image192.png"/><Relationship Id="rId296" Type="http://schemas.openxmlformats.org/officeDocument/2006/relationships/hyperlink" Target="https://www.vozpopuli.com/espana/feijoo-podemos-bloque-investidura.html" TargetMode="External"/><Relationship Id="rId300" Type="http://schemas.openxmlformats.org/officeDocument/2006/relationships/image" Target="media/image215.jpeg"/><Relationship Id="rId60" Type="http://schemas.openxmlformats.org/officeDocument/2006/relationships/hyperlink" Target="https://es.wikipedia.org/wiki/Opio" TargetMode="External"/><Relationship Id="rId81" Type="http://schemas.openxmlformats.org/officeDocument/2006/relationships/image" Target="media/image7.png"/><Relationship Id="rId135" Type="http://schemas.openxmlformats.org/officeDocument/2006/relationships/image" Target="media/image61.png"/><Relationship Id="rId156" Type="http://schemas.openxmlformats.org/officeDocument/2006/relationships/image" Target="media/image82.png"/><Relationship Id="rId177" Type="http://schemas.openxmlformats.org/officeDocument/2006/relationships/image" Target="media/image103.png"/><Relationship Id="rId198" Type="http://schemas.openxmlformats.org/officeDocument/2006/relationships/image" Target="media/image124.png"/><Relationship Id="rId321" Type="http://schemas.openxmlformats.org/officeDocument/2006/relationships/hyperlink" Target="https://www.wto.org/english/news_e/news19_e/dgra_12dec19_e.htm" TargetMode="External"/><Relationship Id="rId342" Type="http://schemas.openxmlformats.org/officeDocument/2006/relationships/image" Target="media/image238.png"/><Relationship Id="rId202" Type="http://schemas.openxmlformats.org/officeDocument/2006/relationships/image" Target="media/image128.png"/><Relationship Id="rId223" Type="http://schemas.openxmlformats.org/officeDocument/2006/relationships/image" Target="media/image147.png"/><Relationship Id="rId244" Type="http://schemas.openxmlformats.org/officeDocument/2006/relationships/image" Target="media/image168.png"/><Relationship Id="rId18" Type="http://schemas.openxmlformats.org/officeDocument/2006/relationships/hyperlink" Target="https://es.wikipedia.org/wiki/India_Brit%C3%A1nica" TargetMode="External"/><Relationship Id="rId39" Type="http://schemas.openxmlformats.org/officeDocument/2006/relationships/hyperlink" Target="https://es.wikipedia.org/wiki/Bengala" TargetMode="External"/><Relationship Id="rId265" Type="http://schemas.openxmlformats.org/officeDocument/2006/relationships/hyperlink" Target="https://www.imporalia.com/ventajas-de-fabricar-en-china/" TargetMode="External"/><Relationship Id="rId286" Type="http://schemas.openxmlformats.org/officeDocument/2006/relationships/image" Target="media/image203.png"/><Relationship Id="rId50" Type="http://schemas.openxmlformats.org/officeDocument/2006/relationships/hyperlink" Target="https://es.wikipedia.org/wiki/Opio" TargetMode="External"/><Relationship Id="rId104" Type="http://schemas.openxmlformats.org/officeDocument/2006/relationships/image" Target="media/image30.png"/><Relationship Id="rId125" Type="http://schemas.openxmlformats.org/officeDocument/2006/relationships/image" Target="media/image51.png"/><Relationship Id="rId146" Type="http://schemas.openxmlformats.org/officeDocument/2006/relationships/image" Target="media/image72.png"/><Relationship Id="rId167" Type="http://schemas.openxmlformats.org/officeDocument/2006/relationships/image" Target="media/image93.png"/><Relationship Id="rId188" Type="http://schemas.openxmlformats.org/officeDocument/2006/relationships/image" Target="media/image114.png"/><Relationship Id="rId311" Type="http://schemas.openxmlformats.org/officeDocument/2006/relationships/hyperlink" Target="https://blogs.elconfidencial.com/economia/laissez-faire/2020-02-28/coronavirus-shock-oferta_2474011/" TargetMode="External"/><Relationship Id="rId332" Type="http://schemas.openxmlformats.org/officeDocument/2006/relationships/image" Target="media/image228.jpeg"/><Relationship Id="rId353" Type="http://schemas.openxmlformats.org/officeDocument/2006/relationships/image" Target="media/image249.png"/><Relationship Id="rId71" Type="http://schemas.openxmlformats.org/officeDocument/2006/relationships/hyperlink" Target="https://es.wikipedia.org/wiki/HSBC" TargetMode="External"/><Relationship Id="rId92" Type="http://schemas.openxmlformats.org/officeDocument/2006/relationships/image" Target="media/image18.png"/><Relationship Id="rId213" Type="http://schemas.openxmlformats.org/officeDocument/2006/relationships/image" Target="media/image139.jpeg"/><Relationship Id="rId234" Type="http://schemas.openxmlformats.org/officeDocument/2006/relationships/image" Target="media/image158.png"/><Relationship Id="rId2" Type="http://schemas.openxmlformats.org/officeDocument/2006/relationships/numbering" Target="numbering.xml"/><Relationship Id="rId29" Type="http://schemas.openxmlformats.org/officeDocument/2006/relationships/hyperlink" Target="https://es.wikipedia.org/wiki/Imperio_chino" TargetMode="External"/><Relationship Id="rId255" Type="http://schemas.openxmlformats.org/officeDocument/2006/relationships/image" Target="media/image179.png"/><Relationship Id="rId276" Type="http://schemas.openxmlformats.org/officeDocument/2006/relationships/image" Target="media/image193.png"/><Relationship Id="rId297" Type="http://schemas.openxmlformats.org/officeDocument/2006/relationships/image" Target="media/image213.jpeg"/><Relationship Id="rId40" Type="http://schemas.openxmlformats.org/officeDocument/2006/relationships/hyperlink" Target="https://es.wikipedia.org/wiki/Indonesia" TargetMode="External"/><Relationship Id="rId115" Type="http://schemas.openxmlformats.org/officeDocument/2006/relationships/image" Target="media/image41.png"/><Relationship Id="rId136" Type="http://schemas.openxmlformats.org/officeDocument/2006/relationships/image" Target="media/image62.png"/><Relationship Id="rId157" Type="http://schemas.openxmlformats.org/officeDocument/2006/relationships/image" Target="media/image83.png"/><Relationship Id="rId178" Type="http://schemas.openxmlformats.org/officeDocument/2006/relationships/image" Target="media/image104.png"/><Relationship Id="rId301" Type="http://schemas.openxmlformats.org/officeDocument/2006/relationships/image" Target="media/image216.jpeg"/><Relationship Id="rId322" Type="http://schemas.openxmlformats.org/officeDocument/2006/relationships/hyperlink" Target="https://blog.realinstitutoelcano.org/cuatro-claves-de-la-globalizacion-en-2020/" TargetMode="External"/><Relationship Id="rId343" Type="http://schemas.openxmlformats.org/officeDocument/2006/relationships/image" Target="media/image239.png"/><Relationship Id="rId61" Type="http://schemas.openxmlformats.org/officeDocument/2006/relationships/hyperlink" Target="https://es.wikipedia.org/wiki/Porcelana" TargetMode="External"/><Relationship Id="rId82" Type="http://schemas.openxmlformats.org/officeDocument/2006/relationships/image" Target="media/image8.png"/><Relationship Id="rId199" Type="http://schemas.openxmlformats.org/officeDocument/2006/relationships/image" Target="media/image125.png"/><Relationship Id="rId203" Type="http://schemas.openxmlformats.org/officeDocument/2006/relationships/image" Target="media/image129.png"/><Relationship Id="rId19" Type="http://schemas.openxmlformats.org/officeDocument/2006/relationships/hyperlink" Target="https://es.wikipedia.org/wiki/Tratados_Desiguales" TargetMode="External"/><Relationship Id="rId224" Type="http://schemas.openxmlformats.org/officeDocument/2006/relationships/image" Target="media/image148.png"/><Relationship Id="rId245" Type="http://schemas.openxmlformats.org/officeDocument/2006/relationships/image" Target="media/image169.png"/><Relationship Id="rId266" Type="http://schemas.openxmlformats.org/officeDocument/2006/relationships/hyperlink" Target="https://www.imporalia.com/fabricar-en-china-o-vietnam/" TargetMode="External"/><Relationship Id="rId287" Type="http://schemas.openxmlformats.org/officeDocument/2006/relationships/image" Target="media/image204.png"/><Relationship Id="rId30" Type="http://schemas.openxmlformats.org/officeDocument/2006/relationships/hyperlink" Target="https://es.wikipedia.org/wiki/Goa" TargetMode="External"/><Relationship Id="rId105" Type="http://schemas.openxmlformats.org/officeDocument/2006/relationships/image" Target="media/image31.png"/><Relationship Id="rId126" Type="http://schemas.openxmlformats.org/officeDocument/2006/relationships/image" Target="media/image52.png"/><Relationship Id="rId147" Type="http://schemas.openxmlformats.org/officeDocument/2006/relationships/image" Target="media/image73.png"/><Relationship Id="rId168" Type="http://schemas.openxmlformats.org/officeDocument/2006/relationships/image" Target="media/image94.png"/><Relationship Id="rId312" Type="http://schemas.openxmlformats.org/officeDocument/2006/relationships/hyperlink" Target="https://es.wikipedia.org/wiki/Mercado_mayorista_de_mariscos_del_sur_de_China_de_Wuhan" TargetMode="External"/><Relationship Id="rId333" Type="http://schemas.openxmlformats.org/officeDocument/2006/relationships/image" Target="media/image229.jpeg"/><Relationship Id="rId354" Type="http://schemas.openxmlformats.org/officeDocument/2006/relationships/image" Target="media/image250.png"/><Relationship Id="rId51" Type="http://schemas.openxmlformats.org/officeDocument/2006/relationships/hyperlink" Target="https://es.wikipedia.org/wiki/Akbar" TargetMode="External"/><Relationship Id="rId72" Type="http://schemas.openxmlformats.org/officeDocument/2006/relationships/hyperlink" Target="https://es.wikipedia.org/wiki/Lin_Hse_Tsu" TargetMode="External"/><Relationship Id="rId93" Type="http://schemas.openxmlformats.org/officeDocument/2006/relationships/image" Target="media/image19.png"/><Relationship Id="rId189" Type="http://schemas.openxmlformats.org/officeDocument/2006/relationships/image" Target="media/image115.png"/><Relationship Id="rId3" Type="http://schemas.openxmlformats.org/officeDocument/2006/relationships/styles" Target="styles.xml"/><Relationship Id="rId214" Type="http://schemas.openxmlformats.org/officeDocument/2006/relationships/image" Target="media/image140.png"/><Relationship Id="rId235" Type="http://schemas.openxmlformats.org/officeDocument/2006/relationships/image" Target="media/image159.png"/><Relationship Id="rId256" Type="http://schemas.openxmlformats.org/officeDocument/2006/relationships/image" Target="media/image180.jpeg"/><Relationship Id="rId277" Type="http://schemas.openxmlformats.org/officeDocument/2006/relationships/image" Target="media/image194.png"/><Relationship Id="rId298" Type="http://schemas.openxmlformats.org/officeDocument/2006/relationships/image" Target="media/image214.jpeg"/><Relationship Id="rId116" Type="http://schemas.openxmlformats.org/officeDocument/2006/relationships/image" Target="media/image42.png"/><Relationship Id="rId137" Type="http://schemas.openxmlformats.org/officeDocument/2006/relationships/image" Target="media/image63.png"/><Relationship Id="rId158" Type="http://schemas.openxmlformats.org/officeDocument/2006/relationships/image" Target="media/image84.png"/><Relationship Id="rId302" Type="http://schemas.openxmlformats.org/officeDocument/2006/relationships/image" Target="media/image217.jpeg"/><Relationship Id="rId323" Type="http://schemas.openxmlformats.org/officeDocument/2006/relationships/hyperlink" Target="https://blogs.elconfidencial.com/espana/mientras-tanto/2019-03-08/boton-nuclear-averiado-bce-sin-municion-tipos_1869046/" TargetMode="External"/><Relationship Id="rId344" Type="http://schemas.openxmlformats.org/officeDocument/2006/relationships/image" Target="media/image240.png"/><Relationship Id="rId20" Type="http://schemas.openxmlformats.org/officeDocument/2006/relationships/hyperlink" Target="https://es.wikipedia.org/wiki/Hong_Kong" TargetMode="External"/><Relationship Id="rId41" Type="http://schemas.openxmlformats.org/officeDocument/2006/relationships/hyperlink" Target="https://es.wikipedia.org/wiki/Compa%C3%B1%C3%ADa_Neerlandesa_de_las_Indias_Orientales" TargetMode="External"/><Relationship Id="rId62" Type="http://schemas.openxmlformats.org/officeDocument/2006/relationships/hyperlink" Target="https://es.wikipedia.org/wiki/Seda" TargetMode="External"/><Relationship Id="rId83" Type="http://schemas.openxmlformats.org/officeDocument/2006/relationships/image" Target="media/image9.png"/><Relationship Id="rId179" Type="http://schemas.openxmlformats.org/officeDocument/2006/relationships/image" Target="media/image105.png"/><Relationship Id="rId190" Type="http://schemas.openxmlformats.org/officeDocument/2006/relationships/image" Target="media/image116.png"/><Relationship Id="rId204" Type="http://schemas.openxmlformats.org/officeDocument/2006/relationships/image" Target="media/image130.png"/><Relationship Id="rId225" Type="http://schemas.openxmlformats.org/officeDocument/2006/relationships/image" Target="media/image149.png"/><Relationship Id="rId246" Type="http://schemas.openxmlformats.org/officeDocument/2006/relationships/image" Target="media/image170.png"/><Relationship Id="rId267" Type="http://schemas.openxmlformats.org/officeDocument/2006/relationships/hyperlink" Target="https://www.imporalia.com/fabricar-en-china-o-en-india/" TargetMode="External"/><Relationship Id="rId288" Type="http://schemas.openxmlformats.org/officeDocument/2006/relationships/image" Target="media/image20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333981-0D5B-4EFB-90D4-F23EF6674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245</Pages>
  <Words>74263</Words>
  <Characters>423301</Characters>
  <Application>Microsoft Office Word</Application>
  <DocSecurity>0</DocSecurity>
  <Lines>3527</Lines>
  <Paragraphs>993</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496571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2</cp:revision>
  <dcterms:created xsi:type="dcterms:W3CDTF">2023-08-14T07:54:00Z</dcterms:created>
  <dcterms:modified xsi:type="dcterms:W3CDTF">2023-08-14T07:54:00Z</dcterms:modified>
</cp:coreProperties>
</file>