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44A4" w:rsidRPr="000C04C5" w:rsidRDefault="00C044A4" w:rsidP="00C044A4">
      <w:pPr>
        <w:spacing w:line="240" w:lineRule="auto"/>
        <w:jc w:val="both"/>
        <w:rPr>
          <w:rFonts w:ascii="Times New Roman" w:hAnsi="Times New Roman" w:cs="Times New Roman"/>
          <w:b/>
          <w:sz w:val="24"/>
          <w:szCs w:val="24"/>
        </w:rPr>
      </w:pPr>
      <w:r w:rsidRPr="000C04C5">
        <w:rPr>
          <w:rFonts w:ascii="Times New Roman" w:hAnsi="Times New Roman" w:cs="Times New Roman"/>
          <w:b/>
          <w:sz w:val="24"/>
          <w:szCs w:val="24"/>
        </w:rPr>
        <w:t>Paper - La Unión Europea es el “enfermo” de Europa</w:t>
      </w:r>
    </w:p>
    <w:p w:rsidR="00C044A4" w:rsidRDefault="00C044A4" w:rsidP="00C044A4">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5D06E8E8" wp14:editId="6D21F926">
            <wp:extent cx="5731510" cy="3220720"/>
            <wp:effectExtent l="0" t="0" r="2540" b="0"/>
            <wp:docPr id="26" name="Imagen 26" descr="Foto: La generación H2 marcará las elecciones. (EFE/Alejandro Garc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La generación H2 marcará las elecciones. (EFE/Alejandro Garcí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220720"/>
                    </a:xfrm>
                    <a:prstGeom prst="rect">
                      <a:avLst/>
                    </a:prstGeom>
                    <a:noFill/>
                    <a:ln>
                      <a:noFill/>
                    </a:ln>
                  </pic:spPr>
                </pic:pic>
              </a:graphicData>
            </a:graphic>
          </wp:inline>
        </w:drawing>
      </w:r>
    </w:p>
    <w:p w:rsidR="00C044A4" w:rsidRPr="000C04C5" w:rsidRDefault="00C044A4" w:rsidP="00C044A4">
      <w:pPr>
        <w:spacing w:line="240" w:lineRule="auto"/>
        <w:jc w:val="both"/>
        <w:rPr>
          <w:rFonts w:ascii="Times New Roman" w:hAnsi="Times New Roman" w:cs="Times New Roman"/>
          <w:b/>
          <w:sz w:val="24"/>
          <w:szCs w:val="24"/>
        </w:rPr>
      </w:pPr>
      <w:r w:rsidRPr="000C04C5">
        <w:rPr>
          <w:rFonts w:ascii="Times New Roman" w:hAnsi="Times New Roman" w:cs="Times New Roman"/>
          <w:b/>
          <w:sz w:val="24"/>
          <w:szCs w:val="24"/>
        </w:rPr>
        <w:t xml:space="preserve">- Introducción: </w:t>
      </w:r>
      <w:r w:rsidR="00A27100" w:rsidRPr="000C04C5">
        <w:rPr>
          <w:rFonts w:ascii="Times New Roman" w:hAnsi="Times New Roman" w:cs="Times New Roman"/>
          <w:b/>
          <w:sz w:val="24"/>
          <w:szCs w:val="24"/>
        </w:rPr>
        <w:t>Estupideces simultáneas (</w:t>
      </w:r>
      <w:r w:rsidR="00106F4C" w:rsidRPr="000C04C5">
        <w:rPr>
          <w:rFonts w:ascii="Times New Roman" w:hAnsi="Times New Roman" w:cs="Times New Roman"/>
          <w:b/>
          <w:sz w:val="24"/>
          <w:szCs w:val="24"/>
        </w:rPr>
        <w:t xml:space="preserve">o </w:t>
      </w:r>
      <w:r w:rsidRPr="000C04C5">
        <w:rPr>
          <w:rFonts w:ascii="Times New Roman" w:hAnsi="Times New Roman" w:cs="Times New Roman"/>
          <w:b/>
          <w:sz w:val="24"/>
          <w:szCs w:val="24"/>
        </w:rPr>
        <w:t>la banalización del mal</w:t>
      </w:r>
      <w:r w:rsidR="00A27100" w:rsidRPr="000C04C5">
        <w:rPr>
          <w:rFonts w:ascii="Times New Roman" w:hAnsi="Times New Roman" w:cs="Times New Roman"/>
          <w:b/>
          <w:sz w:val="24"/>
          <w:szCs w:val="24"/>
        </w:rPr>
        <w:t>)</w:t>
      </w:r>
    </w:p>
    <w:p w:rsidR="00C044A4" w:rsidRPr="00790214" w:rsidRDefault="00C044A4" w:rsidP="00C044A4">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00A27100">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 xml:space="preserve">   </w:t>
      </w:r>
      <w:r w:rsidRPr="00BA39B4">
        <w:rPr>
          <w:rFonts w:ascii="Times New Roman" w:hAnsi="Times New Roman" w:cs="Times New Roman"/>
          <w:noProof/>
          <w:sz w:val="24"/>
          <w:szCs w:val="24"/>
          <w:lang w:eastAsia="es-ES"/>
        </w:rPr>
        <w:drawing>
          <wp:inline distT="0" distB="0" distL="0" distR="0" wp14:anchorId="4911B02F" wp14:editId="46A0C999">
            <wp:extent cx="4787900" cy="3232150"/>
            <wp:effectExtent l="0" t="0" r="0" b="6350"/>
            <wp:docPr id="32" name="Imagen 32" descr="Foto: Ursula von der Leyen toca la campana para inaugurar una sesión en el Colegio de Comisarios en Bruselas. (Reuters/Oliver Matth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to: Ursula von der Leyen toca la campana para inaugurar una sesión en el Colegio de Comisarios en Bruselas. (Reuters/Oliver Matthy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87900" cy="3232150"/>
                    </a:xfrm>
                    <a:prstGeom prst="rect">
                      <a:avLst/>
                    </a:prstGeom>
                    <a:noFill/>
                    <a:ln>
                      <a:noFill/>
                    </a:ln>
                  </pic:spPr>
                </pic:pic>
              </a:graphicData>
            </a:graphic>
          </wp:inline>
        </w:drawing>
      </w:r>
    </w:p>
    <w:p w:rsidR="000D777F" w:rsidRDefault="00A27100" w:rsidP="00C044A4">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00C044A4" w:rsidRPr="00017ED1">
        <w:rPr>
          <w:rFonts w:ascii="Times New Roman" w:hAnsi="Times New Roman" w:cs="Times New Roman"/>
          <w:b/>
          <w:sz w:val="24"/>
          <w:szCs w:val="24"/>
        </w:rPr>
        <w:t>l insoportable peso de las dec</w:t>
      </w:r>
      <w:r>
        <w:rPr>
          <w:rFonts w:ascii="Times New Roman" w:hAnsi="Times New Roman" w:cs="Times New Roman"/>
          <w:b/>
          <w:sz w:val="24"/>
          <w:szCs w:val="24"/>
        </w:rPr>
        <w:t>isiones políticamente correctas</w:t>
      </w:r>
    </w:p>
    <w:p w:rsidR="00C044A4" w:rsidRPr="000D777F" w:rsidRDefault="000D777F" w:rsidP="00C044A4">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00C044A4" w:rsidRPr="00A27100">
        <w:rPr>
          <w:rFonts w:ascii="Times New Roman" w:hAnsi="Times New Roman" w:cs="Times New Roman"/>
          <w:i/>
          <w:sz w:val="24"/>
          <w:szCs w:val="24"/>
        </w:rPr>
        <w:t>“Yo he visto cosas que vosotros no creeríais. Naves de ataque en llamas más allá del hombro de Orión. Miré rayos-C brillar en la oscuridad cerca de la Puerta de Tannhäuser. Todos esos momentos se perderán en el tiempo, como lágrimas en la lluvia. Hora de morir”…</w:t>
      </w:r>
      <w:r w:rsidR="00C044A4">
        <w:rPr>
          <w:rFonts w:ascii="Times New Roman" w:hAnsi="Times New Roman" w:cs="Times New Roman"/>
          <w:sz w:val="24"/>
          <w:szCs w:val="24"/>
        </w:rPr>
        <w:t xml:space="preserve"> (Entre Richard Wagner y Blade Runner)</w:t>
      </w:r>
    </w:p>
    <w:p w:rsidR="00C044A4" w:rsidRPr="000C04C5" w:rsidRDefault="00C044A4" w:rsidP="00C044A4">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La Unión Europea ya venía cuesta abajo… pero todo se terminó de joder a partir del 2008.</w:t>
      </w:r>
    </w:p>
    <w:p w:rsidR="00C044A4" w:rsidRPr="000C04C5" w:rsidRDefault="00C044A4" w:rsidP="00C044A4">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lastRenderedPageBreak/>
        <w:t xml:space="preserve">Desde entonces, todo ha ido mal en Europa. Una sucesión de errores que han terminado por pulverizar la (aparente) solvencia de la “factoría de ficciones” bruselense (Parlamento, Comisión y Consejo Europeo). Todos parecen enfrascados en una disputa por ver quién la hace más gorda. </w:t>
      </w:r>
    </w:p>
    <w:p w:rsidR="00C044A4" w:rsidRPr="000C04C5" w:rsidRDefault="00C044A4" w:rsidP="00C044A4">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 xml:space="preserve">No todo eran flores y violines antes del arranque de la crisis de las hipotecas subprime del año 2008 (el Sida financiero que EEUU contagió al mundo mundial), pero los escribidores orgánicos ponderaban con entusiasmo el buen rumbo de la labor de las autoridades de la Unión Europea: repunte del PIB, reducción del desempleo, control del déficit fiscal, deuda pública sostenible, subida de pensiones, estado de bienestar envidiable, y así sucesivamente. En resumen: una Europa democrática, </w:t>
      </w:r>
      <w:r w:rsidR="003F2346" w:rsidRPr="000C04C5">
        <w:rPr>
          <w:rFonts w:ascii="Times New Roman" w:hAnsi="Times New Roman" w:cs="Times New Roman"/>
          <w:sz w:val="24"/>
          <w:szCs w:val="24"/>
        </w:rPr>
        <w:t>progresista</w:t>
      </w:r>
      <w:r w:rsidRPr="000C04C5">
        <w:rPr>
          <w:rFonts w:ascii="Times New Roman" w:hAnsi="Times New Roman" w:cs="Times New Roman"/>
          <w:sz w:val="24"/>
          <w:szCs w:val="24"/>
        </w:rPr>
        <w:t xml:space="preserve">, globalista, librecambista, moderada, previsible…  Las “instituciones europeas”, al fin, dominaban la agenda, imponían el debate, llevaban la iniciativa… Todo estaba tranquilo y hasta sonaba a venturoso… </w:t>
      </w:r>
    </w:p>
    <w:p w:rsidR="00C044A4" w:rsidRPr="000C04C5" w:rsidRDefault="00C044A4" w:rsidP="00C044A4">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 xml:space="preserve">Y ahí cambió todo. Es el momento preciso en el que las tranquilas previsiones de “Bruselas” saltan por los aires… el tsunami financiero que partió de la costa este de los EEUU, invade la ribera de la UE, destruyendo las defensas de una Europa sorprendida, pasmada, azorada… </w:t>
      </w:r>
    </w:p>
    <w:p w:rsidR="00C044A4" w:rsidRPr="000C04C5" w:rsidRDefault="00C044A4" w:rsidP="00C044A4">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Los funcionarios europeos huyen despavoridos ante la presencia de los medios. Carreras ridículas se suceden por los pasillos de Bruselas en un espectáculo grotesco. Poco a poco, los burócratas empiezan a mascullar, casi con miedo, que se trata de una “crisis sistémica”, pero que las entidades financieras europeas son solventes y disponen de liquidez suficiente… Un cacareo hueco, una firmeza impostada.</w:t>
      </w:r>
    </w:p>
    <w:p w:rsidR="00596082" w:rsidRDefault="00596082" w:rsidP="00596082">
      <w:pPr>
        <w:spacing w:line="240" w:lineRule="auto"/>
        <w:jc w:val="both"/>
        <w:rPr>
          <w:rFonts w:ascii="Times New Roman" w:hAnsi="Times New Roman" w:cs="Times New Roman"/>
          <w:sz w:val="24"/>
          <w:szCs w:val="24"/>
        </w:rPr>
      </w:pPr>
      <w:r>
        <w:rPr>
          <w:rFonts w:ascii="Times New Roman" w:hAnsi="Times New Roman" w:cs="Times New Roman"/>
          <w:sz w:val="24"/>
          <w:szCs w:val="24"/>
        </w:rPr>
        <w:t>En la crisis económica del año 2008, en la que la Unión Europea se contagió el sida financiero de los Estados Unidos, por complejo de inferioridad, seguidismo, dependencia, debilidad, falta de autonomía, connivencia, especulación y cortoplacismo… los “grandes bonetes” (líderes políticos de plastilina, empresarios avaros y miopes, gurús mediáticos y académicos fatuos y arrogantes, dijeron que la culpa era de Wall Street y la banca norteamericana, que habían repartido por el mundo mundial, sus productos especulativos de mierda (armas financieras de destrucción masiva, las llamó Warren Buffett), y que Europa (confiada y frágil) había sido barrida por el tsunami financiero provocado por los excesos del capitalismo anglosajón.</w:t>
      </w:r>
    </w:p>
    <w:p w:rsidR="00596082" w:rsidRDefault="00596082" w:rsidP="005960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crisis sanitaria del año 2020, en la que la Unión Europea se contagió el virus del Covid 19 de China, por practicar una política de libre movimiento de personas y mercancías, deslocalización, tercerización, y globalismo (renunciado al modelo renano, en beneficio del modelo anglosajón)… los “grandes bonetes” (líderes políticos de plastilina, empresarios avaros y miopes, gurús mediáticos y académicos fatuos y arrogantes, dijeron que la culpa era del… “empedrado”, “azar”, “pangolín”, “murciélago”, o eufemismos equivalentes, con tal de no reconocer la evidencia (responsabilidad de China en el contagio, </w:t>
      </w:r>
      <w:r w:rsidR="003F2346">
        <w:rPr>
          <w:rFonts w:ascii="Times New Roman" w:hAnsi="Times New Roman" w:cs="Times New Roman"/>
          <w:sz w:val="24"/>
          <w:szCs w:val="24"/>
        </w:rPr>
        <w:t>encubrimiento, y</w:t>
      </w:r>
      <w:r>
        <w:rPr>
          <w:rFonts w:ascii="Times New Roman" w:hAnsi="Times New Roman" w:cs="Times New Roman"/>
          <w:sz w:val="24"/>
          <w:szCs w:val="24"/>
        </w:rPr>
        <w:t xml:space="preserve"> falta de comunicación), mientras la Unión Europea (más desunida que nunca) patentizaba su</w:t>
      </w:r>
      <w:r w:rsidR="003F2346">
        <w:rPr>
          <w:rFonts w:ascii="Times New Roman" w:hAnsi="Times New Roman" w:cs="Times New Roman"/>
          <w:sz w:val="24"/>
          <w:szCs w:val="24"/>
        </w:rPr>
        <w:t xml:space="preserve"> </w:t>
      </w:r>
      <w:r>
        <w:rPr>
          <w:rFonts w:ascii="Times New Roman" w:hAnsi="Times New Roman" w:cs="Times New Roman"/>
          <w:sz w:val="24"/>
          <w:szCs w:val="24"/>
        </w:rPr>
        <w:t>imprevisión</w:t>
      </w:r>
      <w:r w:rsidR="003F2346">
        <w:rPr>
          <w:rFonts w:ascii="Times New Roman" w:hAnsi="Times New Roman" w:cs="Times New Roman"/>
          <w:sz w:val="24"/>
          <w:szCs w:val="24"/>
        </w:rPr>
        <w:t xml:space="preserve"> </w:t>
      </w:r>
      <w:r>
        <w:rPr>
          <w:rFonts w:ascii="Times New Roman" w:hAnsi="Times New Roman" w:cs="Times New Roman"/>
          <w:sz w:val="24"/>
          <w:szCs w:val="24"/>
        </w:rPr>
        <w:t>sanitaria, falta de insumos críticos, dependencia tecnológica, falta de planificación estratégica, coordinación, y unidad operativa), quedando barrida por el tsunami sanitario provocado por China.</w:t>
      </w:r>
    </w:p>
    <w:p w:rsidR="00596082" w:rsidRPr="003E475F" w:rsidRDefault="00596082" w:rsidP="00596082">
      <w:pPr>
        <w:spacing w:line="240" w:lineRule="auto"/>
        <w:jc w:val="both"/>
        <w:rPr>
          <w:rFonts w:ascii="Times New Roman" w:hAnsi="Times New Roman" w:cs="Times New Roman"/>
          <w:sz w:val="24"/>
          <w:szCs w:val="24"/>
          <w:shd w:val="clear" w:color="auto" w:fill="FFFFFF"/>
        </w:rPr>
      </w:pPr>
      <w:r w:rsidRPr="003E475F">
        <w:rPr>
          <w:rFonts w:ascii="Times New Roman" w:hAnsi="Times New Roman" w:cs="Times New Roman"/>
          <w:sz w:val="24"/>
          <w:szCs w:val="24"/>
          <w:shd w:val="clear" w:color="auto" w:fill="FFFFFF"/>
        </w:rPr>
        <w:t>Queda patente que algunos de los países más avanzados, tan poderosos en lo económico, en lo administrativo e, incluso, en lo militar, han demostrado una grandiosa </w:t>
      </w:r>
      <w:r w:rsidRPr="00596082">
        <w:rPr>
          <w:rStyle w:val="Textoennegrita"/>
          <w:rFonts w:ascii="Times New Roman" w:hAnsi="Times New Roman" w:cs="Times New Roman"/>
          <w:b w:val="0"/>
          <w:sz w:val="24"/>
          <w:szCs w:val="24"/>
          <w:bdr w:val="none" w:sz="0" w:space="0" w:color="auto" w:frame="1"/>
          <w:shd w:val="clear" w:color="auto" w:fill="FFFFFF"/>
        </w:rPr>
        <w:t>vulnerabilidad</w:t>
      </w:r>
      <w:r w:rsidRPr="003E475F">
        <w:rPr>
          <w:rStyle w:val="Textoennegrita"/>
          <w:rFonts w:ascii="Times New Roman" w:hAnsi="Times New Roman" w:cs="Times New Roman"/>
          <w:sz w:val="24"/>
          <w:szCs w:val="24"/>
          <w:bdr w:val="none" w:sz="0" w:space="0" w:color="auto" w:frame="1"/>
          <w:shd w:val="clear" w:color="auto" w:fill="FFFFFF"/>
        </w:rPr>
        <w:t> </w:t>
      </w:r>
      <w:r w:rsidRPr="003E475F">
        <w:rPr>
          <w:rFonts w:ascii="Times New Roman" w:hAnsi="Times New Roman" w:cs="Times New Roman"/>
          <w:sz w:val="24"/>
          <w:szCs w:val="24"/>
          <w:shd w:val="clear" w:color="auto" w:fill="FFFFFF"/>
        </w:rPr>
        <w:t>ante la </w:t>
      </w:r>
      <w:hyperlink r:id="rId8" w:history="1">
        <w:r w:rsidRPr="00596082">
          <w:rPr>
            <w:rStyle w:val="Hipervnculo"/>
            <w:rFonts w:ascii="Times New Roman" w:hAnsi="Times New Roman" w:cs="Times New Roman"/>
            <w:color w:val="auto"/>
            <w:sz w:val="24"/>
            <w:szCs w:val="24"/>
            <w:u w:val="none"/>
            <w:shd w:val="clear" w:color="auto" w:fill="FFFFFF"/>
          </w:rPr>
          <w:t>globalización</w:t>
        </w:r>
      </w:hyperlink>
      <w:r w:rsidRPr="003E475F">
        <w:rPr>
          <w:rFonts w:ascii="Times New Roman" w:hAnsi="Times New Roman" w:cs="Times New Roman"/>
          <w:sz w:val="24"/>
          <w:szCs w:val="24"/>
          <w:shd w:val="clear" w:color="auto" w:fill="FFFFFF"/>
        </w:rPr>
        <w:t>, que los han dejado inermes ante las crisis devenidas.</w:t>
      </w:r>
    </w:p>
    <w:p w:rsidR="00596082" w:rsidRPr="003E475F" w:rsidRDefault="00596082" w:rsidP="00596082">
      <w:pPr>
        <w:spacing w:line="240" w:lineRule="auto"/>
        <w:jc w:val="both"/>
        <w:rPr>
          <w:rFonts w:ascii="Times New Roman" w:hAnsi="Times New Roman" w:cs="Times New Roman"/>
          <w:sz w:val="24"/>
          <w:szCs w:val="24"/>
          <w:shd w:val="clear" w:color="auto" w:fill="FFFFFF"/>
        </w:rPr>
      </w:pPr>
      <w:r w:rsidRPr="003E475F">
        <w:rPr>
          <w:rFonts w:ascii="Times New Roman" w:hAnsi="Times New Roman" w:cs="Times New Roman"/>
          <w:sz w:val="24"/>
          <w:szCs w:val="24"/>
          <w:shd w:val="clear" w:color="auto" w:fill="FFFFFF"/>
        </w:rPr>
        <w:t>O, al menos, seriamente</w:t>
      </w:r>
      <w:r w:rsidRPr="003E475F">
        <w:rPr>
          <w:rStyle w:val="Textoennegrita"/>
          <w:rFonts w:ascii="Times New Roman" w:hAnsi="Times New Roman" w:cs="Times New Roman"/>
          <w:sz w:val="24"/>
          <w:szCs w:val="24"/>
          <w:bdr w:val="none" w:sz="0" w:space="0" w:color="auto" w:frame="1"/>
          <w:shd w:val="clear" w:color="auto" w:fill="FFFFFF"/>
        </w:rPr>
        <w:t> </w:t>
      </w:r>
      <w:r w:rsidRPr="00596082">
        <w:rPr>
          <w:rStyle w:val="Textoennegrita"/>
          <w:rFonts w:ascii="Times New Roman" w:hAnsi="Times New Roman" w:cs="Times New Roman"/>
          <w:b w:val="0"/>
          <w:sz w:val="24"/>
          <w:szCs w:val="24"/>
          <w:bdr w:val="none" w:sz="0" w:space="0" w:color="auto" w:frame="1"/>
          <w:shd w:val="clear" w:color="auto" w:fill="FFFFFF"/>
        </w:rPr>
        <w:t>indefensos</w:t>
      </w:r>
      <w:r w:rsidRPr="003E475F">
        <w:rPr>
          <w:rFonts w:ascii="Times New Roman" w:hAnsi="Times New Roman" w:cs="Times New Roman"/>
          <w:sz w:val="24"/>
          <w:szCs w:val="24"/>
          <w:shd w:val="clear" w:color="auto" w:fill="FFFFFF"/>
        </w:rPr>
        <w:t> ante un problema grave, económico y financiero (en el año 2008), o de </w:t>
      </w:r>
      <w:hyperlink r:id="rId9" w:history="1">
        <w:r w:rsidRPr="00596082">
          <w:rPr>
            <w:rStyle w:val="Hipervnculo"/>
            <w:rFonts w:ascii="Times New Roman" w:hAnsi="Times New Roman" w:cs="Times New Roman"/>
            <w:color w:val="auto"/>
            <w:sz w:val="24"/>
            <w:szCs w:val="24"/>
            <w:u w:val="none"/>
            <w:shd w:val="clear" w:color="auto" w:fill="FFFFFF"/>
          </w:rPr>
          <w:t>salud pública</w:t>
        </w:r>
      </w:hyperlink>
      <w:r w:rsidRPr="003E475F">
        <w:t xml:space="preserve"> </w:t>
      </w:r>
      <w:r w:rsidRPr="003E475F">
        <w:rPr>
          <w:rFonts w:ascii="Times New Roman" w:hAnsi="Times New Roman" w:cs="Times New Roman"/>
          <w:sz w:val="24"/>
          <w:szCs w:val="24"/>
        </w:rPr>
        <w:t>(en el año 2020,)</w:t>
      </w:r>
      <w:r w:rsidRPr="003E475F">
        <w:rPr>
          <w:rFonts w:ascii="Times New Roman" w:hAnsi="Times New Roman" w:cs="Times New Roman"/>
          <w:sz w:val="24"/>
          <w:szCs w:val="24"/>
          <w:shd w:val="clear" w:color="auto" w:fill="FFFFFF"/>
        </w:rPr>
        <w:t xml:space="preserve"> como consecuencia de décadas de un modelo </w:t>
      </w:r>
      <w:r w:rsidRPr="003E475F">
        <w:rPr>
          <w:rFonts w:ascii="Times New Roman" w:hAnsi="Times New Roman" w:cs="Times New Roman"/>
          <w:sz w:val="24"/>
          <w:szCs w:val="24"/>
          <w:shd w:val="clear" w:color="auto" w:fill="FFFFFF"/>
        </w:rPr>
        <w:lastRenderedPageBreak/>
        <w:t>de crecimiento arrogante que </w:t>
      </w:r>
      <w:hyperlink r:id="rId10" w:history="1">
        <w:r w:rsidRPr="00596082">
          <w:rPr>
            <w:rStyle w:val="Hipervnculo"/>
            <w:rFonts w:ascii="Times New Roman" w:hAnsi="Times New Roman" w:cs="Times New Roman"/>
            <w:color w:val="auto"/>
            <w:sz w:val="24"/>
            <w:szCs w:val="24"/>
            <w:u w:val="none"/>
            <w:shd w:val="clear" w:color="auto" w:fill="FFFFFF"/>
          </w:rPr>
          <w:t>ha arrinconado</w:t>
        </w:r>
      </w:hyperlink>
      <w:r w:rsidRPr="00596082">
        <w:rPr>
          <w:rFonts w:ascii="Times New Roman" w:hAnsi="Times New Roman" w:cs="Times New Roman"/>
          <w:sz w:val="24"/>
          <w:szCs w:val="24"/>
          <w:shd w:val="clear" w:color="auto" w:fill="FFFFFF"/>
        </w:rPr>
        <w:t> </w:t>
      </w:r>
      <w:r w:rsidRPr="003E475F">
        <w:rPr>
          <w:rFonts w:ascii="Times New Roman" w:hAnsi="Times New Roman" w:cs="Times New Roman"/>
          <w:sz w:val="24"/>
          <w:szCs w:val="24"/>
          <w:shd w:val="clear" w:color="auto" w:fill="FFFFFF"/>
        </w:rPr>
        <w:t>la economía productiva y los servicios públicos esenciales, haciendo añicos el Estado de Bienestar y, de imposible cumplimiento, el Contrato Social.</w:t>
      </w:r>
      <w:r>
        <w:rPr>
          <w:rFonts w:ascii="Times New Roman" w:hAnsi="Times New Roman" w:cs="Times New Roman"/>
          <w:sz w:val="24"/>
          <w:szCs w:val="24"/>
          <w:shd w:val="clear" w:color="auto" w:fill="FFFFFF"/>
        </w:rPr>
        <w:t xml:space="preserve"> La guerra </w:t>
      </w:r>
      <w:r w:rsidR="00DE6586">
        <w:rPr>
          <w:rFonts w:ascii="Times New Roman" w:hAnsi="Times New Roman" w:cs="Times New Roman"/>
          <w:sz w:val="24"/>
          <w:szCs w:val="24"/>
          <w:shd w:val="clear" w:color="auto" w:fill="FFFFFF"/>
        </w:rPr>
        <w:t>de Ucrania (iniciada en el año 2022) confirmó</w:t>
      </w:r>
      <w:r>
        <w:rPr>
          <w:rFonts w:ascii="Times New Roman" w:hAnsi="Times New Roman" w:cs="Times New Roman"/>
          <w:sz w:val="24"/>
          <w:szCs w:val="24"/>
          <w:shd w:val="clear" w:color="auto" w:fill="FFFFFF"/>
        </w:rPr>
        <w:t xml:space="preserve"> </w:t>
      </w:r>
      <w:r w:rsidR="00DE6586">
        <w:rPr>
          <w:rFonts w:ascii="Times New Roman" w:hAnsi="Times New Roman" w:cs="Times New Roman"/>
          <w:sz w:val="24"/>
          <w:szCs w:val="24"/>
          <w:shd w:val="clear" w:color="auto" w:fill="FFFFFF"/>
        </w:rPr>
        <w:t>la pérdida de soberanía energética y alimentaria, de una UE, multilateral, globalista, mercantil, miope</w:t>
      </w:r>
      <w:r w:rsidR="004C02F8">
        <w:rPr>
          <w:rFonts w:ascii="Times New Roman" w:hAnsi="Times New Roman" w:cs="Times New Roman"/>
          <w:sz w:val="24"/>
          <w:szCs w:val="24"/>
          <w:shd w:val="clear" w:color="auto" w:fill="FFFFFF"/>
        </w:rPr>
        <w:t>,</w:t>
      </w:r>
      <w:r w:rsidR="00DE6586">
        <w:rPr>
          <w:rFonts w:ascii="Times New Roman" w:hAnsi="Times New Roman" w:cs="Times New Roman"/>
          <w:sz w:val="24"/>
          <w:szCs w:val="24"/>
          <w:shd w:val="clear" w:color="auto" w:fill="FFFFFF"/>
        </w:rPr>
        <w:t xml:space="preserve"> y dependiente.</w:t>
      </w:r>
    </w:p>
    <w:p w:rsidR="00596082" w:rsidRPr="000C04C5" w:rsidRDefault="00596082" w:rsidP="00596082">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Déficit fiscal desbocado, deuda soberana insostenible, gasto social disparado, subida de impuestos, pérdida de competitividad internacional, atraso en digitalización, servicios públicos colapsados y un precio de la energía desbocado, son parte de los síntomas.</w:t>
      </w:r>
    </w:p>
    <w:p w:rsidR="00596082" w:rsidRPr="000C04C5" w:rsidRDefault="00596082" w:rsidP="00596082">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La Unión Europea se ha convertido en el enfermo de Europa. No pasa un día sin que algún medio de comunicación o instituto de investigación prediga que los cierres de fábricas y el auge de China llevarán a Europa a la ruina.</w:t>
      </w:r>
    </w:p>
    <w:p w:rsidR="00596082" w:rsidRPr="000C04C5" w:rsidRDefault="00596082" w:rsidP="00596082">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La Unión Europea se ha transformado en el mayordomo de los EEUU y China. Eso sí, muy ecosostenible, rabiosamente antinuclear, multilateralista, librecambista, globalista, disruptiva, resiliente, posmoderna, progre, woke, políticamente correcta, binaria, feminista, animalista… ecofriendly, derechos humanos, welcome refugees, papeles para todos… Agenda 2030 (la mayor arma de “autodestrucción” de Europa)…</w:t>
      </w:r>
    </w:p>
    <w:p w:rsidR="00596082" w:rsidRPr="000C04C5" w:rsidRDefault="00596082" w:rsidP="00596082">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La generación que ahora tiene entre 35 y 49 años aterrizó en una realidad distinta hace 15 años, cuando hizo acto de aparición la crisis de 2008. Habían vivido en una Europa que crecía, que aseguraba oportunidades y dominada por un floreciente consumo. En esa vitalidad residía una promesa, la de que ese progreso económico acabaría por llegarles. Eran jóvenes y esperaban una vida progresivamente mejor. La crisis de las subprime segó esa esperanza.</w:t>
      </w:r>
    </w:p>
    <w:p w:rsidR="00596082" w:rsidRPr="000C04C5" w:rsidRDefault="00596082" w:rsidP="00596082">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Su edad está llena de exigencias: horarios laborales extendidos, presiones económicas, en especial con la vivienda, hijos que cuidar y mantener, y un futuro poco claro. Ahí aparece la “indignadina”. El rencor intergeneracional brota en Europa: ¿Y de lo mío qué?</w:t>
      </w:r>
    </w:p>
    <w:p w:rsidR="00596082" w:rsidRPr="000C04C5" w:rsidRDefault="00596082" w:rsidP="00596082">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La aprobación de medidas por niveles de edad (con clara intención electoral) está abriendo una guerra generacional que no había aparecido en Europa hasta ahora gracias a las familias.</w:t>
      </w:r>
      <w:r w:rsidR="000D777F" w:rsidRPr="000C04C5">
        <w:rPr>
          <w:rFonts w:ascii="Times New Roman" w:hAnsi="Times New Roman" w:cs="Times New Roman"/>
          <w:sz w:val="24"/>
          <w:szCs w:val="24"/>
        </w:rPr>
        <w:t xml:space="preserve"> </w:t>
      </w:r>
      <w:r w:rsidRPr="000C04C5">
        <w:rPr>
          <w:rFonts w:ascii="Times New Roman" w:hAnsi="Times New Roman" w:cs="Times New Roman"/>
          <w:sz w:val="24"/>
          <w:szCs w:val="24"/>
        </w:rPr>
        <w:t>Esta situación puede despertar los peores instintos antipolíticos y antieuropeos.</w:t>
      </w:r>
    </w:p>
    <w:p w:rsidR="000D777F" w:rsidRDefault="000D777F" w:rsidP="00596082">
      <w:pPr>
        <w:spacing w:line="240" w:lineRule="auto"/>
        <w:jc w:val="both"/>
        <w:rPr>
          <w:rFonts w:ascii="Times New Roman" w:hAnsi="Times New Roman" w:cs="Times New Roman"/>
          <w:color w:val="FF0000"/>
          <w:sz w:val="24"/>
          <w:szCs w:val="24"/>
        </w:rPr>
      </w:pPr>
      <w:r w:rsidRPr="00220682">
        <w:rPr>
          <w:rFonts w:ascii="Times New Roman" w:hAnsi="Times New Roman" w:cs="Times New Roman"/>
          <w:noProof/>
          <w:sz w:val="24"/>
          <w:szCs w:val="24"/>
          <w:lang w:eastAsia="es-ES"/>
        </w:rPr>
        <w:drawing>
          <wp:inline distT="0" distB="0" distL="0" distR="0" wp14:anchorId="78E582A6" wp14:editId="17D2168A">
            <wp:extent cx="5727699" cy="3251200"/>
            <wp:effectExtent l="0" t="0" r="6985"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27699" cy="3251200"/>
                    </a:xfrm>
                    <a:prstGeom prst="rect">
                      <a:avLst/>
                    </a:prstGeom>
                  </pic:spPr>
                </pic:pic>
              </a:graphicData>
            </a:graphic>
          </wp:inline>
        </w:drawing>
      </w:r>
    </w:p>
    <w:p w:rsidR="000D777F" w:rsidRDefault="000D777F" w:rsidP="00596082">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5EA808D5" wp14:editId="6F67AEA4">
            <wp:extent cx="5727700" cy="6235700"/>
            <wp:effectExtent l="0" t="0" r="6350" b="0"/>
            <wp:docPr id="3" name="Imagen 3" descr="https://s03.s3c.es/imag/_v0/1167x2362/7/b/a/PostScript-150523_Crisis_Cov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1167x2362/7/b/a/PostScript-150523_Crisis_Covi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6239848"/>
                    </a:xfrm>
                    <a:prstGeom prst="rect">
                      <a:avLst/>
                    </a:prstGeom>
                    <a:noFill/>
                    <a:ln>
                      <a:noFill/>
                    </a:ln>
                  </pic:spPr>
                </pic:pic>
              </a:graphicData>
            </a:graphic>
          </wp:inline>
        </w:drawing>
      </w:r>
    </w:p>
    <w:p w:rsidR="004C02F8" w:rsidRPr="000C04C5" w:rsidRDefault="004C02F8" w:rsidP="004C02F8">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A mayo de 2023, nada menos que 18 de los 27 miembros de la Unión Europea tienen déficits superiores al 3%, (Alemania, Francia, Italia y España entre ellos), con crecimientos en algunos casos de los ingresos sorprendentemente elevados (récord de recaudación en España) como consecuencia de una inflación persistente, esa subida de la fiscalidad en frío de la que hablan los fiscalistas.</w:t>
      </w:r>
    </w:p>
    <w:p w:rsidR="004C02F8" w:rsidRPr="000C04C5" w:rsidRDefault="004C02F8" w:rsidP="004C02F8">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Si la más complicada de las variables a controlar era la deuda pública cuando la inmensa mayoría de los países superaban ya en las cotas pretendidas, cómo lograrlo ahora cuando la media de los países de la eurozona supera en un 50% largo el umbral del 60% del PIB. La media ha cerrado 2022 en el 9</w:t>
      </w:r>
      <w:r w:rsidR="003F2346">
        <w:rPr>
          <w:rFonts w:ascii="Times New Roman" w:hAnsi="Times New Roman" w:cs="Times New Roman"/>
          <w:sz w:val="24"/>
          <w:szCs w:val="24"/>
        </w:rPr>
        <w:t>1,5% del PIB, y algunos países -España, sin ir más lejos-</w:t>
      </w:r>
      <w:r w:rsidRPr="000C04C5">
        <w:rPr>
          <w:rFonts w:ascii="Times New Roman" w:hAnsi="Times New Roman" w:cs="Times New Roman"/>
          <w:sz w:val="24"/>
          <w:szCs w:val="24"/>
        </w:rPr>
        <w:t xml:space="preserve"> </w:t>
      </w:r>
      <w:r w:rsidR="003F2346" w:rsidRPr="000C04C5">
        <w:rPr>
          <w:rFonts w:ascii="Times New Roman" w:hAnsi="Times New Roman" w:cs="Times New Roman"/>
          <w:sz w:val="24"/>
          <w:szCs w:val="24"/>
        </w:rPr>
        <w:t>duplican</w:t>
      </w:r>
      <w:r w:rsidRPr="000C04C5">
        <w:rPr>
          <w:rFonts w:ascii="Times New Roman" w:hAnsi="Times New Roman" w:cs="Times New Roman"/>
          <w:sz w:val="24"/>
          <w:szCs w:val="24"/>
        </w:rPr>
        <w:t xml:space="preserve"> el umbral deseado (113% del PIB).</w:t>
      </w:r>
    </w:p>
    <w:p w:rsidR="004C02F8" w:rsidRPr="004C02F8" w:rsidRDefault="004C02F8" w:rsidP="004C02F8">
      <w:pPr>
        <w:spacing w:line="240" w:lineRule="auto"/>
        <w:jc w:val="both"/>
        <w:rPr>
          <w:rFonts w:ascii="Times New Roman" w:hAnsi="Times New Roman" w:cs="Times New Roman"/>
          <w:color w:val="FF0000"/>
          <w:sz w:val="24"/>
          <w:szCs w:val="24"/>
        </w:rPr>
      </w:pPr>
    </w:p>
    <w:p w:rsidR="004C02F8" w:rsidRDefault="004C02F8" w:rsidP="00596082">
      <w:pPr>
        <w:spacing w:line="240" w:lineRule="auto"/>
        <w:jc w:val="both"/>
        <w:rPr>
          <w:rFonts w:ascii="Times New Roman" w:hAnsi="Times New Roman" w:cs="Times New Roman"/>
          <w:color w:val="FF0000"/>
          <w:sz w:val="24"/>
          <w:szCs w:val="24"/>
        </w:rPr>
      </w:pPr>
    </w:p>
    <w:p w:rsidR="000D777F" w:rsidRDefault="000D777F" w:rsidP="00596082">
      <w:pPr>
        <w:spacing w:line="240" w:lineRule="auto"/>
        <w:jc w:val="both"/>
        <w:rPr>
          <w:rFonts w:ascii="Times New Roman" w:hAnsi="Times New Roman" w:cs="Times New Roman"/>
          <w:color w:val="FF0000"/>
          <w:sz w:val="24"/>
          <w:szCs w:val="24"/>
        </w:rPr>
      </w:pPr>
      <w:r w:rsidRPr="002D384B">
        <w:rPr>
          <w:noProof/>
          <w:lang w:eastAsia="es-ES"/>
        </w:rPr>
        <w:lastRenderedPageBreak/>
        <w:drawing>
          <wp:inline distT="0" distB="0" distL="0" distR="0" wp14:anchorId="04180A6D" wp14:editId="29549FD6">
            <wp:extent cx="5727699" cy="2457450"/>
            <wp:effectExtent l="0" t="0" r="698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459085"/>
                    </a:xfrm>
                    <a:prstGeom prst="rect">
                      <a:avLst/>
                    </a:prstGeom>
                  </pic:spPr>
                </pic:pic>
              </a:graphicData>
            </a:graphic>
          </wp:inline>
        </w:drawing>
      </w:r>
    </w:p>
    <w:p w:rsidR="00DE6586" w:rsidRDefault="000D777F" w:rsidP="00596082">
      <w:pPr>
        <w:spacing w:line="240" w:lineRule="auto"/>
        <w:jc w:val="both"/>
        <w:rPr>
          <w:rFonts w:ascii="Times New Roman" w:hAnsi="Times New Roman" w:cs="Times New Roman"/>
          <w:color w:val="FF0000"/>
          <w:sz w:val="24"/>
          <w:szCs w:val="24"/>
        </w:rPr>
      </w:pPr>
      <w:r>
        <w:rPr>
          <w:noProof/>
          <w:lang w:eastAsia="es-ES"/>
        </w:rPr>
        <w:drawing>
          <wp:inline distT="0" distB="0" distL="0" distR="0" wp14:anchorId="410FF62D" wp14:editId="1C63E9D3">
            <wp:extent cx="5726109" cy="2571750"/>
            <wp:effectExtent l="0" t="0" r="8255" b="0"/>
            <wp:docPr id="2" name="Imagen 2" descr="https://s.libertaddigital.com/2023/05/02/tasas-de-paro-oc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3/05/02/tasas-de-paro-ocd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574176"/>
                    </a:xfrm>
                    <a:prstGeom prst="rect">
                      <a:avLst/>
                    </a:prstGeom>
                    <a:noFill/>
                    <a:ln>
                      <a:noFill/>
                    </a:ln>
                  </pic:spPr>
                </pic:pic>
              </a:graphicData>
            </a:graphic>
          </wp:inline>
        </w:drawing>
      </w:r>
    </w:p>
    <w:p w:rsidR="00DE6586" w:rsidRDefault="000D777F" w:rsidP="00596082">
      <w:pPr>
        <w:spacing w:line="240" w:lineRule="auto"/>
        <w:jc w:val="both"/>
        <w:rPr>
          <w:rFonts w:ascii="Times New Roman" w:hAnsi="Times New Roman" w:cs="Times New Roman"/>
          <w:color w:val="FF0000"/>
          <w:sz w:val="24"/>
          <w:szCs w:val="24"/>
        </w:rPr>
      </w:pPr>
      <w:r>
        <w:rPr>
          <w:noProof/>
          <w:lang w:eastAsia="es-ES"/>
        </w:rPr>
        <w:drawing>
          <wp:inline distT="0" distB="0" distL="0" distR="0" wp14:anchorId="75494BCE" wp14:editId="17EE0B62">
            <wp:extent cx="5651500" cy="3073400"/>
            <wp:effectExtent l="0" t="0" r="6350" b="0"/>
            <wp:docPr id="22" name="Imagen 22" descr="https://imagenes.elpais.com/resizer/-L3gQYOpEq-b_arzB8xpW0PVYRM=/414x0/cloudfront-eu-central-1.images.arcpublishing.com/prisa/6HTYSJTJGBGHZNXGRAKAZW7QZ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nes.elpais.com/resizer/-L3gQYOpEq-b_arzB8xpW0PVYRM=/414x0/cloudfront-eu-central-1.images.arcpublishing.com/prisa/6HTYSJTJGBGHZNXGRAKAZW7QZQ.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1500" cy="3073400"/>
                    </a:xfrm>
                    <a:prstGeom prst="rect">
                      <a:avLst/>
                    </a:prstGeom>
                    <a:noFill/>
                    <a:ln>
                      <a:noFill/>
                    </a:ln>
                  </pic:spPr>
                </pic:pic>
              </a:graphicData>
            </a:graphic>
          </wp:inline>
        </w:drawing>
      </w:r>
    </w:p>
    <w:p w:rsidR="00DE6586" w:rsidRDefault="000D777F" w:rsidP="00596082">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77FDC092" wp14:editId="5CD19D92">
            <wp:extent cx="5731510" cy="4369202"/>
            <wp:effectExtent l="0" t="0" r="2540" b="0"/>
            <wp:docPr id="25" name="Imagen 25" descr="https://imagenes.elpais.com/resizer/yoj0Pk30zRZ9YqPEac3gO5XKu6k=/414x0/cloudfront-eu-central-1.images.arcpublishing.com/prisa/67IRQ5QD4BHNZLDU5FFENHMY3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agenes.elpais.com/resizer/yoj0Pk30zRZ9YqPEac3gO5XKu6k=/414x0/cloudfront-eu-central-1.images.arcpublishing.com/prisa/67IRQ5QD4BHNZLDU5FFENHMY3Q.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369202"/>
                    </a:xfrm>
                    <a:prstGeom prst="rect">
                      <a:avLst/>
                    </a:prstGeom>
                    <a:noFill/>
                    <a:ln>
                      <a:noFill/>
                    </a:ln>
                  </pic:spPr>
                </pic:pic>
              </a:graphicData>
            </a:graphic>
          </wp:inline>
        </w:drawing>
      </w:r>
    </w:p>
    <w:p w:rsidR="004C02F8" w:rsidRPr="000C04C5" w:rsidRDefault="004C02F8" w:rsidP="004C02F8">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Tras cuatro años de anestesia presupuestaria para superar las dolencias de la pandemia de Covid y las de la Guerra de Ucrania, las 19 economías que comparten el euro deberán someterse de nuevo a unas reglas de disciplina fiscal para recuperar un grado de simetría suficiente que haga del euro una divisa perdurable y fuerte en el mundo. Algo parecido a lo que se pretendía en los noventa cuando se puso en marcha, pero que nunca llegó a depurarse y que, junto con otras deficiencias de la estructura política y económica de la Unión Monetaria, estuvieron a punto de hacer colapsar el euro cuando llegó la crisis financiera.</w:t>
      </w:r>
    </w:p>
    <w:p w:rsidR="004C02F8" w:rsidRPr="000C04C5" w:rsidRDefault="004C02F8" w:rsidP="004C02F8">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Sensible a tal dificultad, y convencida de que las recetas de la austeridad solo lograron agravar los problemas de varios países, poner a la divisa al borde de su desaparición y alumbrar un populismo político radical (de izquierdas en el sur y de derechas en el centro y norte del continente), la Comisión pretende aplicar una especie de volubles reglas a la carta. Unos itinerarios que cada país puede diseñar a su antojo para ciclos de cuatro o siete años (la medida de una legislatura o de dos) y que únicamente responderán a la necesidad de impedir que el gasto público (sin intereses ni cobertura de desempleo) crezca más que el PIB nominal, y reducir el déficit público en 0,5% del PIB cada año si se sobrepasa el 3%.</w:t>
      </w:r>
    </w:p>
    <w:p w:rsidR="00FB4726" w:rsidRPr="000C04C5" w:rsidRDefault="004C02F8" w:rsidP="00FB4726">
      <w:pPr>
        <w:spacing w:line="240" w:lineRule="auto"/>
        <w:jc w:val="both"/>
        <w:rPr>
          <w:rFonts w:ascii="Times New Roman" w:hAnsi="Times New Roman" w:cs="Times New Roman"/>
          <w:sz w:val="24"/>
          <w:szCs w:val="24"/>
        </w:rPr>
      </w:pPr>
      <w:r w:rsidRPr="000C04C5">
        <w:rPr>
          <w:rFonts w:ascii="Times New Roman" w:hAnsi="Times New Roman" w:cs="Times New Roman"/>
          <w:sz w:val="24"/>
          <w:szCs w:val="24"/>
        </w:rPr>
        <w:t>Un tránsito de laxa exigencia y que solo puede ser castigado con multas del 0,05% del PIB si se vulnera. Parece poca cosa para forzar a la disciplina en el gasto, y más que un castigo por no cumplir parece un incentivo benévolo a incumplir. La Comisión cree con ingenuidad que un monto tan limitado será más fácil de aplicar que las multas de antaño, de cuantía diez veces superior y que a España y Portugal en su día le fueron impuestas y condonadas, porque Francia y Alemania, los supuestos virtuosos habituales, se vieron incursos en parecida situación.</w:t>
      </w:r>
      <w:r w:rsidR="00FB4726" w:rsidRPr="000C04C5">
        <w:rPr>
          <w:rFonts w:ascii="Times New Roman" w:hAnsi="Times New Roman" w:cs="Times New Roman"/>
          <w:sz w:val="24"/>
          <w:szCs w:val="24"/>
        </w:rPr>
        <w:t xml:space="preserve"> La flexibilidad y laxitud de lo que se prepara para que no vuelva a ocurrir lo que ya ocurrió en el trienio que puso al euro en el disparadero, reproducirá lo vivido. O sea…</w:t>
      </w:r>
    </w:p>
    <w:p w:rsidR="007C6E04" w:rsidRPr="00FB4726" w:rsidRDefault="00FB4726" w:rsidP="00FB4726">
      <w:pPr>
        <w:spacing w:line="240" w:lineRule="auto"/>
        <w:jc w:val="both"/>
        <w:rPr>
          <w:rFonts w:ascii="Times New Roman" w:hAnsi="Times New Roman" w:cs="Times New Roman"/>
          <w:color w:val="FF0000"/>
          <w:sz w:val="24"/>
          <w:szCs w:val="24"/>
        </w:rPr>
      </w:pPr>
      <w:r w:rsidRPr="00FB4726">
        <w:rPr>
          <w:rFonts w:ascii="Times New Roman" w:hAnsi="Times New Roman" w:cs="Times New Roman"/>
          <w:sz w:val="24"/>
          <w:szCs w:val="24"/>
        </w:rPr>
        <w:lastRenderedPageBreak/>
        <w:t xml:space="preserve">- </w:t>
      </w:r>
      <w:r w:rsidR="007C6E04">
        <w:rPr>
          <w:rFonts w:ascii="Times New Roman" w:hAnsi="Times New Roman" w:cs="Times New Roman"/>
          <w:b/>
          <w:sz w:val="24"/>
          <w:szCs w:val="24"/>
        </w:rPr>
        <w:t>Un TAC de la Unión Europea - Fuente: Banco Mundial</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EE5C49">
        <w:rPr>
          <w:rFonts w:ascii="Times New Roman" w:hAnsi="Times New Roman" w:cs="Times New Roman"/>
          <w:b/>
          <w:noProof/>
          <w:sz w:val="24"/>
          <w:szCs w:val="24"/>
          <w:lang w:eastAsia="es-ES"/>
        </w:rPr>
        <w:drawing>
          <wp:inline distT="0" distB="0" distL="0" distR="0" wp14:anchorId="4C4D1558" wp14:editId="4438C123">
            <wp:extent cx="5727960" cy="1974850"/>
            <wp:effectExtent l="0" t="0" r="635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1976074"/>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EE5C49">
        <w:rPr>
          <w:rFonts w:ascii="Times New Roman" w:hAnsi="Times New Roman" w:cs="Times New Roman"/>
          <w:b/>
          <w:noProof/>
          <w:sz w:val="24"/>
          <w:szCs w:val="24"/>
          <w:lang w:eastAsia="es-ES"/>
        </w:rPr>
        <w:drawing>
          <wp:inline distT="0" distB="0" distL="0" distR="0" wp14:anchorId="50563255" wp14:editId="15D5BFD2">
            <wp:extent cx="5723980" cy="18796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882073"/>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EE5C49">
        <w:rPr>
          <w:rFonts w:ascii="Times New Roman" w:hAnsi="Times New Roman" w:cs="Times New Roman"/>
          <w:b/>
          <w:noProof/>
          <w:sz w:val="24"/>
          <w:szCs w:val="24"/>
          <w:lang w:eastAsia="es-ES"/>
        </w:rPr>
        <w:drawing>
          <wp:inline distT="0" distB="0" distL="0" distR="0" wp14:anchorId="442CA611" wp14:editId="7FEBBEA7">
            <wp:extent cx="5734050" cy="19494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948586"/>
                    </a:xfrm>
                    <a:prstGeom prst="rect">
                      <a:avLst/>
                    </a:prstGeom>
                  </pic:spPr>
                </pic:pic>
              </a:graphicData>
            </a:graphic>
          </wp:inline>
        </w:drawing>
      </w:r>
    </w:p>
    <w:p w:rsidR="007C6E04" w:rsidRPr="00EE5C49"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EE5C49">
        <w:rPr>
          <w:rFonts w:ascii="Times New Roman" w:hAnsi="Times New Roman" w:cs="Times New Roman"/>
          <w:b/>
          <w:noProof/>
          <w:sz w:val="24"/>
          <w:szCs w:val="24"/>
          <w:lang w:eastAsia="es-ES"/>
        </w:rPr>
        <w:drawing>
          <wp:inline distT="0" distB="0" distL="0" distR="0" wp14:anchorId="11FDFCC4" wp14:editId="57D6947D">
            <wp:extent cx="5726110" cy="2019300"/>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021204"/>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624983">
        <w:rPr>
          <w:rFonts w:ascii="Times New Roman" w:hAnsi="Times New Roman" w:cs="Times New Roman"/>
          <w:noProof/>
          <w:sz w:val="24"/>
          <w:szCs w:val="24"/>
          <w:lang w:eastAsia="es-ES"/>
        </w:rPr>
        <w:lastRenderedPageBreak/>
        <w:drawing>
          <wp:inline distT="0" distB="0" distL="0" distR="0" wp14:anchorId="5E0B5C78" wp14:editId="74E7585C">
            <wp:extent cx="5734050" cy="19621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1961281"/>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624983">
        <w:rPr>
          <w:rFonts w:ascii="Times New Roman" w:hAnsi="Times New Roman" w:cs="Times New Roman"/>
          <w:noProof/>
          <w:sz w:val="24"/>
          <w:szCs w:val="24"/>
          <w:lang w:eastAsia="es-ES"/>
        </w:rPr>
        <w:drawing>
          <wp:inline distT="0" distB="0" distL="0" distR="0" wp14:anchorId="6A35A96C" wp14:editId="27B17292">
            <wp:extent cx="5726682" cy="1981200"/>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1982870"/>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962370">
        <w:rPr>
          <w:rFonts w:ascii="Times New Roman" w:hAnsi="Times New Roman" w:cs="Times New Roman"/>
          <w:noProof/>
          <w:sz w:val="24"/>
          <w:szCs w:val="24"/>
          <w:lang w:eastAsia="es-ES"/>
        </w:rPr>
        <w:drawing>
          <wp:inline distT="0" distB="0" distL="0" distR="0" wp14:anchorId="5D8518D0" wp14:editId="5615D23B">
            <wp:extent cx="5734050" cy="19685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1967628"/>
                    </a:xfrm>
                    <a:prstGeom prst="rect">
                      <a:avLst/>
                    </a:prstGeom>
                  </pic:spPr>
                </pic:pic>
              </a:graphicData>
            </a:graphic>
          </wp:inline>
        </w:drawing>
      </w:r>
    </w:p>
    <w:p w:rsidR="007C6E04" w:rsidRPr="00C52953"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962370">
        <w:rPr>
          <w:rFonts w:ascii="Times New Roman" w:hAnsi="Times New Roman" w:cs="Times New Roman"/>
          <w:noProof/>
          <w:sz w:val="24"/>
          <w:szCs w:val="24"/>
          <w:lang w:eastAsia="es-ES"/>
        </w:rPr>
        <w:drawing>
          <wp:inline distT="0" distB="0" distL="0" distR="0" wp14:anchorId="1E2F0624" wp14:editId="0D0B4B5A">
            <wp:extent cx="5731079" cy="1955800"/>
            <wp:effectExtent l="0" t="0" r="3175"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1955947"/>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ind w:left="240"/>
      </w:pPr>
    </w:p>
    <w:p w:rsidR="007C6E04" w:rsidRDefault="007C6E04" w:rsidP="007C6E04">
      <w:pPr>
        <w:spacing w:line="240" w:lineRule="auto"/>
        <w:jc w:val="both"/>
        <w:rPr>
          <w:rFonts w:ascii="Times New Roman" w:hAnsi="Times New Roman" w:cs="Times New Roman"/>
          <w:sz w:val="24"/>
          <w:szCs w:val="24"/>
        </w:rPr>
      </w:pPr>
      <w:r w:rsidRPr="00962370">
        <w:rPr>
          <w:rFonts w:ascii="Times New Roman" w:hAnsi="Times New Roman" w:cs="Times New Roman"/>
          <w:noProof/>
          <w:sz w:val="24"/>
          <w:szCs w:val="24"/>
          <w:lang w:eastAsia="es-ES"/>
        </w:rPr>
        <w:lastRenderedPageBreak/>
        <w:drawing>
          <wp:inline distT="0" distB="0" distL="0" distR="0" wp14:anchorId="05567EFC" wp14:editId="6252415E">
            <wp:extent cx="5727700" cy="207645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07783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962370">
        <w:rPr>
          <w:rFonts w:ascii="Times New Roman" w:hAnsi="Times New Roman" w:cs="Times New Roman"/>
          <w:noProof/>
          <w:sz w:val="24"/>
          <w:szCs w:val="24"/>
          <w:lang w:eastAsia="es-ES"/>
        </w:rPr>
        <w:drawing>
          <wp:inline distT="0" distB="0" distL="0" distR="0" wp14:anchorId="08A2995B" wp14:editId="60E1E23E">
            <wp:extent cx="5727700" cy="20383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03970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E258E5">
        <w:rPr>
          <w:rFonts w:ascii="Times New Roman" w:hAnsi="Times New Roman" w:cs="Times New Roman"/>
          <w:noProof/>
          <w:sz w:val="24"/>
          <w:szCs w:val="24"/>
          <w:lang w:eastAsia="es-ES"/>
        </w:rPr>
        <w:drawing>
          <wp:inline distT="0" distB="0" distL="0" distR="0" wp14:anchorId="54B1487A" wp14:editId="30365600">
            <wp:extent cx="5724939" cy="188595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1888115"/>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E258E5">
        <w:rPr>
          <w:rFonts w:ascii="Times New Roman" w:hAnsi="Times New Roman" w:cs="Times New Roman"/>
          <w:noProof/>
          <w:sz w:val="24"/>
          <w:szCs w:val="24"/>
          <w:lang w:eastAsia="es-ES"/>
        </w:rPr>
        <w:drawing>
          <wp:inline distT="0" distB="0" distL="0" distR="0" wp14:anchorId="2F8E0422" wp14:editId="764166C9">
            <wp:extent cx="5731510" cy="2136457"/>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136457"/>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40A9F">
        <w:rPr>
          <w:rFonts w:ascii="Times New Roman" w:hAnsi="Times New Roman" w:cs="Times New Roman"/>
          <w:noProof/>
          <w:sz w:val="24"/>
          <w:szCs w:val="24"/>
          <w:lang w:eastAsia="es-ES"/>
        </w:rPr>
        <w:lastRenderedPageBreak/>
        <w:drawing>
          <wp:inline distT="0" distB="0" distL="0" distR="0" wp14:anchorId="46113670" wp14:editId="1D6245A0">
            <wp:extent cx="5731510" cy="1863353"/>
            <wp:effectExtent l="0" t="0" r="2540" b="381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186335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40A9F">
        <w:rPr>
          <w:rFonts w:ascii="Times New Roman" w:hAnsi="Times New Roman" w:cs="Times New Roman"/>
          <w:noProof/>
          <w:sz w:val="24"/>
          <w:szCs w:val="24"/>
          <w:lang w:eastAsia="es-ES"/>
        </w:rPr>
        <w:drawing>
          <wp:inline distT="0" distB="0" distL="0" distR="0" wp14:anchorId="5E15C3EB" wp14:editId="040A0270">
            <wp:extent cx="5731510" cy="2196466"/>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19646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40A9F">
        <w:rPr>
          <w:rFonts w:ascii="Times New Roman" w:hAnsi="Times New Roman" w:cs="Times New Roman"/>
          <w:noProof/>
          <w:sz w:val="24"/>
          <w:szCs w:val="24"/>
          <w:lang w:eastAsia="es-ES"/>
        </w:rPr>
        <w:drawing>
          <wp:inline distT="0" distB="0" distL="0" distR="0" wp14:anchorId="0F0C4407" wp14:editId="649A8301">
            <wp:extent cx="5731510" cy="1766603"/>
            <wp:effectExtent l="0" t="0" r="2540" b="508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176660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40A9F">
        <w:rPr>
          <w:rFonts w:ascii="Times New Roman" w:hAnsi="Times New Roman" w:cs="Times New Roman"/>
          <w:noProof/>
          <w:sz w:val="24"/>
          <w:szCs w:val="24"/>
          <w:lang w:eastAsia="es-ES"/>
        </w:rPr>
        <w:drawing>
          <wp:inline distT="0" distB="0" distL="0" distR="0" wp14:anchorId="16A09BA0" wp14:editId="2A7F0FEF">
            <wp:extent cx="5731510" cy="2157277"/>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157277"/>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027311">
        <w:rPr>
          <w:rFonts w:ascii="Times New Roman" w:hAnsi="Times New Roman" w:cs="Times New Roman"/>
          <w:noProof/>
          <w:sz w:val="24"/>
          <w:szCs w:val="24"/>
          <w:lang w:eastAsia="es-ES"/>
        </w:rPr>
        <w:lastRenderedPageBreak/>
        <w:drawing>
          <wp:inline distT="0" distB="0" distL="0" distR="0" wp14:anchorId="67931040" wp14:editId="0FE34B95">
            <wp:extent cx="5731510" cy="2168299"/>
            <wp:effectExtent l="0" t="0" r="2540" b="381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216829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027311">
        <w:rPr>
          <w:rFonts w:ascii="Times New Roman" w:hAnsi="Times New Roman" w:cs="Times New Roman"/>
          <w:noProof/>
          <w:sz w:val="24"/>
          <w:szCs w:val="24"/>
          <w:lang w:eastAsia="es-ES"/>
        </w:rPr>
        <w:drawing>
          <wp:inline distT="0" distB="0" distL="0" distR="0" wp14:anchorId="1DD74EED" wp14:editId="67FB8BA0">
            <wp:extent cx="5731510" cy="2124210"/>
            <wp:effectExtent l="0" t="0" r="254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124210"/>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4E6BE9">
        <w:rPr>
          <w:rFonts w:ascii="Times New Roman" w:hAnsi="Times New Roman" w:cs="Times New Roman"/>
          <w:noProof/>
          <w:sz w:val="24"/>
          <w:szCs w:val="24"/>
          <w:lang w:eastAsia="es-ES"/>
        </w:rPr>
        <w:drawing>
          <wp:inline distT="0" distB="0" distL="0" distR="0" wp14:anchorId="38285570" wp14:editId="7E627B22">
            <wp:extent cx="5731809" cy="2076450"/>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076342"/>
                    </a:xfrm>
                    <a:prstGeom prst="rect">
                      <a:avLst/>
                    </a:prstGeom>
                  </pic:spPr>
                </pic:pic>
              </a:graphicData>
            </a:graphic>
          </wp:inline>
        </w:drawing>
      </w:r>
    </w:p>
    <w:p w:rsidR="007C6E04" w:rsidRPr="00C52953" w:rsidRDefault="007C6E04" w:rsidP="007C6E04">
      <w:pPr>
        <w:spacing w:line="240" w:lineRule="auto"/>
        <w:jc w:val="both"/>
        <w:rPr>
          <w:rFonts w:ascii="Times New Roman" w:hAnsi="Times New Roman" w:cs="Times New Roman"/>
          <w:sz w:val="24"/>
          <w:szCs w:val="24"/>
        </w:rPr>
      </w:pPr>
      <w:r w:rsidRPr="004E6BE9">
        <w:rPr>
          <w:rFonts w:ascii="Times New Roman" w:hAnsi="Times New Roman" w:cs="Times New Roman"/>
          <w:noProof/>
          <w:sz w:val="24"/>
          <w:szCs w:val="24"/>
          <w:lang w:eastAsia="es-ES"/>
        </w:rPr>
        <w:drawing>
          <wp:inline distT="0" distB="0" distL="0" distR="0" wp14:anchorId="231AB234" wp14:editId="52332944">
            <wp:extent cx="5724472" cy="20383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04085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4E6BE9">
        <w:rPr>
          <w:rFonts w:ascii="Times New Roman" w:hAnsi="Times New Roman" w:cs="Times New Roman"/>
          <w:noProof/>
          <w:sz w:val="24"/>
          <w:szCs w:val="24"/>
          <w:lang w:eastAsia="es-ES"/>
        </w:rPr>
        <w:drawing>
          <wp:inline distT="0" distB="0" distL="0" distR="0" wp14:anchorId="0FC2EE46" wp14:editId="443B9B5E">
            <wp:extent cx="5734050" cy="20002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1999364"/>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4E6BE9">
        <w:rPr>
          <w:rFonts w:ascii="Times New Roman" w:hAnsi="Times New Roman" w:cs="Times New Roman"/>
          <w:noProof/>
          <w:sz w:val="24"/>
          <w:szCs w:val="24"/>
          <w:lang w:eastAsia="es-ES"/>
        </w:rPr>
        <w:drawing>
          <wp:inline distT="0" distB="0" distL="0" distR="0" wp14:anchorId="3DC437DF" wp14:editId="2BA02DDF">
            <wp:extent cx="5734050" cy="20002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1999364"/>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4E6BE9">
        <w:rPr>
          <w:rFonts w:ascii="Times New Roman" w:hAnsi="Times New Roman" w:cs="Times New Roman"/>
          <w:noProof/>
          <w:sz w:val="24"/>
          <w:szCs w:val="24"/>
          <w:lang w:eastAsia="es-ES"/>
        </w:rPr>
        <w:drawing>
          <wp:inline distT="0" distB="0" distL="0" distR="0" wp14:anchorId="3B0C7EE8" wp14:editId="696D5B47">
            <wp:extent cx="5728152" cy="2051050"/>
            <wp:effectExtent l="0" t="0" r="635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052252"/>
                    </a:xfrm>
                    <a:prstGeom prst="rect">
                      <a:avLst/>
                    </a:prstGeom>
                  </pic:spPr>
                </pic:pic>
              </a:graphicData>
            </a:graphic>
          </wp:inline>
        </w:drawing>
      </w:r>
    </w:p>
    <w:p w:rsidR="007C6E04" w:rsidRPr="00A729E3" w:rsidRDefault="007C6E04" w:rsidP="007C6E04">
      <w:pPr>
        <w:spacing w:line="240" w:lineRule="auto"/>
        <w:jc w:val="both"/>
        <w:rPr>
          <w:rFonts w:ascii="Times New Roman" w:hAnsi="Times New Roman" w:cs="Times New Roman"/>
          <w:sz w:val="24"/>
          <w:szCs w:val="24"/>
        </w:rPr>
      </w:pPr>
      <w:r w:rsidRPr="00E258E5">
        <w:rPr>
          <w:rFonts w:ascii="Times New Roman" w:hAnsi="Times New Roman" w:cs="Times New Roman"/>
          <w:noProof/>
          <w:sz w:val="24"/>
          <w:szCs w:val="24"/>
          <w:lang w:eastAsia="es-ES"/>
        </w:rPr>
        <w:drawing>
          <wp:inline distT="0" distB="0" distL="0" distR="0" wp14:anchorId="23539A32" wp14:editId="594F3D1D">
            <wp:extent cx="5730414" cy="2000250"/>
            <wp:effectExtent l="0" t="0" r="381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000633"/>
                    </a:xfrm>
                    <a:prstGeom prst="rect">
                      <a:avLst/>
                    </a:prstGeom>
                  </pic:spPr>
                </pic:pic>
              </a:graphicData>
            </a:graphic>
          </wp:inline>
        </w:drawing>
      </w:r>
    </w:p>
    <w:p w:rsidR="007C6E04" w:rsidRDefault="00FB4726"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C6E04">
        <w:rPr>
          <w:rFonts w:ascii="Times New Roman" w:hAnsi="Times New Roman" w:cs="Times New Roman"/>
          <w:b/>
          <w:sz w:val="24"/>
          <w:szCs w:val="24"/>
        </w:rPr>
        <w:t>Un TAC de la Unión Europea - Fuente: Eurostat</w:t>
      </w:r>
    </w:p>
    <w:p w:rsidR="007C6E04" w:rsidRPr="00F4394A"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F4394A">
        <w:rPr>
          <w:rFonts w:ascii="Times New Roman" w:hAnsi="Times New Roman" w:cs="Times New Roman"/>
          <w:b/>
          <w:sz w:val="24"/>
          <w:szCs w:val="24"/>
        </w:rPr>
        <w:t>Condiciones de vida en Europa: distribución de ingresos y desigualdad de ingresos</w:t>
      </w:r>
    </w:p>
    <w:p w:rsidR="007C6E04" w:rsidRPr="00F4394A"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F4394A">
        <w:rPr>
          <w:rFonts w:ascii="Times New Roman" w:hAnsi="Times New Roman" w:cs="Times New Roman"/>
          <w:sz w:val="24"/>
          <w:szCs w:val="24"/>
        </w:rPr>
        <w:t>En 2021, la mediana de la renta disponible anual equivalente fue de 18 019 PPS por habitante en la UE, con una variación de 8 703 PPS en Rumanía a 32 132 PPS en Luxemburgo.</w:t>
      </w:r>
    </w:p>
    <w:p w:rsidR="007C6E04" w:rsidRPr="00F4394A"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F4394A">
        <w:rPr>
          <w:rFonts w:ascii="Times New Roman" w:hAnsi="Times New Roman" w:cs="Times New Roman"/>
          <w:sz w:val="24"/>
          <w:szCs w:val="24"/>
        </w:rPr>
        <w:t>En 2021, el 20 % de la población con mayores ingresos recibió el 38,2 % de los ingresos disponibles en los Estados miembros de la UE.</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F4394A">
        <w:rPr>
          <w:rFonts w:ascii="Times New Roman" w:hAnsi="Times New Roman" w:cs="Times New Roman"/>
          <w:sz w:val="24"/>
          <w:szCs w:val="24"/>
        </w:rPr>
        <w:t>En 2021, las transferencias sociales redujeron la desigualdad de ingresos medida por el coeficiente de Gini entre la población de la UE del 52,2 % al 30,1 %.</w:t>
      </w:r>
    </w:p>
    <w:p w:rsidR="007C6E04" w:rsidRPr="00F4394A"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542208C2" wp14:editId="38B6DA29">
            <wp:extent cx="5727700" cy="6515100"/>
            <wp:effectExtent l="0" t="0" r="6350" b="0"/>
            <wp:docPr id="39" name="Imagen 39" descr="https://ec.europa.eu/eurostat/statistics-explained/images/thumb/6/67/Map1.Median_equivalised_disposable_income%2C_2021.png/700px-Map1.Median_equivalised_disposable_income%2C_2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c.europa.eu/eurostat/statistics-explained/images/thumb/6/67/Map1.Median_equivalised_disposable_income%2C_2021.png/700px-Map1.Median_equivalised_disposable_income%2C_202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6519434"/>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4394A">
        <w:rPr>
          <w:rFonts w:ascii="Times New Roman" w:hAnsi="Times New Roman" w:cs="Times New Roman"/>
          <w:sz w:val="24"/>
          <w:szCs w:val="24"/>
        </w:rPr>
        <w:lastRenderedPageBreak/>
        <w:t>Los datos monetarios presentados en este artículo se muestran en Estánd</w:t>
      </w:r>
      <w:r>
        <w:rPr>
          <w:rFonts w:ascii="Times New Roman" w:hAnsi="Times New Roman" w:cs="Times New Roman"/>
          <w:sz w:val="24"/>
          <w:szCs w:val="24"/>
        </w:rPr>
        <w:t>ares de poder adquisitivo (PPS)</w:t>
      </w:r>
      <w:r w:rsidRPr="00F4394A">
        <w:rPr>
          <w:rFonts w:ascii="Times New Roman" w:hAnsi="Times New Roman" w:cs="Times New Roman"/>
          <w:sz w:val="24"/>
          <w:szCs w:val="24"/>
        </w:rPr>
        <w:t>. Un PPS es una unidad que tiene en cuenta las diferencias de nivel de precios entre países. Tenga en cuenta que los datos de la UE se calculan como promedios ponderados por población de los datos nacionales de los Estados miembros de la UE. Por ejemplo, la distribución de la renta (en quintiles de renta) refleja la distribución media dentro de los Estados miembros en lugar de la distribución dentro de la UE en su conjunto. Para tener en cuenta las diferencias en el tamaño y la composición de los hogares, se utiliza el concepto de renta disponible equivalente (más adelante en el texto renta disponible). Se basa en expresar la renta total neta (denominada disponible) del hogar en relación con el número de miembros del hogar, teniendo en cuenta también su edad.</w:t>
      </w:r>
    </w:p>
    <w:p w:rsidR="007C6E04" w:rsidRDefault="007C6E04" w:rsidP="007C6E04">
      <w:pPr>
        <w:spacing w:line="240" w:lineRule="auto"/>
        <w:jc w:val="both"/>
        <w:rPr>
          <w:rFonts w:ascii="Times New Roman" w:hAnsi="Times New Roman" w:cs="Times New Roman"/>
          <w:sz w:val="24"/>
          <w:szCs w:val="24"/>
        </w:rPr>
      </w:pPr>
      <w:r>
        <w:rPr>
          <w:noProof/>
          <w:lang w:eastAsia="es-ES"/>
        </w:rPr>
        <w:drawing>
          <wp:inline distT="0" distB="0" distL="0" distR="0" wp14:anchorId="59DC2F02" wp14:editId="6F0450F1">
            <wp:extent cx="5731510" cy="3373403"/>
            <wp:effectExtent l="0" t="0" r="2540" b="0"/>
            <wp:docPr id="40" name="Imagen 40" descr="https://ec.europa.eu/eurostat/statistics-explained/images/thumb/d/d3/Distribution_of_equivalised_disposable_income_by_income_quintile%2C_2021_%28%25%29.png/700px-Distribution_of_equivalised_disposable_income_by_income_quintile%2C_2021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c.europa.eu/eurostat/statistics-explained/images/thumb/d/d3/Distribution_of_equivalised_disposable_income_by_income_quintile%2C_2021_%28%25%29.png/700px-Distribution_of_equivalised_disposable_income_by_income_quintile%2C_2021_%28%25%2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373403"/>
                    </a:xfrm>
                    <a:prstGeom prst="rect">
                      <a:avLst/>
                    </a:prstGeom>
                    <a:noFill/>
                    <a:ln>
                      <a:noFill/>
                    </a:ln>
                  </pic:spPr>
                </pic:pic>
              </a:graphicData>
            </a:graphic>
          </wp:inline>
        </w:drawing>
      </w:r>
    </w:p>
    <w:p w:rsidR="007C6E04" w:rsidRPr="00A729E3" w:rsidRDefault="007C6E04" w:rsidP="007C6E04">
      <w:pPr>
        <w:spacing w:line="240" w:lineRule="auto"/>
        <w:jc w:val="both"/>
        <w:rPr>
          <w:rFonts w:ascii="Times New Roman" w:hAnsi="Times New Roman" w:cs="Times New Roman"/>
          <w:sz w:val="24"/>
          <w:szCs w:val="24"/>
        </w:rPr>
      </w:pPr>
    </w:p>
    <w:p w:rsidR="007C6E04" w:rsidRDefault="007C6E04" w:rsidP="007C6E04">
      <w:r>
        <w:rPr>
          <w:noProof/>
          <w:lang w:eastAsia="es-ES"/>
        </w:rPr>
        <w:drawing>
          <wp:inline distT="0" distB="0" distL="0" distR="0" wp14:anchorId="13A21900" wp14:editId="4CA5DAC2">
            <wp:extent cx="5731510" cy="3111391"/>
            <wp:effectExtent l="0" t="0" r="2540" b="0"/>
            <wp:docPr id="41" name="Imagen 41" descr="https://ec.europa.eu/eurostat/statistics-explained/images/thumb/0/0b/Income_and_social_transfers%2C_2021.png/700px-Income_and_social_transfers%2C_2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c.europa.eu/eurostat/statistics-explained/images/thumb/0/0b/Income_and_social_transfers%2C_2021.png/700px-Income_and_social_transfers%2C_202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111391"/>
                    </a:xfrm>
                    <a:prstGeom prst="rect">
                      <a:avLst/>
                    </a:prstGeom>
                    <a:noFill/>
                    <a:ln>
                      <a:noFill/>
                    </a:ln>
                  </pic:spPr>
                </pic:pic>
              </a:graphicData>
            </a:graphic>
          </wp:inline>
        </w:drawing>
      </w:r>
    </w:p>
    <w:p w:rsidR="007C6E04" w:rsidRPr="00DD4C48" w:rsidRDefault="007C6E04" w:rsidP="007C6E0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11C62271" wp14:editId="7923F3FB">
            <wp:extent cx="5729111" cy="7435850"/>
            <wp:effectExtent l="0" t="0" r="5080" b="0"/>
            <wp:docPr id="42" name="Imagen 42" descr="https://ec.europa.eu/eurostat/statistics-explained/images/thumb/2/29/Map2_Gini_coefficient_for_equivalised_disp_income_per_inhabitan_2021.png/700px-Map2_Gini_coefficient_for_equivalised_disp_income_per_inhabitan_2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thumb/2/29/Map2_Gini_coefficient_for_equivalised_disp_income_per_inhabitan_2021.png/700px-Map2_Gini_coefficient_for_equivalised_disp_income_per_inhabitan_202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7438964"/>
                    </a:xfrm>
                    <a:prstGeom prst="rect">
                      <a:avLst/>
                    </a:prstGeom>
                    <a:noFill/>
                    <a:ln>
                      <a:noFill/>
                    </a:ln>
                  </pic:spPr>
                </pic:pic>
              </a:graphicData>
            </a:graphic>
          </wp:inline>
        </w:drawing>
      </w:r>
      <w:r w:rsidRPr="00DD4C48">
        <w:rPr>
          <w:rFonts w:ascii="Times New Roman" w:hAnsi="Times New Roman" w:cs="Times New Roman"/>
          <w:sz w:val="24"/>
          <w:szCs w:val="24"/>
        </w:rPr>
        <w:t>Los ingresos de las personas en el quintil superior de ingresos son cinco veces mayores que los del quintil inferior</w:t>
      </w:r>
    </w:p>
    <w:p w:rsidR="007C6E04" w:rsidRPr="00DD4C48" w:rsidRDefault="007C6E04" w:rsidP="007C6E04">
      <w:pPr>
        <w:spacing w:line="240" w:lineRule="auto"/>
        <w:jc w:val="both"/>
        <w:rPr>
          <w:rFonts w:ascii="Times New Roman" w:hAnsi="Times New Roman" w:cs="Times New Roman"/>
          <w:sz w:val="24"/>
          <w:szCs w:val="24"/>
        </w:rPr>
      </w:pPr>
      <w:r w:rsidRPr="00DD4C48">
        <w:rPr>
          <w:rFonts w:ascii="Times New Roman" w:hAnsi="Times New Roman" w:cs="Times New Roman"/>
          <w:sz w:val="24"/>
          <w:szCs w:val="24"/>
        </w:rPr>
        <w:t>Las desigualdades de ingresos dentro de los países también pueden ilustrarse a través de la proporción de participación de</w:t>
      </w:r>
      <w:r>
        <w:rPr>
          <w:rFonts w:ascii="Times New Roman" w:hAnsi="Times New Roman" w:cs="Times New Roman"/>
          <w:sz w:val="24"/>
          <w:szCs w:val="24"/>
        </w:rPr>
        <w:t>l quintil de ingresos (S80/S20)</w:t>
      </w:r>
      <w:r w:rsidRPr="00DD4C48">
        <w:rPr>
          <w:rFonts w:ascii="Times New Roman" w:hAnsi="Times New Roman" w:cs="Times New Roman"/>
          <w:sz w:val="24"/>
          <w:szCs w:val="24"/>
        </w:rPr>
        <w:t xml:space="preserve">, que se calcula como la proporción entre la participación de los ingresos recibidos por el quintil superior y la participación de los ingresos recibidos por el quintil inferior. Los valores altos de esta </w:t>
      </w:r>
      <w:r w:rsidRPr="00DD4C48">
        <w:rPr>
          <w:rFonts w:ascii="Times New Roman" w:hAnsi="Times New Roman" w:cs="Times New Roman"/>
          <w:sz w:val="24"/>
          <w:szCs w:val="24"/>
        </w:rPr>
        <w:lastRenderedPageBreak/>
        <w:t>relación sugieren que existen disparidades considerables en la distribución del ingreso entre los gr</w:t>
      </w:r>
      <w:r>
        <w:rPr>
          <w:rFonts w:ascii="Times New Roman" w:hAnsi="Times New Roman" w:cs="Times New Roman"/>
          <w:sz w:val="24"/>
          <w:szCs w:val="24"/>
        </w:rPr>
        <w:t>upos de ingresos altos y bajos.</w:t>
      </w:r>
    </w:p>
    <w:p w:rsidR="007C6E04" w:rsidRDefault="007C6E04" w:rsidP="007C6E04">
      <w:pPr>
        <w:spacing w:line="240" w:lineRule="auto"/>
        <w:jc w:val="both"/>
        <w:rPr>
          <w:rFonts w:ascii="Times New Roman" w:hAnsi="Times New Roman" w:cs="Times New Roman"/>
          <w:sz w:val="24"/>
          <w:szCs w:val="24"/>
        </w:rPr>
      </w:pPr>
      <w:r w:rsidRPr="00DD4C48">
        <w:rPr>
          <w:rFonts w:ascii="Times New Roman" w:hAnsi="Times New Roman" w:cs="Times New Roman"/>
          <w:sz w:val="24"/>
          <w:szCs w:val="24"/>
        </w:rPr>
        <w:t>En 2021, el índice de participación del quintil de ingresos para la UE fue</w:t>
      </w:r>
      <w:r>
        <w:rPr>
          <w:rFonts w:ascii="Times New Roman" w:hAnsi="Times New Roman" w:cs="Times New Roman"/>
          <w:sz w:val="24"/>
          <w:szCs w:val="24"/>
        </w:rPr>
        <w:t xml:space="preserve"> de 5,0. </w:t>
      </w:r>
      <w:r w:rsidRPr="00DD4C48">
        <w:rPr>
          <w:rFonts w:ascii="Times New Roman" w:hAnsi="Times New Roman" w:cs="Times New Roman"/>
          <w:sz w:val="24"/>
          <w:szCs w:val="24"/>
        </w:rPr>
        <w:t>Esto plantea que, en promedio, los ingresos percibidos por el 20 % de la población de mayores ingresos fueron cinco veces superiores a los ingresos percibidos por el 20 % de la población de menores ingresos.</w:t>
      </w:r>
    </w:p>
    <w:p w:rsidR="007C6E04" w:rsidRDefault="007C6E04" w:rsidP="007C6E04">
      <w:pPr>
        <w:spacing w:line="240" w:lineRule="auto"/>
        <w:jc w:val="both"/>
        <w:rPr>
          <w:rFonts w:ascii="Times New Roman" w:hAnsi="Times New Roman" w:cs="Times New Roman"/>
          <w:sz w:val="24"/>
          <w:szCs w:val="24"/>
        </w:rPr>
      </w:pPr>
      <w:r>
        <w:rPr>
          <w:noProof/>
          <w:lang w:eastAsia="es-ES"/>
        </w:rPr>
        <w:drawing>
          <wp:inline distT="0" distB="0" distL="0" distR="0" wp14:anchorId="7353E775" wp14:editId="74E35655">
            <wp:extent cx="5731510" cy="3236939"/>
            <wp:effectExtent l="0" t="0" r="2540" b="1905"/>
            <wp:docPr id="43" name="Imagen 43" descr="https://ec.europa.eu/eurostat/statistics-explained/images/thumb/9/95/Income_quintile_share_ratio%2C_2021_%28%25%29.png/700px-Income_quintile_share_ratio%2C_2021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c.europa.eu/eurostat/statistics-explained/images/thumb/9/95/Income_quintile_share_ratio%2C_2021_%28%25%29.png/700px-Income_quintile_share_ratio%2C_2021_%28%25%29.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3236939"/>
                    </a:xfrm>
                    <a:prstGeom prst="rect">
                      <a:avLst/>
                    </a:prstGeom>
                    <a:noFill/>
                    <a:ln>
                      <a:noFill/>
                    </a:ln>
                  </pic:spPr>
                </pic:pic>
              </a:graphicData>
            </a:graphic>
          </wp:inline>
        </w:drawing>
      </w:r>
    </w:p>
    <w:p w:rsidR="007C6E04" w:rsidRDefault="007C6E04" w:rsidP="007C6E04">
      <w:pPr>
        <w:spacing w:line="240" w:lineRule="auto"/>
        <w:jc w:val="both"/>
        <w:rPr>
          <w:noProof/>
          <w:lang w:eastAsia="es-ES"/>
        </w:rPr>
      </w:pPr>
    </w:p>
    <w:p w:rsidR="007C6E04" w:rsidRDefault="007C6E04" w:rsidP="007C6E04">
      <w:pPr>
        <w:spacing w:line="240" w:lineRule="auto"/>
        <w:jc w:val="both"/>
        <w:rPr>
          <w:rFonts w:ascii="Times New Roman" w:hAnsi="Times New Roman" w:cs="Times New Roman"/>
          <w:sz w:val="24"/>
          <w:szCs w:val="24"/>
        </w:rPr>
      </w:pPr>
      <w:r>
        <w:rPr>
          <w:noProof/>
          <w:lang w:eastAsia="es-ES"/>
        </w:rPr>
        <w:drawing>
          <wp:inline distT="0" distB="0" distL="0" distR="0" wp14:anchorId="5073EB32" wp14:editId="0A12C1CC">
            <wp:extent cx="5731510" cy="3640873"/>
            <wp:effectExtent l="0" t="0" r="2540" b="0"/>
            <wp:docPr id="44" name="Imagen 44" descr="https://ec.europa.eu/eurostat/statistics-explained/images/thumb/8/86/Gini_coefficient_for_equivalised_disposable_income_per_inhabitant%2C_2021%28%25%29.png/700px-Gini_coefficient_for_equivalised_disposable_income_per_inhabitant%2C_2021%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c.europa.eu/eurostat/statistics-explained/images/thumb/8/86/Gini_coefficient_for_equivalised_disposable_income_per_inhabitant%2C_2021%28%25%29.png/700px-Gini_coefficient_for_equivalised_disposable_income_per_inhabitant%2C_2021%28%25%29.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640873"/>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before="300" w:after="300" w:line="240" w:lineRule="auto"/>
        <w:jc w:val="both"/>
        <w:rPr>
          <w:rFonts w:ascii="Times New Roman" w:eastAsia="Times New Roman" w:hAnsi="Times New Roman" w:cs="Times New Roman"/>
          <w:sz w:val="24"/>
          <w:szCs w:val="24"/>
          <w:lang w:eastAsia="es-ES"/>
        </w:rPr>
      </w:pPr>
      <w:r w:rsidRPr="00100DFF">
        <w:rPr>
          <w:rFonts w:ascii="Times New Roman" w:eastAsia="Times New Roman" w:hAnsi="Times New Roman" w:cs="Times New Roman"/>
          <w:noProof/>
          <w:sz w:val="24"/>
          <w:szCs w:val="24"/>
          <w:lang w:eastAsia="es-ES"/>
        </w:rPr>
        <w:drawing>
          <wp:inline distT="0" distB="0" distL="0" distR="0" wp14:anchorId="67D62CE8" wp14:editId="1E85A43D">
            <wp:extent cx="5727700" cy="3314700"/>
            <wp:effectExtent l="0" t="0" r="635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316905"/>
                    </a:xfrm>
                    <a:prstGeom prst="rect">
                      <a:avLst/>
                    </a:prstGeom>
                  </pic:spPr>
                </pic:pic>
              </a:graphicData>
            </a:graphic>
          </wp:inline>
        </w:drawing>
      </w:r>
    </w:p>
    <w:p w:rsidR="007C6E04" w:rsidRDefault="007C6E04" w:rsidP="007C6E04">
      <w:pPr>
        <w:spacing w:before="300" w:after="300" w:line="240" w:lineRule="auto"/>
        <w:jc w:val="both"/>
        <w:rPr>
          <w:rFonts w:ascii="Times New Roman" w:eastAsia="Times New Roman" w:hAnsi="Times New Roman" w:cs="Times New Roman"/>
          <w:sz w:val="24"/>
          <w:szCs w:val="24"/>
          <w:lang w:eastAsia="es-ES"/>
        </w:rPr>
      </w:pPr>
    </w:p>
    <w:p w:rsidR="007C6E04" w:rsidRDefault="007C6E04" w:rsidP="007C6E04">
      <w:pPr>
        <w:spacing w:line="240" w:lineRule="auto"/>
        <w:jc w:val="both"/>
        <w:rPr>
          <w:rFonts w:ascii="Times New Roman" w:hAnsi="Times New Roman" w:cs="Times New Roman"/>
          <w:b/>
          <w:sz w:val="24"/>
          <w:szCs w:val="24"/>
        </w:rPr>
      </w:pPr>
      <w:r w:rsidRPr="00100DFF">
        <w:rPr>
          <w:rFonts w:ascii="Times New Roman" w:hAnsi="Times New Roman" w:cs="Times New Roman"/>
          <w:b/>
          <w:noProof/>
          <w:sz w:val="24"/>
          <w:szCs w:val="24"/>
          <w:lang w:eastAsia="es-ES"/>
        </w:rPr>
        <w:drawing>
          <wp:inline distT="0" distB="0" distL="0" distR="0" wp14:anchorId="07FA777A" wp14:editId="2EC64974">
            <wp:extent cx="5734048" cy="3511550"/>
            <wp:effectExtent l="0" t="0" r="635"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50999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r w:rsidRPr="00100DFF">
        <w:rPr>
          <w:rFonts w:ascii="Times New Roman" w:hAnsi="Times New Roman" w:cs="Times New Roman"/>
          <w:b/>
          <w:noProof/>
          <w:sz w:val="24"/>
          <w:szCs w:val="24"/>
          <w:lang w:eastAsia="es-ES"/>
        </w:rPr>
        <w:drawing>
          <wp:inline distT="0" distB="0" distL="0" distR="0" wp14:anchorId="07FCC195" wp14:editId="069B2DD3">
            <wp:extent cx="5731510" cy="3487893"/>
            <wp:effectExtent l="0" t="0" r="254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48789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r w:rsidRPr="00100DFF">
        <w:rPr>
          <w:rFonts w:ascii="Times New Roman" w:hAnsi="Times New Roman" w:cs="Times New Roman"/>
          <w:b/>
          <w:noProof/>
          <w:sz w:val="24"/>
          <w:szCs w:val="24"/>
          <w:lang w:eastAsia="es-ES"/>
        </w:rPr>
        <w:drawing>
          <wp:inline distT="0" distB="0" distL="0" distR="0" wp14:anchorId="0A39B014" wp14:editId="62249A1F">
            <wp:extent cx="5731510" cy="3568722"/>
            <wp:effectExtent l="0" t="0" r="254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56872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r w:rsidRPr="00100DFF">
        <w:rPr>
          <w:rFonts w:ascii="Times New Roman" w:hAnsi="Times New Roman" w:cs="Times New Roman"/>
          <w:b/>
          <w:noProof/>
          <w:sz w:val="24"/>
          <w:szCs w:val="24"/>
          <w:lang w:eastAsia="es-ES"/>
        </w:rPr>
        <w:drawing>
          <wp:inline distT="0" distB="0" distL="0" distR="0" wp14:anchorId="31399392" wp14:editId="08DF08A2">
            <wp:extent cx="5731510" cy="3278473"/>
            <wp:effectExtent l="0" t="0" r="254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27847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r w:rsidRPr="00100DFF">
        <w:rPr>
          <w:rFonts w:ascii="Times New Roman" w:hAnsi="Times New Roman" w:cs="Times New Roman"/>
          <w:b/>
          <w:noProof/>
          <w:sz w:val="24"/>
          <w:szCs w:val="24"/>
          <w:lang w:eastAsia="es-ES"/>
        </w:rPr>
        <w:drawing>
          <wp:inline distT="0" distB="0" distL="0" distR="0" wp14:anchorId="6F5AD1FE" wp14:editId="0A36DE62">
            <wp:extent cx="5731510" cy="3278473"/>
            <wp:effectExtent l="0" t="0" r="254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278473"/>
                    </a:xfrm>
                    <a:prstGeom prst="rect">
                      <a:avLst/>
                    </a:prstGeom>
                  </pic:spPr>
                </pic:pic>
              </a:graphicData>
            </a:graphic>
          </wp:inline>
        </w:drawing>
      </w:r>
    </w:p>
    <w:p w:rsidR="007C6E04" w:rsidRPr="00106F4C" w:rsidRDefault="007C6E04" w:rsidP="007C6E04">
      <w:pPr>
        <w:spacing w:line="240" w:lineRule="auto"/>
        <w:jc w:val="both"/>
        <w:rPr>
          <w:rFonts w:ascii="Times New Roman" w:hAnsi="Times New Roman" w:cs="Times New Roman"/>
          <w:sz w:val="24"/>
          <w:szCs w:val="24"/>
        </w:rPr>
      </w:pPr>
      <w:r w:rsidRPr="00106F4C">
        <w:rPr>
          <w:rFonts w:ascii="Times New Roman" w:hAnsi="Times New Roman" w:cs="Times New Roman"/>
          <w:sz w:val="24"/>
          <w:szCs w:val="24"/>
        </w:rPr>
        <w:t>Nota: El coeficiente de Gini es un número entre 0 y 1, donde 0 se corresponde con la perfecta igualdad (todos tienen los mismos ingresos) y 1 se corresponde con la perfecta desigualdad (una persona tiene todos los ingresos y los demás ninguno).</w:t>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7C6E04" w:rsidP="007C6E04">
      <w:pPr>
        <w:spacing w:line="240" w:lineRule="auto"/>
        <w:jc w:val="both"/>
        <w:rPr>
          <w:rFonts w:ascii="Times New Roman" w:hAnsi="Times New Roman" w:cs="Times New Roman"/>
          <w:b/>
          <w:sz w:val="24"/>
          <w:szCs w:val="24"/>
        </w:rPr>
      </w:pPr>
    </w:p>
    <w:p w:rsidR="007C6E04" w:rsidRDefault="00FB4726" w:rsidP="007C6E0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C6E04" w:rsidRPr="00FE4D5A">
        <w:rPr>
          <w:rFonts w:ascii="Times New Roman" w:hAnsi="Times New Roman" w:cs="Times New Roman"/>
          <w:b/>
          <w:sz w:val="24"/>
          <w:szCs w:val="24"/>
        </w:rPr>
        <w:t>Condiciones de vida en Europa: pobreza y exclusión social</w:t>
      </w:r>
    </w:p>
    <w:p w:rsidR="007C6E04" w:rsidRPr="00FE4D5A"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sz w:val="24"/>
          <w:szCs w:val="24"/>
        </w:rPr>
        <w:t>En 2021, 95,4 millones de personas en la UE estaban en riesgo de pobreza o exclusión social; esto equivalía al 21,7 % de la población de la UE.</w:t>
      </w:r>
    </w:p>
    <w:p w:rsidR="007C6E04" w:rsidRPr="00FE4D5A"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sz w:val="24"/>
          <w:szCs w:val="24"/>
        </w:rPr>
        <w:t>El riesgo de pobreza o exclusión social en la UE fue, en 2021, mayor para las mujeres que para los hombres (22,7 % frente a 20,7 %).</w:t>
      </w:r>
    </w:p>
    <w:p w:rsidR="007C6E04"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sz w:val="24"/>
          <w:szCs w:val="24"/>
        </w:rPr>
        <w:t>Más de una quinta parte (22,5 %) de la población de la UE que vivía en hogares con hijos a cargo estaba en riesgo de pobreza o exclusión social en 2021.</w:t>
      </w:r>
    </w:p>
    <w:p w:rsidR="007C6E04" w:rsidRDefault="007C6E04" w:rsidP="007C6E04">
      <w:pPr>
        <w:spacing w:line="240" w:lineRule="auto"/>
        <w:jc w:val="both"/>
        <w:rPr>
          <w:rFonts w:ascii="Times New Roman" w:hAnsi="Times New Roman" w:cs="Times New Roman"/>
          <w:sz w:val="24"/>
          <w:szCs w:val="24"/>
        </w:rPr>
      </w:pPr>
      <w:r>
        <w:rPr>
          <w:noProof/>
          <w:lang w:eastAsia="es-ES"/>
        </w:rPr>
        <w:drawing>
          <wp:inline distT="0" distB="0" distL="0" distR="0" wp14:anchorId="397C5E57" wp14:editId="733BF6DC">
            <wp:extent cx="5731510" cy="4420611"/>
            <wp:effectExtent l="0" t="0" r="2540" b="0"/>
            <wp:docPr id="45" name="Imagen 45" descr="SILC 20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LC 2022-0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4420611"/>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noProof/>
          <w:sz w:val="24"/>
          <w:szCs w:val="24"/>
          <w:lang w:eastAsia="es-ES"/>
        </w:rPr>
        <w:drawing>
          <wp:inline distT="0" distB="0" distL="0" distR="0" wp14:anchorId="5E7A4C28" wp14:editId="14C88CA6">
            <wp:extent cx="5731510" cy="1829062"/>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82906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noProof/>
          <w:lang w:eastAsia="es-ES"/>
        </w:rPr>
        <w:drawing>
          <wp:inline distT="0" distB="0" distL="0" distR="0" wp14:anchorId="6CC88848" wp14:editId="64211309">
            <wp:extent cx="4762500" cy="3676650"/>
            <wp:effectExtent l="0" t="0" r="0" b="0"/>
            <wp:docPr id="46" name="Imagen 46" descr="https://ec.europa.eu/eurostat/statistics-explained/images/thumb/7/73/SILC_2022-02.jpg/500px-SILC_20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c.europa.eu/eurostat/statistics-explained/images/thumb/7/73/SILC_2022-02.jpg/500px-SILC_2022-0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0" cy="3676650"/>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noProof/>
          <w:sz w:val="24"/>
          <w:szCs w:val="24"/>
          <w:lang w:eastAsia="es-ES"/>
        </w:rPr>
        <w:drawing>
          <wp:inline distT="0" distB="0" distL="0" distR="0" wp14:anchorId="63E43B3A" wp14:editId="45C0FCAF">
            <wp:extent cx="5728937" cy="4006850"/>
            <wp:effectExtent l="0" t="0" r="571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400864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noProof/>
          <w:sz w:val="24"/>
          <w:szCs w:val="24"/>
          <w:lang w:eastAsia="es-ES"/>
        </w:rPr>
        <w:lastRenderedPageBreak/>
        <w:drawing>
          <wp:inline distT="0" distB="0" distL="0" distR="0" wp14:anchorId="17AA8C89" wp14:editId="04DE17C6">
            <wp:extent cx="5731510" cy="4566838"/>
            <wp:effectExtent l="0" t="0" r="2540" b="571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566838"/>
                    </a:xfrm>
                    <a:prstGeom prst="rect">
                      <a:avLst/>
                    </a:prstGeom>
                  </pic:spPr>
                </pic:pic>
              </a:graphicData>
            </a:graphic>
          </wp:inline>
        </w:drawing>
      </w:r>
    </w:p>
    <w:p w:rsidR="007C6E04" w:rsidRPr="00FE4D5A"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sz w:val="24"/>
          <w:szCs w:val="24"/>
        </w:rPr>
        <w:t>Más de una quinta parte de la población de la UE que vivía en hogares con hijos a cargo estaba en riesgo de pobreza o exclusión social en 2021 y el riesgo de pobreza o exclusión social era ligeramente menor entre los hogares sin hijos a cargo.</w:t>
      </w:r>
    </w:p>
    <w:p w:rsidR="007C6E04" w:rsidRPr="00FE4D5A"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sz w:val="24"/>
          <w:szCs w:val="24"/>
        </w:rPr>
        <w:t>Como era de esperar, la situación laboral fue una de las principales características socioeconómicas que incidieron en el riesgo de pobreza o exclusión social. En 2021, mientras que el riesgo de pobreza o exclusión social en la UE era del 11,1 % para los ocupados y del 18,6 % para los jubilados, era de casi dos tercios (64,5 %) para los desempleados y se situaba en el 42,3 % par</w:t>
      </w:r>
      <w:r>
        <w:rPr>
          <w:rFonts w:ascii="Times New Roman" w:hAnsi="Times New Roman" w:cs="Times New Roman"/>
          <w:sz w:val="24"/>
          <w:szCs w:val="24"/>
        </w:rPr>
        <w:t xml:space="preserve">a el resto de inactivos, en </w:t>
      </w:r>
      <w:r w:rsidRPr="00FE4D5A">
        <w:rPr>
          <w:rFonts w:ascii="Times New Roman" w:hAnsi="Times New Roman" w:cs="Times New Roman"/>
          <w:sz w:val="24"/>
          <w:szCs w:val="24"/>
        </w:rPr>
        <w:t>otras palabras, personas que, por una razón distinta de la jubilación, no estaban trabajando o desempleadas.</w:t>
      </w:r>
    </w:p>
    <w:p w:rsidR="007C6E04" w:rsidRDefault="007C6E04" w:rsidP="007C6E04">
      <w:pPr>
        <w:spacing w:line="240" w:lineRule="auto"/>
        <w:jc w:val="both"/>
        <w:rPr>
          <w:rFonts w:ascii="Times New Roman" w:hAnsi="Times New Roman" w:cs="Times New Roman"/>
          <w:sz w:val="24"/>
          <w:szCs w:val="24"/>
        </w:rPr>
      </w:pPr>
      <w:r w:rsidRPr="00FE4D5A">
        <w:rPr>
          <w:rFonts w:ascii="Times New Roman" w:hAnsi="Times New Roman" w:cs="Times New Roman"/>
          <w:sz w:val="24"/>
          <w:szCs w:val="24"/>
        </w:rPr>
        <w:t>El riesgo de pobreza o exclusión social varió considerablemente entre los Estados miembros de la UE. Rumanía (34,4 %), Bulgaria (31,7 %) y Grecia (28,3 %) registraron las proporciones más altas de personas en riesgo de pobreza y exclusión social. Por el contrario, Finlandia, Eslovenia y Chequia presentaron porcentajes inferiores al 15,0 % (el valor de la UE se estima en un 21,7 %).</w:t>
      </w:r>
    </w:p>
    <w:p w:rsidR="007C6E04" w:rsidRDefault="007C6E04" w:rsidP="007C6E04">
      <w:pPr>
        <w:spacing w:line="240" w:lineRule="auto"/>
        <w:jc w:val="both"/>
        <w:rPr>
          <w:rFonts w:ascii="Times New Roman" w:hAnsi="Times New Roman" w:cs="Times New Roman"/>
          <w:sz w:val="24"/>
          <w:szCs w:val="24"/>
        </w:rPr>
      </w:pPr>
      <w:r w:rsidRPr="005D63EA">
        <w:rPr>
          <w:rFonts w:ascii="Times New Roman" w:hAnsi="Times New Roman" w:cs="Times New Roman"/>
          <w:sz w:val="24"/>
          <w:szCs w:val="24"/>
        </w:rPr>
        <w:t>En la UE, casi dos tercios (64,5 %) de los desempleados mayores de 18 años estaban en riesgo de pobreza o exclusión social en 2021. Las personas inactivas (distintas de las jubiladas) se enfrentaban al segundo riesgo más alto según un análisis por estado de actividad, con un 42,3 % en situación de riesgo. A modo de comparación, la proporción de personas jubiladas que estaban en riesgo de pobreza o exclusión social fue del 18,6 % y la proporción de personas empleadas fue del 11,1 %.</w:t>
      </w:r>
    </w:p>
    <w:p w:rsidR="007C6E04" w:rsidRDefault="007C6E04" w:rsidP="007C6E04">
      <w:pPr>
        <w:spacing w:line="240" w:lineRule="auto"/>
        <w:jc w:val="both"/>
        <w:rPr>
          <w:rFonts w:ascii="Times New Roman" w:hAnsi="Times New Roman" w:cs="Times New Roman"/>
          <w:b/>
          <w:sz w:val="24"/>
          <w:szCs w:val="24"/>
        </w:rPr>
      </w:pPr>
      <w:r w:rsidRPr="00CC7211">
        <w:rPr>
          <w:rFonts w:ascii="Times New Roman" w:hAnsi="Times New Roman" w:cs="Times New Roman"/>
          <w:b/>
          <w:sz w:val="24"/>
          <w:szCs w:val="24"/>
        </w:rPr>
        <w:lastRenderedPageBreak/>
        <w:t>Interacción de los ingresos, el consumo y la riqueza de los hogares: estadísticas sobre los principales resultados</w:t>
      </w:r>
    </w:p>
    <w:p w:rsidR="007C6E04" w:rsidRDefault="007C6E04" w:rsidP="007C6E04">
      <w:pPr>
        <w:spacing w:line="240" w:lineRule="auto"/>
        <w:jc w:val="both"/>
        <w:rPr>
          <w:rFonts w:ascii="Times New Roman" w:hAnsi="Times New Roman" w:cs="Times New Roman"/>
          <w:sz w:val="24"/>
          <w:szCs w:val="24"/>
        </w:rPr>
      </w:pPr>
      <w:r w:rsidRPr="00CC7211">
        <w:rPr>
          <w:rFonts w:ascii="Times New Roman" w:hAnsi="Times New Roman" w:cs="Times New Roman"/>
          <w:sz w:val="24"/>
          <w:szCs w:val="24"/>
        </w:rPr>
        <w:t>Los indicadores de pobreza basados ​​únicamente en estadísticas de ingresos no reflejan el panorama completo de la vulnerabilidad económica de un hogar. El consumo y la riqueza son dos dimensiones clave adicionales que determinan las oportunidades económicas de las personas o las desigualdades materiales. Al fusionar las tres dimensiones ingreso, consumo y riqueza (ICW) en un conjunto de datos, se puede realizar un análisis de la distribución conjunta de estas dimensiones mediante la construcción de una serie de indicadores ad hoc para</w:t>
      </w:r>
      <w:r>
        <w:rPr>
          <w:rFonts w:ascii="Times New Roman" w:hAnsi="Times New Roman" w:cs="Times New Roman"/>
          <w:sz w:val="24"/>
          <w:szCs w:val="24"/>
        </w:rPr>
        <w:t xml:space="preserve"> los países de la Unión Europea</w:t>
      </w:r>
      <w:r w:rsidRPr="00CC7211">
        <w:rPr>
          <w:rFonts w:ascii="Times New Roman" w:hAnsi="Times New Roman" w:cs="Times New Roman"/>
          <w:sz w:val="24"/>
          <w:szCs w:val="24"/>
        </w:rPr>
        <w:t>. Estos indicadores pueden ayudar a responder preguntas como: ¿Qué parte de la población es vulnerable en más de una dimensión? ¿Qué características exponen los hogares vulnerables?</w:t>
      </w:r>
    </w:p>
    <w:p w:rsidR="007C6E04" w:rsidRDefault="00106F4C" w:rsidP="007C6E04">
      <w:pPr>
        <w:spacing w:line="240" w:lineRule="auto"/>
        <w:jc w:val="both"/>
        <w:rPr>
          <w:rFonts w:ascii="Times New Roman" w:hAnsi="Times New Roman" w:cs="Times New Roman"/>
          <w:sz w:val="24"/>
          <w:szCs w:val="24"/>
        </w:rPr>
      </w:pPr>
      <w:r>
        <w:rPr>
          <w:rFonts w:ascii="Times New Roman" w:hAnsi="Times New Roman" w:cs="Times New Roman"/>
          <w:sz w:val="24"/>
          <w:szCs w:val="24"/>
        </w:rPr>
        <w:t>Los años de referencia son “</w:t>
      </w:r>
      <w:r w:rsidR="007C6E04" w:rsidRPr="00CC7211">
        <w:rPr>
          <w:rFonts w:ascii="Times New Roman" w:hAnsi="Times New Roman" w:cs="Times New Roman"/>
          <w:sz w:val="24"/>
          <w:szCs w:val="24"/>
        </w:rPr>
        <w:t xml:space="preserve">alrededor de </w:t>
      </w:r>
      <w:r>
        <w:rPr>
          <w:rFonts w:ascii="Times New Roman" w:hAnsi="Times New Roman" w:cs="Times New Roman"/>
          <w:sz w:val="24"/>
          <w:szCs w:val="24"/>
        </w:rPr>
        <w:t>2010” y “alrededor de 2015”</w:t>
      </w:r>
      <w:r w:rsidR="007C6E04" w:rsidRPr="00CC7211">
        <w:rPr>
          <w:rFonts w:ascii="Times New Roman" w:hAnsi="Times New Roman" w:cs="Times New Roman"/>
          <w:sz w:val="24"/>
          <w:szCs w:val="24"/>
        </w:rPr>
        <w:t>. Las estadísticas de ICW para Italia y los Países Bajos 2010 no están disponibles debido a la falta parcial de datos de gastos.</w:t>
      </w:r>
    </w:p>
    <w:p w:rsidR="007C6E04" w:rsidRPr="00CC7211" w:rsidRDefault="007C6E04" w:rsidP="007C6E04">
      <w:pPr>
        <w:spacing w:line="240" w:lineRule="auto"/>
        <w:jc w:val="both"/>
        <w:rPr>
          <w:rFonts w:ascii="Times New Roman" w:hAnsi="Times New Roman" w:cs="Times New Roman"/>
          <w:sz w:val="24"/>
          <w:szCs w:val="24"/>
        </w:rPr>
      </w:pPr>
      <w:r>
        <w:rPr>
          <w:rFonts w:ascii="Times New Roman" w:hAnsi="Times New Roman" w:cs="Times New Roman"/>
          <w:sz w:val="24"/>
          <w:szCs w:val="24"/>
        </w:rPr>
        <w:t>Pobreza de ingresos en la UE</w:t>
      </w:r>
    </w:p>
    <w:p w:rsidR="007C6E04" w:rsidRPr="00CC7211" w:rsidRDefault="007C6E04" w:rsidP="007C6E04">
      <w:pPr>
        <w:spacing w:line="240" w:lineRule="auto"/>
        <w:jc w:val="both"/>
        <w:rPr>
          <w:rFonts w:ascii="Times New Roman" w:hAnsi="Times New Roman" w:cs="Times New Roman"/>
          <w:sz w:val="24"/>
          <w:szCs w:val="24"/>
        </w:rPr>
      </w:pPr>
      <w:r w:rsidRPr="00CC7211">
        <w:rPr>
          <w:rFonts w:ascii="Times New Roman" w:hAnsi="Times New Roman" w:cs="Times New Roman"/>
          <w:sz w:val="24"/>
          <w:szCs w:val="24"/>
        </w:rPr>
        <w:t>Las estadísticas de la UE sobre ingresos y condiciones de vida (EU-SILC) son la base de los indicadores de pobreza clásicos. Como tal, el análisis d</w:t>
      </w:r>
      <w:r>
        <w:rPr>
          <w:rFonts w:ascii="Times New Roman" w:hAnsi="Times New Roman" w:cs="Times New Roman"/>
          <w:sz w:val="24"/>
          <w:szCs w:val="24"/>
        </w:rPr>
        <w:t>e la pobreza en Europa examina:</w:t>
      </w:r>
    </w:p>
    <w:p w:rsidR="007C6E04" w:rsidRPr="00CC7211" w:rsidRDefault="007C6E04" w:rsidP="007C6E04">
      <w:pPr>
        <w:spacing w:line="240" w:lineRule="auto"/>
        <w:jc w:val="both"/>
        <w:rPr>
          <w:rFonts w:ascii="Times New Roman" w:hAnsi="Times New Roman" w:cs="Times New Roman"/>
          <w:sz w:val="24"/>
          <w:szCs w:val="24"/>
        </w:rPr>
      </w:pPr>
      <w:r w:rsidRPr="00CC7211">
        <w:rPr>
          <w:rFonts w:ascii="Times New Roman" w:hAnsi="Times New Roman" w:cs="Times New Roman"/>
          <w:sz w:val="24"/>
          <w:szCs w:val="24"/>
        </w:rPr>
        <w:t xml:space="preserve">pobreza monetaria </w:t>
      </w:r>
      <w:r w:rsidR="00106F4C">
        <w:rPr>
          <w:rFonts w:ascii="Times New Roman" w:hAnsi="Times New Roman" w:cs="Times New Roman"/>
          <w:sz w:val="24"/>
          <w:szCs w:val="24"/>
        </w:rPr>
        <w:t>sobre la base del indicador de “</w:t>
      </w:r>
      <w:r w:rsidRPr="00CC7211">
        <w:rPr>
          <w:rFonts w:ascii="Times New Roman" w:hAnsi="Times New Roman" w:cs="Times New Roman"/>
          <w:sz w:val="24"/>
          <w:szCs w:val="24"/>
        </w:rPr>
        <w:t xml:space="preserve">riesgo </w:t>
      </w:r>
      <w:r w:rsidR="00106F4C">
        <w:rPr>
          <w:rFonts w:ascii="Times New Roman" w:hAnsi="Times New Roman" w:cs="Times New Roman"/>
          <w:sz w:val="24"/>
          <w:szCs w:val="24"/>
        </w:rPr>
        <w:t>de pobreza”</w:t>
      </w:r>
      <w:r w:rsidRPr="00CC7211">
        <w:rPr>
          <w:rFonts w:ascii="Times New Roman" w:hAnsi="Times New Roman" w:cs="Times New Roman"/>
          <w:sz w:val="24"/>
          <w:szCs w:val="24"/>
        </w:rPr>
        <w:t xml:space="preserve"> (AROP) basado en los </w:t>
      </w:r>
      <w:r w:rsidR="003F2346" w:rsidRPr="00CC7211">
        <w:rPr>
          <w:rFonts w:ascii="Times New Roman" w:hAnsi="Times New Roman" w:cs="Times New Roman"/>
          <w:sz w:val="24"/>
          <w:szCs w:val="24"/>
        </w:rPr>
        <w:t>ingresos:</w:t>
      </w:r>
      <w:r w:rsidRPr="00CC7211">
        <w:rPr>
          <w:rFonts w:ascii="Times New Roman" w:hAnsi="Times New Roman" w:cs="Times New Roman"/>
          <w:sz w:val="24"/>
          <w:szCs w:val="24"/>
        </w:rPr>
        <w:t xml:space="preserve"> el 17,3 % de las personas que vivían en la EU-27 estaban en riesgo de pobreza en 201</w:t>
      </w:r>
      <w:r w:rsidR="003F2346">
        <w:rPr>
          <w:rFonts w:ascii="Times New Roman" w:hAnsi="Times New Roman" w:cs="Times New Roman"/>
          <w:sz w:val="24"/>
          <w:szCs w:val="24"/>
        </w:rPr>
        <w:t>5 (17,1 % en 2018) [ ilc_li02 ]</w:t>
      </w:r>
      <w:r w:rsidRPr="00CC7211">
        <w:rPr>
          <w:rFonts w:ascii="Times New Roman" w:hAnsi="Times New Roman" w:cs="Times New Roman"/>
          <w:sz w:val="24"/>
          <w:szCs w:val="24"/>
        </w:rPr>
        <w:t>.</w:t>
      </w:r>
    </w:p>
    <w:p w:rsidR="007C6E04" w:rsidRPr="00CC7211" w:rsidRDefault="007C6E04" w:rsidP="007C6E04">
      <w:pPr>
        <w:spacing w:line="240" w:lineRule="auto"/>
        <w:jc w:val="both"/>
        <w:rPr>
          <w:rFonts w:ascii="Times New Roman" w:hAnsi="Times New Roman" w:cs="Times New Roman"/>
          <w:sz w:val="24"/>
          <w:szCs w:val="24"/>
        </w:rPr>
      </w:pPr>
      <w:r w:rsidRPr="00CC7211">
        <w:rPr>
          <w:rFonts w:ascii="Times New Roman" w:hAnsi="Times New Roman" w:cs="Times New Roman"/>
          <w:sz w:val="24"/>
          <w:szCs w:val="24"/>
        </w:rPr>
        <w:t>privaciones materiales graves que afectaron al 8,4 % de la población de la UE-27 en 2015 (6,1 % en 2018) [ ilc_mddd11 ]; y</w:t>
      </w:r>
    </w:p>
    <w:p w:rsidR="007C6E04" w:rsidRDefault="007C6E04" w:rsidP="007C6E04">
      <w:pPr>
        <w:spacing w:line="240" w:lineRule="auto"/>
        <w:jc w:val="both"/>
        <w:rPr>
          <w:rFonts w:ascii="Times New Roman" w:hAnsi="Times New Roman" w:cs="Times New Roman"/>
          <w:sz w:val="24"/>
          <w:szCs w:val="24"/>
        </w:rPr>
      </w:pPr>
      <w:r w:rsidRPr="00CC7211">
        <w:rPr>
          <w:rFonts w:ascii="Times New Roman" w:hAnsi="Times New Roman" w:cs="Times New Roman"/>
          <w:sz w:val="24"/>
          <w:szCs w:val="24"/>
        </w:rPr>
        <w:t>trabajo de muy baja intensidad que afectaba al 10,7 % de la población de 0 a 59 años en la UE-27 en 2015 (8,8 % en 2018) [ ilc_lvhl11 ].</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sz w:val="24"/>
          <w:szCs w:val="24"/>
        </w:rPr>
        <w:t>Dado que la reducción de la pobreza es un importante objetivo europeo y mundial, estos indicadores se estu</w:t>
      </w:r>
      <w:r w:rsidR="00106F4C">
        <w:rPr>
          <w:rFonts w:ascii="Times New Roman" w:hAnsi="Times New Roman" w:cs="Times New Roman"/>
          <w:sz w:val="24"/>
          <w:szCs w:val="24"/>
        </w:rPr>
        <w:t>dian con mucho cuidado. El indicador de “</w:t>
      </w:r>
      <w:r w:rsidRPr="0088511B">
        <w:rPr>
          <w:rFonts w:ascii="Times New Roman" w:hAnsi="Times New Roman" w:cs="Times New Roman"/>
          <w:sz w:val="24"/>
          <w:szCs w:val="24"/>
        </w:rPr>
        <w:t>riesgo de pobr</w:t>
      </w:r>
      <w:r w:rsidR="00106F4C">
        <w:rPr>
          <w:rFonts w:ascii="Times New Roman" w:hAnsi="Times New Roman" w:cs="Times New Roman"/>
          <w:sz w:val="24"/>
          <w:szCs w:val="24"/>
        </w:rPr>
        <w:t>eza o exclusión social” (AROPE)</w:t>
      </w:r>
      <w:r w:rsidRPr="0088511B">
        <w:rPr>
          <w:rFonts w:ascii="Times New Roman" w:hAnsi="Times New Roman" w:cs="Times New Roman"/>
          <w:sz w:val="24"/>
          <w:szCs w:val="24"/>
        </w:rPr>
        <w:t>, que es el indicador principal para controlar la pobreza en la UE, combina los tres conceptos anteriores: el 23,8 % de la población de la UE-27 estaba en riesgo de pobreza o exclusión social en 2015 (21,9 % en 2018) [ ilc_peps01 ].</w:t>
      </w:r>
    </w:p>
    <w:p w:rsidR="007C6E04" w:rsidRPr="0088511B" w:rsidRDefault="007C6E04" w:rsidP="007C6E04">
      <w:pPr>
        <w:spacing w:line="240" w:lineRule="auto"/>
        <w:jc w:val="both"/>
        <w:rPr>
          <w:rFonts w:ascii="Times New Roman" w:hAnsi="Times New Roman" w:cs="Times New Roman"/>
          <w:sz w:val="24"/>
          <w:szCs w:val="24"/>
        </w:rPr>
      </w:pPr>
      <w:r>
        <w:rPr>
          <w:rFonts w:ascii="Times New Roman" w:hAnsi="Times New Roman" w:cs="Times New Roman"/>
          <w:sz w:val="24"/>
          <w:szCs w:val="24"/>
        </w:rPr>
        <w:t>Bajos niveles de gasto</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sz w:val="24"/>
          <w:szCs w:val="24"/>
        </w:rPr>
        <w:t>Al igual que los ingresos, el consumo también puede utilizarse como cr</w:t>
      </w:r>
      <w:r w:rsidR="00106F4C">
        <w:rPr>
          <w:rFonts w:ascii="Times New Roman" w:hAnsi="Times New Roman" w:cs="Times New Roman"/>
          <w:sz w:val="24"/>
          <w:szCs w:val="24"/>
        </w:rPr>
        <w:t>iterio para definir quién es un “individuo vulnerable”</w:t>
      </w:r>
      <w:r w:rsidRPr="0088511B">
        <w:rPr>
          <w:rFonts w:ascii="Times New Roman" w:hAnsi="Times New Roman" w:cs="Times New Roman"/>
          <w:sz w:val="24"/>
          <w:szCs w:val="24"/>
        </w:rPr>
        <w:t>. La vulnerabilidad se puede determinar sobre la ba</w:t>
      </w:r>
      <w:r>
        <w:rPr>
          <w:rFonts w:ascii="Times New Roman" w:hAnsi="Times New Roman" w:cs="Times New Roman"/>
          <w:sz w:val="24"/>
          <w:szCs w:val="24"/>
        </w:rPr>
        <w:t xml:space="preserve">se de los gastos de consumo </w:t>
      </w:r>
      <w:r w:rsidRPr="0088511B">
        <w:rPr>
          <w:rFonts w:ascii="Times New Roman" w:hAnsi="Times New Roman" w:cs="Times New Roman"/>
          <w:sz w:val="24"/>
          <w:szCs w:val="24"/>
        </w:rPr>
        <w:t>en lugar de los ingresos disponibles del hogar, con los gastos equivalentes reemplazando los ingresos equivalentes. En consecuencia, se considera que las personas con gastos equivalentes por debajo del 60 % de la mediana de los gastos equivalentes su</w:t>
      </w:r>
      <w:r>
        <w:rPr>
          <w:rFonts w:ascii="Times New Roman" w:hAnsi="Times New Roman" w:cs="Times New Roman"/>
          <w:sz w:val="24"/>
          <w:szCs w:val="24"/>
        </w:rPr>
        <w:t>fren niveles bajos de gasto</w:t>
      </w:r>
      <w:r w:rsidRPr="0088511B">
        <w:rPr>
          <w:rFonts w:ascii="Times New Roman" w:hAnsi="Times New Roman" w:cs="Times New Roman"/>
          <w:sz w:val="24"/>
          <w:szCs w:val="24"/>
        </w:rPr>
        <w:t>. Luego, las cifras pueden compararse en función de los ingresos disponibles y las basadas en l</w:t>
      </w:r>
      <w:r>
        <w:rPr>
          <w:rFonts w:ascii="Times New Roman" w:hAnsi="Times New Roman" w:cs="Times New Roman"/>
          <w:sz w:val="24"/>
          <w:szCs w:val="24"/>
        </w:rPr>
        <w:t>os gastos</w:t>
      </w:r>
      <w:r w:rsidRPr="0088511B">
        <w:rPr>
          <w:rFonts w:ascii="Times New Roman" w:hAnsi="Times New Roman" w:cs="Times New Roman"/>
          <w:sz w:val="24"/>
          <w:szCs w:val="24"/>
        </w:rPr>
        <w:t>. Los umbrales de riesgo de pobreza para los ingresos se pueden encontrar aquí para cada país.</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lastRenderedPageBreak/>
        <w:drawing>
          <wp:inline distT="0" distB="0" distL="0" distR="0" wp14:anchorId="5742BCA7" wp14:editId="364C3593">
            <wp:extent cx="5731510" cy="4124012"/>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124012"/>
                    </a:xfrm>
                    <a:prstGeom prst="rect">
                      <a:avLst/>
                    </a:prstGeom>
                  </pic:spPr>
                </pic:pic>
              </a:graphicData>
            </a:graphic>
          </wp:inline>
        </w:drawing>
      </w:r>
    </w:p>
    <w:p w:rsidR="007C6E04" w:rsidRPr="00F82BFD"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b/>
          <w:bCs/>
          <w:color w:val="333333"/>
          <w:sz w:val="24"/>
          <w:szCs w:val="24"/>
          <w:shd w:val="clear" w:color="auto" w:fill="FFFFFF"/>
        </w:rPr>
        <w:t>Vulnerabilidad basada en activos</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24B01941" wp14:editId="12C585B8">
            <wp:extent cx="5731510" cy="3942862"/>
            <wp:effectExtent l="0" t="0" r="254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94286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Pr="00F82BFD" w:rsidRDefault="007C6E04" w:rsidP="007C6E04">
      <w:pPr>
        <w:spacing w:line="240" w:lineRule="auto"/>
        <w:jc w:val="both"/>
        <w:rPr>
          <w:rFonts w:ascii="Times New Roman" w:hAnsi="Times New Roman" w:cs="Times New Roman"/>
          <w:b/>
          <w:sz w:val="24"/>
          <w:szCs w:val="24"/>
        </w:rPr>
      </w:pPr>
      <w:r w:rsidRPr="00F82BFD">
        <w:rPr>
          <w:rFonts w:ascii="Times New Roman" w:hAnsi="Times New Roman" w:cs="Times New Roman"/>
          <w:b/>
          <w:sz w:val="24"/>
          <w:szCs w:val="24"/>
        </w:rPr>
        <w:lastRenderedPageBreak/>
        <w:t>Ahorro de disparidades</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3EA792AD" wp14:editId="3DB2BE7B">
            <wp:extent cx="5731510" cy="3969193"/>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96919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0D42410A" wp14:editId="41C5D3A1">
            <wp:extent cx="5731510" cy="4071454"/>
            <wp:effectExtent l="0" t="0" r="2540" b="571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4071454"/>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Pr="00F82BFD"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lastRenderedPageBreak/>
        <w:t>Desigualdad en los ingresos, gastos, ahorros y riqueza de los hogares</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5D54ADC4" wp14:editId="149B0FB9">
            <wp:extent cx="5727700" cy="3733800"/>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736284"/>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t>Interacción entre indicadores</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1BB6E5AE" wp14:editId="529603E6">
            <wp:extent cx="5731510" cy="4277813"/>
            <wp:effectExtent l="0" t="0" r="2540" b="889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427781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lastRenderedPageBreak/>
        <w:drawing>
          <wp:inline distT="0" distB="0" distL="0" distR="0" wp14:anchorId="60207787" wp14:editId="5896623D">
            <wp:extent cx="5734024" cy="3943350"/>
            <wp:effectExtent l="0" t="0" r="63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94162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t>Gastos de consumo por ingreso</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1C43A317" wp14:editId="69D47688">
            <wp:extent cx="5731510" cy="4213517"/>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4213517"/>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lastRenderedPageBreak/>
        <w:drawing>
          <wp:inline distT="0" distB="0" distL="0" distR="0" wp14:anchorId="16D41CB2" wp14:editId="625D919C">
            <wp:extent cx="5734050" cy="397510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97333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t>Comportamientos de ahorro</w:t>
      </w:r>
      <w:r>
        <w:rPr>
          <w:rFonts w:ascii="Times New Roman" w:hAnsi="Times New Roman" w:cs="Times New Roman"/>
          <w:sz w:val="24"/>
          <w:szCs w:val="24"/>
        </w:rPr>
        <w:t xml:space="preserve"> - </w:t>
      </w:r>
      <w:r w:rsidRPr="00F82BFD">
        <w:rPr>
          <w:rFonts w:ascii="Times New Roman" w:hAnsi="Times New Roman" w:cs="Times New Roman"/>
          <w:sz w:val="24"/>
          <w:szCs w:val="24"/>
        </w:rPr>
        <w:t>El papel del ciclo de vida.</w:t>
      </w:r>
    </w:p>
    <w:p w:rsidR="007C6E04" w:rsidRDefault="007C6E04" w:rsidP="007C6E04">
      <w:pPr>
        <w:spacing w:line="240" w:lineRule="auto"/>
        <w:jc w:val="both"/>
        <w:rPr>
          <w:rFonts w:ascii="Times New Roman" w:hAnsi="Times New Roman" w:cs="Times New Roman"/>
          <w:sz w:val="24"/>
          <w:szCs w:val="24"/>
        </w:rPr>
      </w:pPr>
      <w:r w:rsidRPr="0088511B">
        <w:rPr>
          <w:rFonts w:ascii="Times New Roman" w:hAnsi="Times New Roman" w:cs="Times New Roman"/>
          <w:noProof/>
          <w:sz w:val="24"/>
          <w:szCs w:val="24"/>
          <w:lang w:eastAsia="es-ES"/>
        </w:rPr>
        <w:drawing>
          <wp:inline distT="0" distB="0" distL="0" distR="0" wp14:anchorId="3AA7E94F" wp14:editId="56AE5B28">
            <wp:extent cx="5731510" cy="4343946"/>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434394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lastRenderedPageBreak/>
        <w:t>Estructura del hogar y vulnerabilidad</w:t>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noProof/>
          <w:sz w:val="24"/>
          <w:szCs w:val="24"/>
          <w:lang w:eastAsia="es-ES"/>
        </w:rPr>
        <w:drawing>
          <wp:inline distT="0" distB="0" distL="0" distR="0" wp14:anchorId="79EBF71A" wp14:editId="6C739E06">
            <wp:extent cx="5728470" cy="3740150"/>
            <wp:effectExtent l="0" t="0" r="571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742135"/>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t>Ingresos y ahorros</w:t>
      </w: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noProof/>
          <w:sz w:val="24"/>
          <w:szCs w:val="24"/>
          <w:lang w:eastAsia="es-ES"/>
        </w:rPr>
        <w:drawing>
          <wp:inline distT="0" distB="0" distL="0" distR="0" wp14:anchorId="2A823681" wp14:editId="6071C31C">
            <wp:extent cx="5729445" cy="4222750"/>
            <wp:effectExtent l="0" t="0" r="508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4224272"/>
                    </a:xfrm>
                    <a:prstGeom prst="rect">
                      <a:avLst/>
                    </a:prstGeom>
                  </pic:spPr>
                </pic:pic>
              </a:graphicData>
            </a:graphic>
          </wp:inline>
        </w:drawing>
      </w:r>
    </w:p>
    <w:p w:rsidR="007C6E04" w:rsidRDefault="00FB4726" w:rsidP="007C6E04">
      <w:pPr>
        <w:spacing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lastRenderedPageBreak/>
        <w:t xml:space="preserve">- </w:t>
      </w:r>
      <w:r w:rsidR="007C6E04" w:rsidRPr="00764EA4">
        <w:rPr>
          <w:rFonts w:ascii="Times New Roman" w:hAnsi="Times New Roman" w:cs="Times New Roman"/>
          <w:b/>
          <w:sz w:val="24"/>
          <w:szCs w:val="24"/>
          <w:lang w:val="en-US"/>
        </w:rPr>
        <w:t>Sustainable de</w:t>
      </w:r>
      <w:r w:rsidR="007C6E04">
        <w:rPr>
          <w:rFonts w:ascii="Times New Roman" w:hAnsi="Times New Roman" w:cs="Times New Roman"/>
          <w:b/>
          <w:sz w:val="24"/>
          <w:szCs w:val="24"/>
          <w:lang w:val="en-US"/>
        </w:rPr>
        <w:t xml:space="preserve">velopment in the European Union - </w:t>
      </w:r>
      <w:r w:rsidR="007C6E04" w:rsidRPr="00764EA4">
        <w:rPr>
          <w:rFonts w:ascii="Times New Roman" w:hAnsi="Times New Roman" w:cs="Times New Roman"/>
          <w:sz w:val="24"/>
          <w:szCs w:val="24"/>
          <w:lang w:val="en-US"/>
        </w:rPr>
        <w:t>Monitoring report on progress towards the SDGs in an EU context</w:t>
      </w:r>
      <w:r w:rsidR="007C6E04">
        <w:rPr>
          <w:rFonts w:ascii="Times New Roman" w:hAnsi="Times New Roman" w:cs="Times New Roman"/>
          <w:b/>
          <w:sz w:val="24"/>
          <w:szCs w:val="24"/>
          <w:lang w:val="en-US"/>
        </w:rPr>
        <w:t xml:space="preserve"> - </w:t>
      </w:r>
      <w:r w:rsidR="007C6E04" w:rsidRPr="00764EA4">
        <w:rPr>
          <w:rFonts w:ascii="Times New Roman" w:hAnsi="Times New Roman" w:cs="Times New Roman"/>
          <w:sz w:val="24"/>
          <w:szCs w:val="24"/>
          <w:lang w:val="en-US"/>
        </w:rPr>
        <w:t>2022 edition</w:t>
      </w:r>
    </w:p>
    <w:p w:rsidR="007C6E04" w:rsidRDefault="007C6E04" w:rsidP="007C6E0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ODS 1 - Pobreza</w:t>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drawing>
          <wp:inline distT="0" distB="0" distL="0" distR="0" wp14:anchorId="0756F79F" wp14:editId="2E663833">
            <wp:extent cx="5734050" cy="15494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1548714"/>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6020EC">
        <w:rPr>
          <w:rFonts w:ascii="Times New Roman" w:hAnsi="Times New Roman" w:cs="Times New Roman"/>
          <w:noProof/>
          <w:sz w:val="24"/>
          <w:szCs w:val="24"/>
          <w:lang w:eastAsia="es-ES"/>
        </w:rPr>
        <w:drawing>
          <wp:inline distT="0" distB="0" distL="0" distR="0" wp14:anchorId="2286C12A" wp14:editId="26AD2A6C">
            <wp:extent cx="5731510" cy="3044559"/>
            <wp:effectExtent l="0" t="0" r="2540" b="381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04455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6020EC">
        <w:rPr>
          <w:rFonts w:ascii="Times New Roman" w:hAnsi="Times New Roman" w:cs="Times New Roman"/>
          <w:noProof/>
          <w:sz w:val="24"/>
          <w:szCs w:val="24"/>
          <w:lang w:eastAsia="es-ES"/>
        </w:rPr>
        <w:drawing>
          <wp:inline distT="0" distB="0" distL="0" distR="0" wp14:anchorId="5C41339F" wp14:editId="4C66320E">
            <wp:extent cx="5731510" cy="3029862"/>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302986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6020EC">
        <w:rPr>
          <w:rFonts w:ascii="Times New Roman" w:hAnsi="Times New Roman" w:cs="Times New Roman"/>
          <w:noProof/>
          <w:sz w:val="24"/>
          <w:szCs w:val="24"/>
          <w:lang w:eastAsia="es-ES"/>
        </w:rPr>
        <w:lastRenderedPageBreak/>
        <w:drawing>
          <wp:inline distT="0" distB="0" distL="0" distR="0" wp14:anchorId="079B0E05" wp14:editId="62757B81">
            <wp:extent cx="5731510" cy="3708948"/>
            <wp:effectExtent l="0" t="0" r="254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708948"/>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drawing>
          <wp:inline distT="0" distB="0" distL="0" distR="0" wp14:anchorId="500FEBB7" wp14:editId="0DD29BE2">
            <wp:extent cx="5731510" cy="4353131"/>
            <wp:effectExtent l="0" t="0" r="2540" b="952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435313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lastRenderedPageBreak/>
        <w:drawing>
          <wp:inline distT="0" distB="0" distL="0" distR="0" wp14:anchorId="63B2DCC1" wp14:editId="5FCBC608">
            <wp:extent cx="5731510" cy="3823456"/>
            <wp:effectExtent l="0" t="0" r="2540" b="571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82345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drawing>
          <wp:inline distT="0" distB="0" distL="0" distR="0" wp14:anchorId="27790CA8" wp14:editId="69E74426">
            <wp:extent cx="5731510" cy="3593828"/>
            <wp:effectExtent l="0" t="0" r="2540" b="698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593828"/>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lastRenderedPageBreak/>
        <w:drawing>
          <wp:inline distT="0" distB="0" distL="0" distR="0" wp14:anchorId="682E4BB4" wp14:editId="531B39CA">
            <wp:extent cx="5731510" cy="5198773"/>
            <wp:effectExtent l="0" t="0" r="2540" b="190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519877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drawing>
          <wp:inline distT="0" distB="0" distL="0" distR="0" wp14:anchorId="5684EED2" wp14:editId="44CAD278">
            <wp:extent cx="5731510" cy="3120489"/>
            <wp:effectExtent l="0" t="0" r="2540" b="381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12048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lastRenderedPageBreak/>
        <w:drawing>
          <wp:inline distT="0" distB="0" distL="0" distR="0" wp14:anchorId="33F919D0" wp14:editId="766020B1">
            <wp:extent cx="5731510" cy="4394158"/>
            <wp:effectExtent l="0" t="0" r="2540" b="698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4394158"/>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drawing>
          <wp:inline distT="0" distB="0" distL="0" distR="0" wp14:anchorId="60D3283A" wp14:editId="1FBB11B6">
            <wp:extent cx="5731510" cy="3391756"/>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39175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lastRenderedPageBreak/>
        <w:drawing>
          <wp:inline distT="0" distB="0" distL="0" distR="0" wp14:anchorId="66A34862" wp14:editId="211CCC91">
            <wp:extent cx="5731510" cy="3729156"/>
            <wp:effectExtent l="0" t="0" r="2540" b="508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72915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drawing>
          <wp:inline distT="0" distB="0" distL="0" distR="0" wp14:anchorId="68E09EE8" wp14:editId="0C3D0805">
            <wp:extent cx="5731510" cy="3394817"/>
            <wp:effectExtent l="0" t="0" r="254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394817"/>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742115">
        <w:rPr>
          <w:rFonts w:ascii="Times New Roman" w:hAnsi="Times New Roman" w:cs="Times New Roman"/>
          <w:noProof/>
          <w:sz w:val="24"/>
          <w:szCs w:val="24"/>
          <w:lang w:eastAsia="es-ES"/>
        </w:rPr>
        <w:lastRenderedPageBreak/>
        <w:drawing>
          <wp:inline distT="0" distB="0" distL="0" distR="0" wp14:anchorId="1C696436" wp14:editId="12362E88">
            <wp:extent cx="5731510" cy="3741402"/>
            <wp:effectExtent l="0" t="0" r="254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74140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r w:rsidRPr="00460431">
        <w:rPr>
          <w:rFonts w:ascii="Times New Roman" w:hAnsi="Times New Roman" w:cs="Times New Roman"/>
          <w:noProof/>
          <w:sz w:val="24"/>
          <w:szCs w:val="24"/>
          <w:lang w:eastAsia="es-ES"/>
        </w:rPr>
        <w:drawing>
          <wp:inline distT="0" distB="0" distL="0" distR="0" wp14:anchorId="43A3D2C0" wp14:editId="7ED8E431">
            <wp:extent cx="5731510" cy="3408901"/>
            <wp:effectExtent l="0" t="0" r="2540" b="127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40890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lang w:val="en-US"/>
        </w:rPr>
      </w:pPr>
    </w:p>
    <w:p w:rsidR="007C6E04" w:rsidRDefault="007C6E04" w:rsidP="007C6E04">
      <w:pPr>
        <w:spacing w:line="240" w:lineRule="auto"/>
        <w:jc w:val="both"/>
        <w:rPr>
          <w:rFonts w:ascii="Times New Roman" w:hAnsi="Times New Roman" w:cs="Times New Roman"/>
          <w:sz w:val="24"/>
          <w:szCs w:val="24"/>
          <w:lang w:val="en-US"/>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ODS 8 - Trabajo decente y crecimiento económico</w:t>
      </w:r>
    </w:p>
    <w:p w:rsidR="007C6E04" w:rsidRDefault="007C6E04" w:rsidP="007C6E04">
      <w:pPr>
        <w:spacing w:line="240" w:lineRule="auto"/>
        <w:jc w:val="both"/>
        <w:rPr>
          <w:rFonts w:ascii="Times New Roman" w:hAnsi="Times New Roman" w:cs="Times New Roman"/>
          <w:sz w:val="24"/>
          <w:szCs w:val="24"/>
        </w:rPr>
      </w:pPr>
      <w:r w:rsidRPr="00460431">
        <w:rPr>
          <w:rFonts w:ascii="Times New Roman" w:hAnsi="Times New Roman" w:cs="Times New Roman"/>
          <w:noProof/>
          <w:sz w:val="24"/>
          <w:szCs w:val="24"/>
          <w:lang w:eastAsia="es-ES"/>
        </w:rPr>
        <w:drawing>
          <wp:inline distT="0" distB="0" distL="0" distR="0" wp14:anchorId="61B720D6" wp14:editId="4973A774">
            <wp:extent cx="5731510" cy="3948986"/>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94898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460431">
        <w:rPr>
          <w:rFonts w:ascii="Times New Roman" w:hAnsi="Times New Roman" w:cs="Times New Roman"/>
          <w:noProof/>
          <w:sz w:val="24"/>
          <w:szCs w:val="24"/>
          <w:lang w:eastAsia="es-ES"/>
        </w:rPr>
        <w:drawing>
          <wp:inline distT="0" distB="0" distL="0" distR="0" wp14:anchorId="74EBF4B0" wp14:editId="1B170531">
            <wp:extent cx="5731510" cy="3162128"/>
            <wp:effectExtent l="0" t="0" r="2540" b="63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162128"/>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lastRenderedPageBreak/>
        <w:drawing>
          <wp:inline distT="0" distB="0" distL="0" distR="0" wp14:anchorId="5D2EE903" wp14:editId="6BAE0B7A">
            <wp:extent cx="5731510" cy="3948986"/>
            <wp:effectExtent l="0" t="0" r="254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394898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drawing>
          <wp:inline distT="0" distB="0" distL="0" distR="0" wp14:anchorId="0EFB3D09" wp14:editId="57614388">
            <wp:extent cx="5731510" cy="3170701"/>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17070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lastRenderedPageBreak/>
        <w:drawing>
          <wp:inline distT="0" distB="0" distL="0" distR="0" wp14:anchorId="49689A43" wp14:editId="4CF2DEB8">
            <wp:extent cx="5731510" cy="4968533"/>
            <wp:effectExtent l="0" t="0" r="2540" b="381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496853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drawing>
          <wp:inline distT="0" distB="0" distL="0" distR="0" wp14:anchorId="1C5725A4" wp14:editId="564BD487">
            <wp:extent cx="5731510" cy="3225811"/>
            <wp:effectExtent l="0" t="0" r="254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22581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lastRenderedPageBreak/>
        <w:drawing>
          <wp:inline distT="0" distB="0" distL="0" distR="0" wp14:anchorId="3625119D" wp14:editId="47219451">
            <wp:extent cx="5731510" cy="4330474"/>
            <wp:effectExtent l="0" t="0" r="254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4330474"/>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drawing>
          <wp:inline distT="0" distB="0" distL="0" distR="0" wp14:anchorId="6E43D0EC" wp14:editId="3AB2E459">
            <wp:extent cx="5731510" cy="3091709"/>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309170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lastRenderedPageBreak/>
        <w:drawing>
          <wp:inline distT="0" distB="0" distL="0" distR="0" wp14:anchorId="7BEEF27C" wp14:editId="18D97C2E">
            <wp:extent cx="5731510" cy="4441308"/>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4441308"/>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BB53ED">
        <w:rPr>
          <w:rFonts w:ascii="Times New Roman" w:hAnsi="Times New Roman" w:cs="Times New Roman"/>
          <w:noProof/>
          <w:sz w:val="24"/>
          <w:szCs w:val="24"/>
          <w:lang w:eastAsia="es-ES"/>
        </w:rPr>
        <w:drawing>
          <wp:inline distT="0" distB="0" distL="0" distR="0" wp14:anchorId="6A7DB15F" wp14:editId="730A8058">
            <wp:extent cx="5731510" cy="3201930"/>
            <wp:effectExtent l="0" t="0" r="254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201930"/>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F82BFD">
        <w:rPr>
          <w:rFonts w:ascii="Times New Roman" w:hAnsi="Times New Roman" w:cs="Times New Roman"/>
          <w:sz w:val="24"/>
          <w:szCs w:val="24"/>
        </w:rPr>
        <w:lastRenderedPageBreak/>
        <w:t>ODS 10 - Reducción de las desigualdades</w:t>
      </w:r>
      <w:r>
        <w:rPr>
          <w:rFonts w:ascii="Times New Roman" w:hAnsi="Times New Roman" w:cs="Times New Roman"/>
          <w:sz w:val="24"/>
          <w:szCs w:val="24"/>
        </w:rPr>
        <w:t xml:space="preserve"> </w:t>
      </w:r>
    </w:p>
    <w:p w:rsidR="007C6E04" w:rsidRDefault="007C6E04" w:rsidP="007C6E04">
      <w:pPr>
        <w:spacing w:line="240" w:lineRule="auto"/>
        <w:jc w:val="both"/>
        <w:rPr>
          <w:rFonts w:ascii="Times New Roman" w:hAnsi="Times New Roman" w:cs="Times New Roman"/>
          <w:sz w:val="24"/>
          <w:szCs w:val="24"/>
        </w:rPr>
      </w:pPr>
      <w:r w:rsidRPr="00460431">
        <w:rPr>
          <w:rFonts w:ascii="Times New Roman" w:hAnsi="Times New Roman" w:cs="Times New Roman"/>
          <w:noProof/>
          <w:sz w:val="24"/>
          <w:szCs w:val="24"/>
          <w:lang w:eastAsia="es-ES"/>
        </w:rPr>
        <w:drawing>
          <wp:inline distT="0" distB="0" distL="0" distR="0" wp14:anchorId="74EAB351" wp14:editId="6AEE144C">
            <wp:extent cx="5731510" cy="1672303"/>
            <wp:effectExtent l="0" t="0" r="2540" b="444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167230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764EA4">
        <w:rPr>
          <w:rFonts w:ascii="Times New Roman" w:hAnsi="Times New Roman" w:cs="Times New Roman"/>
          <w:noProof/>
          <w:sz w:val="24"/>
          <w:szCs w:val="24"/>
          <w:lang w:eastAsia="es-ES"/>
        </w:rPr>
        <w:drawing>
          <wp:inline distT="0" distB="0" distL="0" distR="0" wp14:anchorId="4A8D9AC6" wp14:editId="35777ED0">
            <wp:extent cx="5731510" cy="2723692"/>
            <wp:effectExtent l="0" t="0" r="254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272369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764EA4">
        <w:rPr>
          <w:rFonts w:ascii="Times New Roman" w:hAnsi="Times New Roman" w:cs="Times New Roman"/>
          <w:noProof/>
          <w:sz w:val="24"/>
          <w:szCs w:val="24"/>
          <w:lang w:eastAsia="es-ES"/>
        </w:rPr>
        <w:drawing>
          <wp:inline distT="0" distB="0" distL="0" distR="0" wp14:anchorId="4448C615" wp14:editId="36E3E946">
            <wp:extent cx="5731510" cy="3132736"/>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132736"/>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764EA4">
        <w:rPr>
          <w:rFonts w:ascii="Times New Roman" w:hAnsi="Times New Roman" w:cs="Times New Roman"/>
          <w:noProof/>
          <w:sz w:val="24"/>
          <w:szCs w:val="24"/>
          <w:lang w:eastAsia="es-ES"/>
        </w:rPr>
        <w:lastRenderedPageBreak/>
        <w:drawing>
          <wp:inline distT="0" distB="0" distL="0" distR="0" wp14:anchorId="6078ED82" wp14:editId="1A3C6E38">
            <wp:extent cx="5732798" cy="2667000"/>
            <wp:effectExtent l="0" t="0" r="127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66640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764EA4">
        <w:rPr>
          <w:rFonts w:ascii="Times New Roman" w:hAnsi="Times New Roman" w:cs="Times New Roman"/>
          <w:noProof/>
          <w:sz w:val="24"/>
          <w:szCs w:val="24"/>
          <w:lang w:eastAsia="es-ES"/>
        </w:rPr>
        <w:drawing>
          <wp:inline distT="0" distB="0" distL="0" distR="0" wp14:anchorId="1B5D1397" wp14:editId="5CC55900">
            <wp:extent cx="5727700" cy="3143250"/>
            <wp:effectExtent l="0" t="0" r="635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314534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E61651">
        <w:rPr>
          <w:rFonts w:ascii="Times New Roman" w:hAnsi="Times New Roman" w:cs="Times New Roman"/>
          <w:noProof/>
          <w:sz w:val="24"/>
          <w:szCs w:val="24"/>
          <w:lang w:eastAsia="es-ES"/>
        </w:rPr>
        <w:drawing>
          <wp:inline distT="0" distB="0" distL="0" distR="0" wp14:anchorId="19F44A57" wp14:editId="4BD4B050">
            <wp:extent cx="5729224" cy="2705100"/>
            <wp:effectExtent l="0" t="0" r="508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70617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E61651">
        <w:rPr>
          <w:rFonts w:ascii="Times New Roman" w:hAnsi="Times New Roman" w:cs="Times New Roman"/>
          <w:noProof/>
          <w:sz w:val="24"/>
          <w:szCs w:val="24"/>
          <w:lang w:eastAsia="es-ES"/>
        </w:rPr>
        <w:lastRenderedPageBreak/>
        <w:drawing>
          <wp:inline distT="0" distB="0" distL="0" distR="0" wp14:anchorId="397CDC8E" wp14:editId="06261838">
            <wp:extent cx="5721350" cy="13970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139948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E61651">
        <w:rPr>
          <w:rFonts w:ascii="Times New Roman" w:hAnsi="Times New Roman" w:cs="Times New Roman"/>
          <w:noProof/>
          <w:sz w:val="24"/>
          <w:szCs w:val="24"/>
          <w:lang w:eastAsia="es-ES"/>
        </w:rPr>
        <w:drawing>
          <wp:inline distT="0" distB="0" distL="0" distR="0" wp14:anchorId="7E7BCDA5" wp14:editId="6E8D20B5">
            <wp:extent cx="5731510" cy="3364813"/>
            <wp:effectExtent l="0" t="0" r="2540" b="762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36481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E61651">
        <w:rPr>
          <w:rFonts w:ascii="Times New Roman" w:hAnsi="Times New Roman" w:cs="Times New Roman"/>
          <w:noProof/>
          <w:sz w:val="24"/>
          <w:szCs w:val="24"/>
          <w:lang w:eastAsia="es-ES"/>
        </w:rPr>
        <w:drawing>
          <wp:inline distT="0" distB="0" distL="0" distR="0" wp14:anchorId="372CC401" wp14:editId="4B6824C4">
            <wp:extent cx="5729211" cy="3644900"/>
            <wp:effectExtent l="0" t="0" r="508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64636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6193F">
        <w:rPr>
          <w:rFonts w:ascii="Times New Roman" w:hAnsi="Times New Roman" w:cs="Times New Roman"/>
          <w:noProof/>
          <w:sz w:val="24"/>
          <w:szCs w:val="24"/>
          <w:lang w:eastAsia="es-ES"/>
        </w:rPr>
        <w:lastRenderedPageBreak/>
        <w:drawing>
          <wp:inline distT="0" distB="0" distL="0" distR="0" wp14:anchorId="75575B33" wp14:editId="3352B83A">
            <wp:extent cx="5734050" cy="24574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2456361"/>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6193F">
        <w:rPr>
          <w:rFonts w:ascii="Times New Roman" w:hAnsi="Times New Roman" w:cs="Times New Roman"/>
          <w:noProof/>
          <w:sz w:val="24"/>
          <w:szCs w:val="24"/>
          <w:lang w:eastAsia="es-ES"/>
        </w:rPr>
        <w:drawing>
          <wp:inline distT="0" distB="0" distL="0" distR="0" wp14:anchorId="077256ED" wp14:editId="487D6B02">
            <wp:extent cx="5727700" cy="332740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3329613"/>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6193F">
        <w:rPr>
          <w:rFonts w:ascii="Times New Roman" w:hAnsi="Times New Roman" w:cs="Times New Roman"/>
          <w:noProof/>
          <w:sz w:val="24"/>
          <w:szCs w:val="24"/>
          <w:lang w:eastAsia="es-ES"/>
        </w:rPr>
        <w:drawing>
          <wp:inline distT="0" distB="0" distL="0" distR="0" wp14:anchorId="0E7F0C50" wp14:editId="3B0811B5">
            <wp:extent cx="5727192" cy="273050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2732558"/>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6193F">
        <w:rPr>
          <w:rFonts w:ascii="Times New Roman" w:hAnsi="Times New Roman" w:cs="Times New Roman"/>
          <w:noProof/>
          <w:sz w:val="24"/>
          <w:szCs w:val="24"/>
          <w:lang w:eastAsia="es-ES"/>
        </w:rPr>
        <w:lastRenderedPageBreak/>
        <w:drawing>
          <wp:inline distT="0" distB="0" distL="0" distR="0" wp14:anchorId="3F9C32E2" wp14:editId="6658D1AE">
            <wp:extent cx="5731510" cy="4629909"/>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629909"/>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r w:rsidRPr="0086193F">
        <w:rPr>
          <w:rFonts w:ascii="Times New Roman" w:hAnsi="Times New Roman" w:cs="Times New Roman"/>
          <w:noProof/>
          <w:sz w:val="24"/>
          <w:szCs w:val="24"/>
          <w:lang w:eastAsia="es-ES"/>
        </w:rPr>
        <w:drawing>
          <wp:inline distT="0" distB="0" distL="0" distR="0" wp14:anchorId="7870E849" wp14:editId="1E8C1DD3">
            <wp:extent cx="5731510" cy="3136410"/>
            <wp:effectExtent l="0" t="0" r="2540" b="698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136410"/>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86193F">
        <w:rPr>
          <w:rFonts w:ascii="Times New Roman" w:hAnsi="Times New Roman" w:cs="Times New Roman"/>
          <w:noProof/>
          <w:sz w:val="24"/>
          <w:szCs w:val="24"/>
          <w:lang w:eastAsia="es-ES"/>
        </w:rPr>
        <w:drawing>
          <wp:inline distT="0" distB="0" distL="0" distR="0" wp14:anchorId="0060F150" wp14:editId="22162C62">
            <wp:extent cx="5731510" cy="3017616"/>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017616"/>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6020EC">
        <w:rPr>
          <w:rFonts w:ascii="Times New Roman" w:hAnsi="Times New Roman" w:cs="Times New Roman"/>
          <w:noProof/>
          <w:sz w:val="24"/>
          <w:szCs w:val="24"/>
          <w:lang w:eastAsia="es-ES"/>
        </w:rPr>
        <w:drawing>
          <wp:inline distT="0" distB="0" distL="0" distR="0" wp14:anchorId="47B1666C" wp14:editId="7BB315A5">
            <wp:extent cx="5731510" cy="3231322"/>
            <wp:effectExtent l="0" t="0" r="2540" b="762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231322"/>
                    </a:xfrm>
                    <a:prstGeom prst="rect">
                      <a:avLst/>
                    </a:prstGeom>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Default="00FB4726" w:rsidP="007C6E0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C6E04" w:rsidRPr="00493359">
        <w:rPr>
          <w:rFonts w:ascii="Times New Roman" w:hAnsi="Times New Roman" w:cs="Times New Roman"/>
          <w:b/>
          <w:sz w:val="24"/>
          <w:szCs w:val="24"/>
        </w:rPr>
        <w:t>Banco Central Europeo - Statistical Data Warehouse</w:t>
      </w:r>
    </w:p>
    <w:p w:rsidR="007C6E04" w:rsidRPr="00493359" w:rsidRDefault="007C6E04" w:rsidP="007C6E04">
      <w:pPr>
        <w:spacing w:line="240" w:lineRule="auto"/>
        <w:jc w:val="both"/>
        <w:rPr>
          <w:rFonts w:ascii="Times New Roman" w:hAnsi="Times New Roman" w:cs="Times New Roman"/>
          <w:sz w:val="24"/>
          <w:szCs w:val="24"/>
        </w:rPr>
      </w:pPr>
      <w:r w:rsidRPr="00493359">
        <w:rPr>
          <w:rFonts w:ascii="Times New Roman" w:hAnsi="Times New Roman" w:cs="Times New Roman"/>
          <w:sz w:val="24"/>
          <w:szCs w:val="24"/>
        </w:rPr>
        <w:t>Indicadores seleccionados para la zona del euro</w:t>
      </w:r>
      <w:r>
        <w:rPr>
          <w:rFonts w:ascii="Times New Roman" w:hAnsi="Times New Roman" w:cs="Times New Roman"/>
          <w:sz w:val="24"/>
          <w:szCs w:val="24"/>
        </w:rPr>
        <w:t xml:space="preserve"> (datos disponibles al 24/5/23)</w:t>
      </w:r>
    </w:p>
    <w:p w:rsidR="007C6E04" w:rsidRDefault="007C6E04" w:rsidP="007C6E04">
      <w:pPr>
        <w:spacing w:line="240" w:lineRule="auto"/>
        <w:jc w:val="both"/>
        <w:rPr>
          <w:rFonts w:ascii="Times New Roman" w:hAnsi="Times New Roman" w:cs="Times New Roman"/>
          <w:sz w:val="24"/>
          <w:szCs w:val="24"/>
        </w:rPr>
      </w:pPr>
      <w:r w:rsidRPr="00823FAD">
        <w:rPr>
          <w:rFonts w:ascii="Times New Roman" w:hAnsi="Times New Roman" w:cs="Times New Roman"/>
          <w:noProof/>
          <w:sz w:val="24"/>
          <w:szCs w:val="24"/>
          <w:lang w:eastAsia="es-ES"/>
        </w:rPr>
        <w:drawing>
          <wp:inline distT="0" distB="0" distL="0" distR="0" wp14:anchorId="20526809" wp14:editId="146DD5F2">
            <wp:extent cx="5731510" cy="3606075"/>
            <wp:effectExtent l="0" t="0" r="254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606075"/>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823FAD">
        <w:rPr>
          <w:rFonts w:ascii="Times New Roman" w:hAnsi="Times New Roman" w:cs="Times New Roman"/>
          <w:noProof/>
          <w:sz w:val="24"/>
          <w:szCs w:val="24"/>
          <w:lang w:eastAsia="es-ES"/>
        </w:rPr>
        <w:drawing>
          <wp:inline distT="0" distB="0" distL="0" distR="0" wp14:anchorId="54B572FD" wp14:editId="50093817">
            <wp:extent cx="5731510" cy="3463400"/>
            <wp:effectExtent l="0" t="0" r="2540" b="381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3463400"/>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493359">
        <w:rPr>
          <w:rFonts w:ascii="Times New Roman" w:hAnsi="Times New Roman" w:cs="Times New Roman"/>
          <w:noProof/>
          <w:sz w:val="24"/>
          <w:szCs w:val="24"/>
          <w:lang w:eastAsia="es-ES"/>
        </w:rPr>
        <w:drawing>
          <wp:inline distT="0" distB="0" distL="0" distR="0" wp14:anchorId="0CB99E94" wp14:editId="48054D89">
            <wp:extent cx="5731510" cy="3376447"/>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376447"/>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03321C">
        <w:rPr>
          <w:rFonts w:ascii="Times New Roman" w:hAnsi="Times New Roman" w:cs="Times New Roman"/>
          <w:noProof/>
          <w:sz w:val="24"/>
          <w:szCs w:val="24"/>
          <w:lang w:eastAsia="es-ES"/>
        </w:rPr>
        <w:drawing>
          <wp:inline distT="0" distB="0" distL="0" distR="0" wp14:anchorId="0E7C5C56" wp14:editId="53EF015E">
            <wp:extent cx="5731510" cy="3371549"/>
            <wp:effectExtent l="0" t="0" r="2540" b="63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371549"/>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823FAD">
        <w:rPr>
          <w:rFonts w:ascii="Times New Roman" w:hAnsi="Times New Roman" w:cs="Times New Roman"/>
          <w:noProof/>
          <w:sz w:val="24"/>
          <w:szCs w:val="24"/>
          <w:lang w:eastAsia="es-ES"/>
        </w:rPr>
        <w:drawing>
          <wp:inline distT="0" distB="0" distL="0" distR="0" wp14:anchorId="131460D9" wp14:editId="0FD41550">
            <wp:extent cx="5731510" cy="3372161"/>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372161"/>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03321C">
        <w:rPr>
          <w:rFonts w:ascii="Times New Roman" w:hAnsi="Times New Roman" w:cs="Times New Roman"/>
          <w:noProof/>
          <w:sz w:val="24"/>
          <w:szCs w:val="24"/>
          <w:lang w:eastAsia="es-ES"/>
        </w:rPr>
        <w:drawing>
          <wp:inline distT="0" distB="0" distL="0" distR="0" wp14:anchorId="5642658B" wp14:editId="4C3E6A46">
            <wp:extent cx="5731510" cy="3397267"/>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397267"/>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03321C">
        <w:rPr>
          <w:rFonts w:ascii="Times New Roman" w:hAnsi="Times New Roman" w:cs="Times New Roman"/>
          <w:noProof/>
          <w:sz w:val="24"/>
          <w:szCs w:val="24"/>
          <w:lang w:eastAsia="es-ES"/>
        </w:rPr>
        <w:drawing>
          <wp:inline distT="0" distB="0" distL="0" distR="0" wp14:anchorId="117FE509" wp14:editId="7282496E">
            <wp:extent cx="5731510" cy="3579744"/>
            <wp:effectExtent l="0" t="0" r="2540" b="190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579744"/>
                    </a:xfrm>
                    <a:prstGeom prst="rect">
                      <a:avLst/>
                    </a:prstGeom>
                  </pic:spPr>
                </pic:pic>
              </a:graphicData>
            </a:graphic>
          </wp:inline>
        </w:drawing>
      </w:r>
    </w:p>
    <w:p w:rsidR="00FB4726" w:rsidRDefault="00FB4726" w:rsidP="007C6E04">
      <w:pPr>
        <w:spacing w:line="240" w:lineRule="auto"/>
        <w:jc w:val="both"/>
        <w:rPr>
          <w:rFonts w:ascii="Times New Roman" w:hAnsi="Times New Roman" w:cs="Times New Roman"/>
          <w:sz w:val="24"/>
          <w:szCs w:val="24"/>
        </w:rPr>
      </w:pPr>
    </w:p>
    <w:p w:rsidR="00FB4726" w:rsidRDefault="00FB4726"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r w:rsidRPr="0003321C">
        <w:rPr>
          <w:rFonts w:ascii="Times New Roman" w:hAnsi="Times New Roman" w:cs="Times New Roman"/>
          <w:noProof/>
          <w:sz w:val="24"/>
          <w:szCs w:val="24"/>
          <w:lang w:eastAsia="es-ES"/>
        </w:rPr>
        <w:drawing>
          <wp:inline distT="0" distB="0" distL="0" distR="0" wp14:anchorId="0B4805E3" wp14:editId="651691EE">
            <wp:extent cx="5731510" cy="3709561"/>
            <wp:effectExtent l="0" t="0" r="2540" b="571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709561"/>
                    </a:xfrm>
                    <a:prstGeom prst="rect">
                      <a:avLst/>
                    </a:prstGeom>
                  </pic:spPr>
                </pic:pic>
              </a:graphicData>
            </a:graphic>
          </wp:inline>
        </w:drawing>
      </w:r>
    </w:p>
    <w:p w:rsidR="007C6E04" w:rsidRDefault="00FB4726" w:rsidP="007C6E04">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007C6E04" w:rsidRPr="00493359">
        <w:rPr>
          <w:rFonts w:ascii="Times New Roman" w:hAnsi="Times New Roman" w:cs="Times New Roman"/>
          <w:b/>
          <w:sz w:val="24"/>
          <w:szCs w:val="24"/>
        </w:rPr>
        <w:t>Banco Central Euro</w:t>
      </w:r>
      <w:r w:rsidR="007C6E04">
        <w:rPr>
          <w:rFonts w:ascii="Times New Roman" w:hAnsi="Times New Roman" w:cs="Times New Roman"/>
          <w:b/>
          <w:sz w:val="24"/>
          <w:szCs w:val="24"/>
        </w:rPr>
        <w:t>peo - Informe Anual 2020</w:t>
      </w:r>
    </w:p>
    <w:p w:rsidR="007C6E04" w:rsidRDefault="007C6E04" w:rsidP="007C6E04">
      <w:pPr>
        <w:spacing w:line="240" w:lineRule="auto"/>
        <w:jc w:val="both"/>
        <w:rPr>
          <w:rFonts w:ascii="Times New Roman" w:hAnsi="Times New Roman" w:cs="Times New Roman"/>
          <w:sz w:val="24"/>
          <w:szCs w:val="24"/>
        </w:rPr>
      </w:pPr>
      <w:r w:rsidRPr="00493359">
        <w:rPr>
          <w:rFonts w:ascii="Times New Roman" w:hAnsi="Times New Roman" w:cs="Times New Roman"/>
          <w:sz w:val="24"/>
          <w:szCs w:val="24"/>
        </w:rPr>
        <w:t>Indicadores seleccionados para la zona del euro</w:t>
      </w:r>
      <w:r w:rsidR="00FB4726">
        <w:rPr>
          <w:rFonts w:ascii="Times New Roman" w:hAnsi="Times New Roman" w:cs="Times New Roman"/>
          <w:sz w:val="24"/>
          <w:szCs w:val="24"/>
        </w:rPr>
        <w:t xml:space="preserve"> (información utilizada para ampliar series</w:t>
      </w:r>
      <w:r>
        <w:rPr>
          <w:rFonts w:ascii="Times New Roman" w:hAnsi="Times New Roman" w:cs="Times New Roman"/>
          <w:sz w:val="24"/>
          <w:szCs w:val="24"/>
        </w:rPr>
        <w:t>)</w:t>
      </w:r>
    </w:p>
    <w:p w:rsidR="007C6E04" w:rsidRPr="00995F11" w:rsidRDefault="007C6E04" w:rsidP="007C6E04">
      <w:pPr>
        <w:spacing w:line="240" w:lineRule="auto"/>
        <w:jc w:val="both"/>
        <w:rPr>
          <w:rFonts w:ascii="Times New Roman" w:hAnsi="Times New Roman" w:cs="Times New Roman"/>
          <w:b/>
          <w:sz w:val="24"/>
          <w:szCs w:val="24"/>
        </w:rPr>
      </w:pPr>
      <w:r w:rsidRPr="00995F11">
        <w:rPr>
          <w:rFonts w:ascii="Times New Roman" w:hAnsi="Times New Roman" w:cs="Times New Roman"/>
          <w:b/>
          <w:sz w:val="24"/>
          <w:szCs w:val="24"/>
        </w:rPr>
        <w:t>Gráfico 14 - M3 y préstamos al sector privado</w:t>
      </w:r>
    </w:p>
    <w:p w:rsidR="007C6E04" w:rsidRDefault="007C6E04" w:rsidP="007C6E04">
      <w:pPr>
        <w:spacing w:line="240" w:lineRule="auto"/>
        <w:jc w:val="both"/>
        <w:rPr>
          <w:rFonts w:ascii="Times New Roman" w:hAnsi="Times New Roman" w:cs="Times New Roman"/>
          <w:sz w:val="24"/>
          <w:szCs w:val="24"/>
        </w:rPr>
      </w:pPr>
      <w:r>
        <w:rPr>
          <w:noProof/>
          <w:lang w:eastAsia="es-ES"/>
        </w:rPr>
        <w:drawing>
          <wp:inline distT="0" distB="0" distL="0" distR="0" wp14:anchorId="2DE947B4" wp14:editId="6970A1F9">
            <wp:extent cx="5731510" cy="2720927"/>
            <wp:effectExtent l="0" t="0" r="2540" b="0"/>
            <wp:docPr id="67" name="Imagen 67" descr="https://www.ecb.europa.eu/pub/annual/html/ar2020/ar2020.es_img19.png?4e45364ff9b4ef66b12902aeb21ea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cb.europa.eu/pub/annual/html/ar2020/ar2020.es_img19.png?4e45364ff9b4ef66b12902aeb21ea40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1510" cy="2720927"/>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pStyle w:val="Ttulo4"/>
        <w:spacing w:before="0" w:after="75" w:line="388" w:lineRule="atLeast"/>
        <w:textAlignment w:val="baseline"/>
        <w:rPr>
          <w:rFonts w:ascii="Times New Roman" w:hAnsi="Times New Roman" w:cs="Times New Roman"/>
          <w:i w:val="0"/>
          <w:color w:val="auto"/>
          <w:sz w:val="24"/>
          <w:szCs w:val="24"/>
        </w:rPr>
      </w:pPr>
      <w:r w:rsidRPr="00995F11">
        <w:rPr>
          <w:rFonts w:ascii="Times New Roman" w:hAnsi="Times New Roman" w:cs="Times New Roman"/>
          <w:i w:val="0"/>
          <w:color w:val="auto"/>
          <w:sz w:val="24"/>
          <w:szCs w:val="24"/>
        </w:rPr>
        <w:t>Gráfico 18</w:t>
      </w:r>
      <w:r>
        <w:rPr>
          <w:rFonts w:ascii="Times New Roman" w:hAnsi="Times New Roman" w:cs="Times New Roman"/>
          <w:i w:val="0"/>
          <w:color w:val="auto"/>
          <w:sz w:val="24"/>
          <w:szCs w:val="24"/>
        </w:rPr>
        <w:t xml:space="preserve"> - </w:t>
      </w:r>
      <w:r w:rsidRPr="00995F11">
        <w:rPr>
          <w:rFonts w:ascii="Times New Roman" w:hAnsi="Times New Roman" w:cs="Times New Roman"/>
          <w:i w:val="0"/>
          <w:color w:val="auto"/>
          <w:sz w:val="24"/>
          <w:szCs w:val="24"/>
        </w:rPr>
        <w:t>Evolución del balance consolidado del Eurosistema</w:t>
      </w:r>
    </w:p>
    <w:p w:rsidR="007C6E04" w:rsidRPr="00995F11" w:rsidRDefault="007C6E04" w:rsidP="007C6E04"/>
    <w:p w:rsidR="007C6E04" w:rsidRDefault="007C6E04" w:rsidP="007C6E04">
      <w:pPr>
        <w:spacing w:line="240" w:lineRule="auto"/>
        <w:jc w:val="both"/>
        <w:rPr>
          <w:rFonts w:ascii="Times New Roman" w:hAnsi="Times New Roman" w:cs="Times New Roman"/>
          <w:sz w:val="24"/>
          <w:szCs w:val="24"/>
        </w:rPr>
      </w:pPr>
      <w:r>
        <w:rPr>
          <w:noProof/>
          <w:lang w:eastAsia="es-ES"/>
        </w:rPr>
        <w:drawing>
          <wp:inline distT="0" distB="0" distL="0" distR="0" wp14:anchorId="2102C8A4" wp14:editId="02D806BC">
            <wp:extent cx="5731510" cy="3522105"/>
            <wp:effectExtent l="0" t="0" r="2540" b="0"/>
            <wp:docPr id="110" name="Imagen 110" descr="https://www.ecb.europa.eu/pub/annual/html/ar2020/ar2020.es_img25.png?7209a9f2ce19f8f14a0da3ad2ead96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cb.europa.eu/pub/annual/html/ar2020/ar2020.es_img25.png?7209a9f2ce19f8f14a0da3ad2ead96b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3522105"/>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sz w:val="24"/>
          <w:szCs w:val="24"/>
        </w:rPr>
      </w:pPr>
    </w:p>
    <w:p w:rsidR="007C6E04" w:rsidRDefault="007C6E04" w:rsidP="007C6E04">
      <w:pPr>
        <w:spacing w:line="240" w:lineRule="auto"/>
        <w:jc w:val="both"/>
        <w:rPr>
          <w:rFonts w:ascii="Times New Roman" w:hAnsi="Times New Roman" w:cs="Times New Roman"/>
          <w:sz w:val="24"/>
          <w:szCs w:val="24"/>
        </w:rPr>
      </w:pPr>
    </w:p>
    <w:p w:rsidR="007C6E04" w:rsidRPr="00A54166" w:rsidRDefault="007C6E04" w:rsidP="007C6E04">
      <w:pPr>
        <w:spacing w:line="240" w:lineRule="auto"/>
        <w:jc w:val="both"/>
        <w:rPr>
          <w:rFonts w:ascii="Times New Roman" w:hAnsi="Times New Roman" w:cs="Times New Roman"/>
          <w:b/>
          <w:sz w:val="24"/>
          <w:szCs w:val="24"/>
        </w:rPr>
      </w:pPr>
      <w:r w:rsidRPr="00A54166">
        <w:rPr>
          <w:rFonts w:ascii="Times New Roman" w:hAnsi="Times New Roman" w:cs="Times New Roman"/>
          <w:b/>
          <w:sz w:val="24"/>
          <w:szCs w:val="24"/>
        </w:rPr>
        <w:lastRenderedPageBreak/>
        <w:t>Gráfico 21 - Número e importe de los billetes en euros en circulación</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color w:val="FF0000"/>
          <w:sz w:val="24"/>
          <w:szCs w:val="24"/>
        </w:rPr>
      </w:pPr>
      <w:r>
        <w:rPr>
          <w:noProof/>
          <w:lang w:eastAsia="es-ES"/>
        </w:rPr>
        <w:drawing>
          <wp:inline distT="0" distB="0" distL="0" distR="0" wp14:anchorId="348714E4" wp14:editId="3D394A52">
            <wp:extent cx="5731510" cy="2730171"/>
            <wp:effectExtent l="0" t="0" r="0" b="0"/>
            <wp:docPr id="111" name="Imagen 111" descr="https://www.ecb.europa.eu/pub/annual/html/ar2020/ar2020.es_img35.png?c0c43d78e90e90e4dfbd3bf56478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ecb.europa.eu/pub/annual/html/ar2020/ar2020.es_img35.png?c0c43d78e90e90e4dfbd3bf56478354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2730171"/>
                    </a:xfrm>
                    <a:prstGeom prst="rect">
                      <a:avLst/>
                    </a:prstGeom>
                    <a:noFill/>
                    <a:ln>
                      <a:noFill/>
                    </a:ln>
                  </pic:spPr>
                </pic:pic>
              </a:graphicData>
            </a:graphic>
          </wp:inline>
        </w:drawing>
      </w:r>
    </w:p>
    <w:p w:rsidR="007C6E04" w:rsidRDefault="007C6E04" w:rsidP="007C6E04">
      <w:pPr>
        <w:spacing w:line="240" w:lineRule="auto"/>
        <w:jc w:val="both"/>
        <w:rPr>
          <w:rFonts w:ascii="Times New Roman" w:hAnsi="Times New Roman" w:cs="Times New Roman"/>
          <w:b/>
          <w:sz w:val="24"/>
          <w:szCs w:val="24"/>
        </w:rPr>
      </w:pPr>
      <w:r w:rsidRPr="00493359">
        <w:rPr>
          <w:rFonts w:ascii="Times New Roman" w:hAnsi="Times New Roman" w:cs="Times New Roman"/>
          <w:b/>
          <w:sz w:val="24"/>
          <w:szCs w:val="24"/>
        </w:rPr>
        <w:t>Banco Central Euro</w:t>
      </w:r>
      <w:r>
        <w:rPr>
          <w:rFonts w:ascii="Times New Roman" w:hAnsi="Times New Roman" w:cs="Times New Roman"/>
          <w:b/>
          <w:sz w:val="24"/>
          <w:szCs w:val="24"/>
        </w:rPr>
        <w:t>peo - Informe Anual 2010</w:t>
      </w:r>
    </w:p>
    <w:p w:rsidR="007C6E04" w:rsidRPr="00563794" w:rsidRDefault="007C6E04" w:rsidP="007C6E04">
      <w:pPr>
        <w:spacing w:line="240" w:lineRule="auto"/>
        <w:jc w:val="both"/>
        <w:rPr>
          <w:rFonts w:ascii="Times New Roman" w:hAnsi="Times New Roman" w:cs="Times New Roman"/>
          <w:sz w:val="24"/>
          <w:szCs w:val="24"/>
        </w:rPr>
      </w:pPr>
      <w:r w:rsidRPr="00493359">
        <w:rPr>
          <w:rFonts w:ascii="Times New Roman" w:hAnsi="Times New Roman" w:cs="Times New Roman"/>
          <w:sz w:val="24"/>
          <w:szCs w:val="24"/>
        </w:rPr>
        <w:t>Indicadores seleccionados para la zona del euro</w:t>
      </w:r>
      <w:r w:rsidR="00FB4726">
        <w:rPr>
          <w:rFonts w:ascii="Times New Roman" w:hAnsi="Times New Roman" w:cs="Times New Roman"/>
          <w:sz w:val="24"/>
          <w:szCs w:val="24"/>
        </w:rPr>
        <w:t xml:space="preserve"> (información utilizada para ampliar series)</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color w:val="FF0000"/>
          <w:sz w:val="24"/>
          <w:szCs w:val="24"/>
        </w:rPr>
      </w:pPr>
      <w:r w:rsidRPr="00563794">
        <w:rPr>
          <w:rFonts w:ascii="Times New Roman" w:hAnsi="Times New Roman" w:cs="Times New Roman"/>
          <w:noProof/>
          <w:color w:val="FF0000"/>
          <w:sz w:val="24"/>
          <w:szCs w:val="24"/>
          <w:lang w:eastAsia="es-ES"/>
        </w:rPr>
        <w:drawing>
          <wp:inline distT="0" distB="0" distL="0" distR="0" wp14:anchorId="59E4EDF3" wp14:editId="3E896C07">
            <wp:extent cx="2921000" cy="45148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923966" cy="4519435"/>
                    </a:xfrm>
                    <a:prstGeom prst="rect">
                      <a:avLst/>
                    </a:prstGeom>
                  </pic:spPr>
                </pic:pic>
              </a:graphicData>
            </a:graphic>
          </wp:inline>
        </w:drawing>
      </w:r>
      <w:r w:rsidRPr="00563794">
        <w:rPr>
          <w:rFonts w:ascii="Times New Roman" w:hAnsi="Times New Roman" w:cs="Times New Roman"/>
          <w:noProof/>
          <w:color w:val="FF0000"/>
          <w:sz w:val="24"/>
          <w:szCs w:val="24"/>
          <w:lang w:eastAsia="es-ES"/>
        </w:rPr>
        <w:drawing>
          <wp:inline distT="0" distB="0" distL="0" distR="0" wp14:anchorId="39021FD6" wp14:editId="218C1FAC">
            <wp:extent cx="2590800" cy="4527550"/>
            <wp:effectExtent l="0" t="0" r="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590800" cy="4527550"/>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color w:val="FF0000"/>
          <w:sz w:val="24"/>
          <w:szCs w:val="24"/>
        </w:rPr>
      </w:pPr>
      <w:r w:rsidRPr="00401007">
        <w:rPr>
          <w:rFonts w:ascii="Times New Roman" w:hAnsi="Times New Roman" w:cs="Times New Roman"/>
          <w:noProof/>
          <w:color w:val="FF0000"/>
          <w:sz w:val="24"/>
          <w:szCs w:val="24"/>
          <w:lang w:eastAsia="es-ES"/>
        </w:rPr>
        <w:lastRenderedPageBreak/>
        <w:drawing>
          <wp:inline distT="0" distB="0" distL="0" distR="0" wp14:anchorId="17A7D58A" wp14:editId="1CB7D09F">
            <wp:extent cx="5731510" cy="3623833"/>
            <wp:effectExtent l="0" t="0" r="254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623833"/>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9F154D">
        <w:rPr>
          <w:rFonts w:ascii="Times New Roman" w:hAnsi="Times New Roman" w:cs="Times New Roman"/>
          <w:b/>
          <w:sz w:val="24"/>
          <w:szCs w:val="24"/>
        </w:rPr>
        <w:t>Gráf</w:t>
      </w:r>
      <w:r>
        <w:rPr>
          <w:rFonts w:ascii="Times New Roman" w:hAnsi="Times New Roman" w:cs="Times New Roman"/>
          <w:b/>
          <w:sz w:val="24"/>
          <w:szCs w:val="24"/>
        </w:rPr>
        <w:t xml:space="preserve">ica estadística comparativa de </w:t>
      </w:r>
      <w:r w:rsidRPr="009F154D">
        <w:rPr>
          <w:rFonts w:ascii="Times New Roman" w:hAnsi="Times New Roman" w:cs="Times New Roman"/>
          <w:b/>
          <w:sz w:val="24"/>
          <w:szCs w:val="24"/>
        </w:rPr>
        <w:t>A</w:t>
      </w:r>
      <w:r>
        <w:rPr>
          <w:rFonts w:ascii="Times New Roman" w:hAnsi="Times New Roman" w:cs="Times New Roman"/>
          <w:b/>
          <w:sz w:val="24"/>
          <w:szCs w:val="24"/>
        </w:rPr>
        <w:t xml:space="preserve">gregados monetarios Zona Euro - M1 - M2 - Tasa de variación anual - </w:t>
      </w:r>
      <w:r w:rsidRPr="009F154D">
        <w:rPr>
          <w:rFonts w:ascii="Times New Roman" w:hAnsi="Times New Roman" w:cs="Times New Roman"/>
          <w:b/>
          <w:sz w:val="24"/>
          <w:szCs w:val="24"/>
        </w:rPr>
        <w:t>Representación lineal.</w:t>
      </w:r>
      <w:r>
        <w:rPr>
          <w:rFonts w:ascii="Times New Roman" w:hAnsi="Times New Roman" w:cs="Times New Roman"/>
          <w:b/>
          <w:sz w:val="24"/>
          <w:szCs w:val="24"/>
        </w:rPr>
        <w:t xml:space="preserve"> (</w:t>
      </w:r>
      <w:r w:rsidRPr="00595FFF">
        <w:rPr>
          <w:rFonts w:ascii="Times New Roman" w:hAnsi="Times New Roman" w:cs="Times New Roman"/>
          <w:b/>
          <w:sz w:val="24"/>
          <w:szCs w:val="24"/>
        </w:rPr>
        <w:t>temati</w:t>
      </w:r>
      <w:r>
        <w:rPr>
          <w:rFonts w:ascii="Times New Roman" w:hAnsi="Times New Roman" w:cs="Times New Roman"/>
          <w:b/>
          <w:sz w:val="24"/>
          <w:szCs w:val="24"/>
        </w:rPr>
        <w:t>cas.org/comparador-estadisticas)</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9F154D">
        <w:rPr>
          <w:rFonts w:ascii="Times New Roman" w:hAnsi="Times New Roman" w:cs="Times New Roman"/>
          <w:b/>
          <w:noProof/>
          <w:sz w:val="24"/>
          <w:szCs w:val="24"/>
          <w:lang w:eastAsia="es-ES"/>
        </w:rPr>
        <w:drawing>
          <wp:inline distT="0" distB="0" distL="0" distR="0" wp14:anchorId="52CB3429" wp14:editId="589CDEE9">
            <wp:extent cx="5731510" cy="4517851"/>
            <wp:effectExtent l="0" t="0" r="254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4517851"/>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9F154D">
        <w:rPr>
          <w:rFonts w:ascii="Times New Roman" w:hAnsi="Times New Roman" w:cs="Times New Roman"/>
          <w:b/>
          <w:noProof/>
          <w:sz w:val="24"/>
          <w:szCs w:val="24"/>
          <w:lang w:eastAsia="es-ES"/>
        </w:rPr>
        <w:lastRenderedPageBreak/>
        <w:drawing>
          <wp:inline distT="0" distB="0" distL="0" distR="0" wp14:anchorId="15207E91" wp14:editId="1AA44610">
            <wp:extent cx="5727700" cy="4102100"/>
            <wp:effectExtent l="0" t="0" r="635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4104829"/>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595FFF">
        <w:rPr>
          <w:rFonts w:ascii="Times New Roman" w:hAnsi="Times New Roman" w:cs="Times New Roman"/>
          <w:b/>
          <w:noProof/>
          <w:sz w:val="24"/>
          <w:szCs w:val="24"/>
          <w:lang w:eastAsia="es-ES"/>
        </w:rPr>
        <w:drawing>
          <wp:inline distT="0" distB="0" distL="0" distR="0" wp14:anchorId="2B208EEF" wp14:editId="1B18265E">
            <wp:extent cx="5733636" cy="4203700"/>
            <wp:effectExtent l="0" t="0" r="635"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4202141"/>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595FFF">
        <w:rPr>
          <w:rFonts w:ascii="Times New Roman" w:hAnsi="Times New Roman" w:cs="Times New Roman"/>
          <w:b/>
          <w:noProof/>
          <w:sz w:val="24"/>
          <w:szCs w:val="24"/>
          <w:lang w:eastAsia="es-ES"/>
        </w:rPr>
        <w:lastRenderedPageBreak/>
        <w:drawing>
          <wp:inline distT="0" distB="0" distL="0" distR="0" wp14:anchorId="088498D4" wp14:editId="61E7A4BA">
            <wp:extent cx="5731415" cy="3835400"/>
            <wp:effectExtent l="0" t="0" r="317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835463"/>
                    </a:xfrm>
                    <a:prstGeom prst="rect">
                      <a:avLst/>
                    </a:prstGeom>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sidRPr="00595FFF">
        <w:rPr>
          <w:rFonts w:ascii="Times New Roman" w:hAnsi="Times New Roman" w:cs="Times New Roman"/>
          <w:b/>
          <w:noProof/>
          <w:sz w:val="24"/>
          <w:szCs w:val="24"/>
          <w:lang w:eastAsia="es-ES"/>
        </w:rPr>
        <w:drawing>
          <wp:inline distT="0" distB="0" distL="0" distR="0" wp14:anchorId="0EA757C1" wp14:editId="44DE34F8">
            <wp:extent cx="5731510" cy="3249080"/>
            <wp:effectExtent l="0" t="0" r="2540" b="889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249080"/>
                    </a:xfrm>
                    <a:prstGeom prst="rect">
                      <a:avLst/>
                    </a:prstGeom>
                  </pic:spPr>
                </pic:pic>
              </a:graphicData>
            </a:graphic>
          </wp:inline>
        </w:drawing>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43261">
        <w:rPr>
          <w:rFonts w:ascii="Times New Roman" w:hAnsi="Times New Roman" w:cs="Times New Roman"/>
          <w:sz w:val="24"/>
          <w:szCs w:val="24"/>
          <w:u w:val="single"/>
        </w:rPr>
        <w:t>El tsunami monetario del BCE: su balance es 240 veces mayor que al comienzo de la Eurozona</w:t>
      </w:r>
      <w:r>
        <w:rPr>
          <w:rFonts w:ascii="Times New Roman" w:hAnsi="Times New Roman" w:cs="Times New Roman"/>
          <w:sz w:val="24"/>
          <w:szCs w:val="24"/>
        </w:rPr>
        <w:t xml:space="preserve"> (Libertad Digital - </w:t>
      </w:r>
      <w:r w:rsidRPr="00543261">
        <w:rPr>
          <w:rFonts w:ascii="Times New Roman" w:hAnsi="Times New Roman" w:cs="Times New Roman"/>
          <w:b/>
          <w:sz w:val="24"/>
          <w:szCs w:val="24"/>
        </w:rPr>
        <w:t>14/4/22</w:t>
      </w:r>
      <w:r>
        <w:rPr>
          <w:rFonts w:ascii="Times New Roman" w:hAnsi="Times New Roman" w:cs="Times New Roman"/>
          <w:sz w:val="24"/>
          <w:szCs w:val="24"/>
        </w:rPr>
        <w:t>)</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Un vistazo a los excesos que han terminado causando la crisis de inflación.</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43261">
        <w:rPr>
          <w:rFonts w:ascii="Times New Roman" w:hAnsi="Times New Roman" w:cs="Times New Roman"/>
          <w:sz w:val="24"/>
          <w:szCs w:val="24"/>
        </w:rPr>
        <w:t>Diego Sánchez de la Cruz</w:t>
      </w:r>
      <w:r>
        <w:rPr>
          <w:rFonts w:ascii="Times New Roman" w:hAnsi="Times New Roman" w:cs="Times New Roman"/>
          <w:sz w:val="24"/>
          <w:szCs w:val="24"/>
        </w:rPr>
        <w:t>)</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lastRenderedPageBreak/>
        <w:t>El Instituto Internacional para la Investigación Monetaria, centro adscrito a la Universidad de Buckingham que avanzó en 2020 la crisis inflacionista de 2022, ha producido un interesante informe en el que analiza la evolución de la masa monetaria (M3) en las principales economías de Occidente, con la mirada puesta en determinar los factores que nos han conducido al actual escenario.</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 xml:space="preserve">Entre 2016 y 2018, la masa monetaria creció un 12,4% en Estados Unidos, un 14,1% en la Eurozona, un 15,8% en Reino Unido y un 8,8% en Japón. Por lo tanto, solo el área monetaria nipona exhibió tasas de crecimiento algo más moderadas, mientras que el resto de casos analizados exhiben una clara tendencia expansiva en un periodo en el que no había ni pandemias, ni recesiones, ni </w:t>
      </w:r>
      <w:r>
        <w:rPr>
          <w:rFonts w:ascii="Times New Roman" w:hAnsi="Times New Roman" w:cs="Times New Roman"/>
          <w:sz w:val="24"/>
          <w:szCs w:val="24"/>
        </w:rPr>
        <w:t>crisis financieras, ni guerras.</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Si a continuación evaluamos el periodo comprendido entre 2019 y 2021, la tasa de crecimiento de la masa monetaria arroja un crecimiento acumulado del 45% en Estados Unidos, del 25,2% en la Eurozona, del 26% en Reino Unido y del 13,9% en Japón. El dato para el país norteamericano más que triplica los niveles observados en el trienio anterior, mientras que la Eurozona y Reino Unido presentan aumentos algo menos acusados, pero notablemente mayo</w:t>
      </w:r>
      <w:r>
        <w:rPr>
          <w:rFonts w:ascii="Times New Roman" w:hAnsi="Times New Roman" w:cs="Times New Roman"/>
          <w:sz w:val="24"/>
          <w:szCs w:val="24"/>
        </w:rPr>
        <w:t>res que en el periodo anterior.</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En términos anuales, la tasa de crecimiento de la masa monetaria para Estados Unidos saltó del 4% entre 2016 y 2018 al 13,2% entre 2019 y 2021. Para la Eurozona, este mismo indicador subió del 4,5% al 7,8% a lo largo de los dos trienios estudiados. En el caso de Reino Unido, el crecimiento fue del 5% al 8%. Por último, Japón experimen</w:t>
      </w:r>
      <w:r>
        <w:rPr>
          <w:rFonts w:ascii="Times New Roman" w:hAnsi="Times New Roman" w:cs="Times New Roman"/>
          <w:sz w:val="24"/>
          <w:szCs w:val="24"/>
        </w:rPr>
        <w:t>tó un aumento del 2,8% al 4,4%.</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El ‘tsunami’ monetario del BCE</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En clave europea, el balance del BCE es ahora 240 veces mayor que al comienzo de la Eurozona, en 1999, y 50 veces mayor que al final de 2007, cuando estalla la Gran Recesión. En paralelo, la financiación ofrecida a entidades financieras, que a priori debería darse solamente cuando se den problemas puntuales de liquidez, se ha multiplicado por doce desde 1999 y por seis desde la quiebra de Lehman Brothers.</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1BA2EE3B" wp14:editId="549A02A2">
            <wp:extent cx="5734050" cy="3003550"/>
            <wp:effectExtent l="0" t="0" r="0" b="6350"/>
            <wp:docPr id="122" name="Imagen 122" descr="https://s.libertaddigital.com/2022/04/09/balance-b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22/04/09/balance-bce.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4050" cy="3003550"/>
                    </a:xfrm>
                    <a:prstGeom prst="rect">
                      <a:avLst/>
                    </a:prstGeom>
                    <a:noFill/>
                    <a:ln>
                      <a:noFill/>
                    </a:ln>
                  </pic:spPr>
                </pic:pic>
              </a:graphicData>
            </a:graphic>
          </wp:inline>
        </w:drawing>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lastRenderedPageBreak/>
        <w:t>La deuda, correa transmisora</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Para un país como España, cuya política en este campo depende del Banco Central Europeo, la única fórmula capaz de moderar el efecto de la expansión monetaria es minimizar malas prácticas como el recurso sistemático al endeudamiento. En este sentido, no podemos obviar que el gobierno de Pedro Sánchez ha aumentado las obligaciones del Tesoro en más de 230.000 millones de euros, monto que ha sido asumido casi en su totalidad por parte del Banco Central Europeo, a través de su</w:t>
      </w:r>
      <w:r>
        <w:rPr>
          <w:rFonts w:ascii="Times New Roman" w:hAnsi="Times New Roman" w:cs="Times New Roman"/>
          <w:sz w:val="24"/>
          <w:szCs w:val="24"/>
        </w:rPr>
        <w:t xml:space="preserve"> programa de compra de activos.</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En la medida en que el grueso del défi</w:t>
      </w:r>
      <w:r w:rsidR="000C04C5">
        <w:rPr>
          <w:rFonts w:ascii="Times New Roman" w:hAnsi="Times New Roman" w:cs="Times New Roman"/>
          <w:sz w:val="24"/>
          <w:szCs w:val="24"/>
        </w:rPr>
        <w:t>cit se “monetiza”</w:t>
      </w:r>
      <w:r w:rsidRPr="00543261">
        <w:rPr>
          <w:rFonts w:ascii="Times New Roman" w:hAnsi="Times New Roman" w:cs="Times New Roman"/>
          <w:sz w:val="24"/>
          <w:szCs w:val="24"/>
        </w:rPr>
        <w:t>, la economía termina operando con niveles artificiales de gasto público, que no solo se apoyan en la obtención de recursos tributarios</w:t>
      </w:r>
      <w:r w:rsidR="000C04C5">
        <w:rPr>
          <w:rFonts w:ascii="Times New Roman" w:hAnsi="Times New Roman" w:cs="Times New Roman"/>
          <w:sz w:val="24"/>
          <w:szCs w:val="24"/>
        </w:rPr>
        <w:t xml:space="preserve"> sino que también beben de esa “</w:t>
      </w:r>
      <w:r w:rsidR="00EB72ED">
        <w:rPr>
          <w:rFonts w:ascii="Times New Roman" w:hAnsi="Times New Roman" w:cs="Times New Roman"/>
          <w:sz w:val="24"/>
          <w:szCs w:val="24"/>
        </w:rPr>
        <w:t>monetización”</w:t>
      </w:r>
      <w:r w:rsidRPr="00543261">
        <w:rPr>
          <w:rFonts w:ascii="Times New Roman" w:hAnsi="Times New Roman" w:cs="Times New Roman"/>
          <w:sz w:val="24"/>
          <w:szCs w:val="24"/>
        </w:rPr>
        <w:t xml:space="preserve"> que, de facto, está teniendo lugar. Y, como es lógico, esa inyección de más de 230.000 millones ha terminado produciendo un problema de inflación co</w:t>
      </w:r>
      <w:r>
        <w:rPr>
          <w:rFonts w:ascii="Times New Roman" w:hAnsi="Times New Roman" w:cs="Times New Roman"/>
          <w:sz w:val="24"/>
          <w:szCs w:val="24"/>
        </w:rPr>
        <w:t>mo el que estamos viendo ahora.</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En los próximos meses, el BCE debería normalizar su política monetaria, replegando el programa de compras y planteando posibles subidas de tipos como las que ya vemos al otro lado del Atlántico. En paralelo, esto puede suponer que el gobierno de España se vea obligado a reducir su ritmo de endeudamiento, pues</w:t>
      </w:r>
      <w:r w:rsidR="00EB72ED">
        <w:rPr>
          <w:rFonts w:ascii="Times New Roman" w:hAnsi="Times New Roman" w:cs="Times New Roman"/>
          <w:sz w:val="24"/>
          <w:szCs w:val="24"/>
        </w:rPr>
        <w:t>to que ya no contará con dicho “salvavidas”</w:t>
      </w:r>
      <w:r w:rsidRPr="00543261">
        <w:rPr>
          <w:rFonts w:ascii="Times New Roman" w:hAnsi="Times New Roman" w:cs="Times New Roman"/>
          <w:sz w:val="24"/>
          <w:szCs w:val="24"/>
        </w:rPr>
        <w:t>. De darse ambas cuestiones, la deriva inflacionista podría empezar a contenerse, pero no sin antes arrasar la riqueza de los españoles, que en 2021 y 2022 perderán decenas de millones de euros de poder adquisitiva, por la devaluación de sus ingresos y sus ahorros, tendencia que podrá extenderse de 2023 en adelante en caso de que no se normalice la política monetaria y se aborde el problema del déficit fiscal, principal correa transmisora de las inyecciones de dinero del BCE.</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43261">
        <w:rPr>
          <w:rFonts w:ascii="Times New Roman" w:hAnsi="Times New Roman" w:cs="Times New Roman"/>
          <w:sz w:val="24"/>
          <w:szCs w:val="24"/>
        </w:rPr>
        <w:t>¿</w:t>
      </w:r>
      <w:r w:rsidRPr="002E342A">
        <w:rPr>
          <w:rFonts w:ascii="Times New Roman" w:hAnsi="Times New Roman" w:cs="Times New Roman"/>
          <w:sz w:val="24"/>
          <w:szCs w:val="24"/>
          <w:u w:val="single"/>
        </w:rPr>
        <w:t>Volverá a la normalidad el balance del BCE o será imposible acabar con los balances masivos</w:t>
      </w:r>
      <w:r w:rsidRPr="00543261">
        <w:rPr>
          <w:rFonts w:ascii="Times New Roman" w:hAnsi="Times New Roman" w:cs="Times New Roman"/>
          <w:sz w:val="24"/>
          <w:szCs w:val="24"/>
        </w:rPr>
        <w:t>?</w:t>
      </w:r>
      <w:r>
        <w:rPr>
          <w:rFonts w:ascii="Times New Roman" w:hAnsi="Times New Roman" w:cs="Times New Roman"/>
          <w:sz w:val="24"/>
          <w:szCs w:val="24"/>
        </w:rPr>
        <w:t xml:space="preserve"> (Libertad Digital - </w:t>
      </w:r>
      <w:r w:rsidRPr="00543261">
        <w:rPr>
          <w:rFonts w:ascii="Times New Roman" w:hAnsi="Times New Roman" w:cs="Times New Roman"/>
          <w:b/>
          <w:sz w:val="24"/>
          <w:szCs w:val="24"/>
        </w:rPr>
        <w:t>3/4/23</w:t>
      </w:r>
      <w:r>
        <w:rPr>
          <w:rFonts w:ascii="Times New Roman" w:hAnsi="Times New Roman" w:cs="Times New Roman"/>
          <w:sz w:val="24"/>
          <w:szCs w:val="24"/>
        </w:rPr>
        <w:t>)</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 xml:space="preserve">La primera gran expansión del balance del </w:t>
      </w:r>
      <w:r w:rsidR="00D65ABE">
        <w:rPr>
          <w:rFonts w:ascii="Times New Roman" w:hAnsi="Times New Roman" w:cs="Times New Roman"/>
          <w:sz w:val="24"/>
          <w:szCs w:val="24"/>
        </w:rPr>
        <w:t xml:space="preserve">Eurosistema se produjo </w:t>
      </w:r>
      <w:r w:rsidRPr="00543261">
        <w:rPr>
          <w:rFonts w:ascii="Times New Roman" w:hAnsi="Times New Roman" w:cs="Times New Roman"/>
          <w:sz w:val="24"/>
          <w:szCs w:val="24"/>
        </w:rPr>
        <w:t>entre 2014 y 201</w:t>
      </w:r>
      <w:r w:rsidR="00D65ABE">
        <w:rPr>
          <w:rFonts w:ascii="Times New Roman" w:hAnsi="Times New Roman" w:cs="Times New Roman"/>
          <w:sz w:val="24"/>
          <w:szCs w:val="24"/>
        </w:rPr>
        <w:t>6</w:t>
      </w:r>
      <w:r w:rsidRPr="00543261">
        <w:rPr>
          <w:rFonts w:ascii="Times New Roman" w:hAnsi="Times New Roman" w:cs="Times New Roman"/>
          <w:sz w:val="24"/>
          <w:szCs w:val="24"/>
        </w:rPr>
        <w:t>.</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43261">
        <w:rPr>
          <w:rFonts w:ascii="Times New Roman" w:hAnsi="Times New Roman" w:cs="Times New Roman"/>
          <w:sz w:val="24"/>
          <w:szCs w:val="24"/>
        </w:rPr>
        <w:t>Jon Aldekoa</w:t>
      </w:r>
      <w:r>
        <w:rPr>
          <w:rFonts w:ascii="Times New Roman" w:hAnsi="Times New Roman" w:cs="Times New Roman"/>
          <w:sz w:val="24"/>
          <w:szCs w:val="24"/>
        </w:rPr>
        <w:t>)</w:t>
      </w:r>
      <w:r w:rsidRPr="00543261">
        <w:rPr>
          <w:rFonts w:ascii="Times New Roman" w:hAnsi="Times New Roman" w:cs="Times New Roman"/>
          <w:sz w:val="24"/>
          <w:szCs w:val="24"/>
        </w:rPr>
        <w:t xml:space="preserve"> </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El pasado 27 de marzo Isabel Schnabel, miembro del Comité Ejecutivo del BCE, pronunció un discurso en Nueva York donde analiza el pasado y vislumbra el posible futuro del bal</w:t>
      </w:r>
      <w:r>
        <w:rPr>
          <w:rFonts w:ascii="Times New Roman" w:hAnsi="Times New Roman" w:cs="Times New Roman"/>
          <w:sz w:val="24"/>
          <w:szCs w:val="24"/>
        </w:rPr>
        <w:t>ance del Banco Central Europeo.</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La primera gran expansión del balan</w:t>
      </w:r>
      <w:r w:rsidR="00D65ABE">
        <w:rPr>
          <w:rFonts w:ascii="Times New Roman" w:hAnsi="Times New Roman" w:cs="Times New Roman"/>
          <w:sz w:val="24"/>
          <w:szCs w:val="24"/>
        </w:rPr>
        <w:t xml:space="preserve">ce del Eurosistema se produjo </w:t>
      </w:r>
      <w:r w:rsidRPr="00543261">
        <w:rPr>
          <w:rFonts w:ascii="Times New Roman" w:hAnsi="Times New Roman" w:cs="Times New Roman"/>
          <w:sz w:val="24"/>
          <w:szCs w:val="24"/>
        </w:rPr>
        <w:t>entre 2014 y 2016 en respuesta a un período de baja inflación según el objetivo del BCE. La segunda gran expansión fue consecuencia de la respuesta del BCE a la pandemia de la COVID-19. Estos enormes aumentos del balance fueron consecuencia de la implementación de las políticas monetarias no convencionales. Estas políticas monetarias supusieron la creación de un exceso de reservas, reservas superiores al mínimo requerido, que empujó el tipo de interés EONIA (sustituido en noviembre de 2019 por €STR) contra el límite inferior del objetivo de BCE, el tipo de interés de la facilidad de depósito.</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lastRenderedPageBreak/>
        <w:drawing>
          <wp:inline distT="0" distB="0" distL="0" distR="0" wp14:anchorId="3363D958" wp14:editId="1895CC4E">
            <wp:extent cx="5731510" cy="3223974"/>
            <wp:effectExtent l="0" t="0" r="2540" b="0"/>
            <wp:docPr id="123" name="Imagen 123" descr="https://s.libertaddigital.com/2023/03/31/grafico-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libertaddigital.com/2023/03/31/grafico-1-2.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543261">
        <w:rPr>
          <w:rFonts w:ascii="Times New Roman" w:hAnsi="Times New Roman" w:cs="Times New Roman"/>
          <w:sz w:val="24"/>
          <w:szCs w:val="24"/>
        </w:rPr>
        <w:t>Sin embargo, la nueva orientación de política monetaria en respuesta al aumento de la inflación ha significado el inicio de la reducción del balance: Primero, en julio de 2023 el BCE detuvo su programa de compra de activos APP. Posteriormente, en otoño del 2022 comenzaron a reembolsarse los préstamos TLTRO pendientes. Y recientemente, desde principios de marzo de 2023, dejaron de reinvertir los activos que vencían en el marco del APP, es decir, se inició el QT o Quantitative Tightening.</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45CB7CD1" wp14:editId="2A802569">
            <wp:extent cx="5731510" cy="3223974"/>
            <wp:effectExtent l="0" t="0" r="2540" b="0"/>
            <wp:docPr id="124" name="Imagen 124" descr="https://s.libertaddigital.com/2023/03/31/grafi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libertaddigital.com/2023/03/31/grafico-2.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Aunque esta senda iniciada continuará si una crisis económica o financiera no lo impide, Isabel Schnabel deja claro que el balance del BCE no volverá a los niveles previos a la Gran Recesión de 2008.</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lastRenderedPageBreak/>
        <w:t>El gran exceso de reservas generadas durante esta década de laxitud monetaria que habría provocado una reducción permanente de la capacidad del mercado interbancario de la zona euro para distribuir las reservas entre el sector bancario de la Eurozona además de querer mantener un nivel de liquidez más elevado que en el pasado.</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1127EB90" wp14:editId="4384B28D">
            <wp:extent cx="5731510" cy="3223974"/>
            <wp:effectExtent l="0" t="0" r="2540" b="0"/>
            <wp:docPr id="126" name="Imagen 126" descr="grafic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afico-3.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Este deseo de activos líquidos puede deberse a la introducción de nuevas regulaciones como Basilea III que promueve la demanda de activos líquidos de alta calidad (HQLA, por sus siglas en inglés) siendo precisamente estas reservas lo que utilizan muchos bancos para cumplir estos requisitos regulatorios. La consecuencia directa sería una mayor impredecibilidad en la demanda de reservas que debería estimar el BCE y cómo responder ante ella.</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54C2B0C0" wp14:editId="4C03944F">
            <wp:extent cx="5731510" cy="3223974"/>
            <wp:effectExtent l="0" t="0" r="2540" b="0"/>
            <wp:docPr id="127" name="Imagen 127" descr="grafic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afico-4.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lastRenderedPageBreak/>
        <w:t>Ante el nuevo desafío de esbozar la política monetaria a aplicar en el futuro, el Banco Central Europeo está pendiente de las acciones de sus semejantes: la Reserva Fe</w:t>
      </w:r>
      <w:r>
        <w:rPr>
          <w:rFonts w:ascii="Times New Roman" w:hAnsi="Times New Roman" w:cs="Times New Roman"/>
          <w:sz w:val="24"/>
          <w:szCs w:val="24"/>
        </w:rPr>
        <w:t>deral y el Banco de Inglaterra.</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El enfoque de la Reserva Federal, denominado sistema de suelo impulsado por la oferta se basa en mantener una cantidad suficientemente grande de exceso de reservas mediante el cual el tipo de interés de mercado de los fondos federales (el equivalente al antiguo EONIA o €STR en la Zona Euro) cotice ajustado al suelo marcado por el tipo de interés de los saldos de reservas (IORB, Interest on Reserve Balances). Dada la dinámica de este mercado en Estados Unidos, el tipo de interés de los fondos federales puede caer por debajo de este suelo, la Reserva Federal estableció un segundo suelo mediante la facilidad de repo inverso a un día (ON RRP) otorgándoles a las entidades no bancarias acceso al balance del banco central.</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405D7D61" wp14:editId="5D9FD48B">
            <wp:extent cx="5731510" cy="3223974"/>
            <wp:effectExtent l="0" t="0" r="2540" b="0"/>
            <wp:docPr id="128" name="Imagen 128" descr="grafic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afico-5.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El enfoque del Banco de Inglaterra, denominado sistema de suelo impulsado por la demanda, se basa en ofrecer operaciones regulares de préstamos garantizados para asegurarse que los déficits de reservas del sector bancario se repongan a medida que avanza el QT. Esto le permite deshacerse de las tenencias de valores sin necesidad de conocer la demanda de reservas de los bancos. Estos préstamos garantizados serían operaciones de repos a corto plazo al mismo tipo de interés que remunera a los bancos que depositan reservas.</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En resumen, ambos bancos centrales implementan estrategias para inyectar liquidez cuando sus QT provocan una escasez de reservas con la diferencia de que la Reserva Federal lo haría mediante la compra de valores (QE) y el Banco de Inglaterra mediante préstamos. Ambas tienen sus</w:t>
      </w:r>
      <w:r>
        <w:rPr>
          <w:rFonts w:ascii="Times New Roman" w:hAnsi="Times New Roman" w:cs="Times New Roman"/>
          <w:sz w:val="24"/>
          <w:szCs w:val="24"/>
        </w:rPr>
        <w:t xml:space="preserve"> ventajas e inconvenientes.</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lastRenderedPageBreak/>
        <w:drawing>
          <wp:inline distT="0" distB="0" distL="0" distR="0" wp14:anchorId="57A9BE53" wp14:editId="25F74A39">
            <wp:extent cx="5731510" cy="3224710"/>
            <wp:effectExtent l="0" t="0" r="2540" b="0"/>
            <wp:docPr id="129" name="Imagen 129" descr="aldeko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ldekoa-6.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31510" cy="3224710"/>
                    </a:xfrm>
                    <a:prstGeom prst="rect">
                      <a:avLst/>
                    </a:prstGeom>
                    <a:noFill/>
                    <a:ln>
                      <a:noFill/>
                    </a:ln>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Aunque BCE se enfrenta a muchas cuestiones complejas respecto a la implementación de la política monetaria del futuro insisten en que actuarán en consonancia con una economía de mercado abierta, algo que según Isabel Schnabel implica que, el balance del BCE deberá ser tan grande como sea necesario para garantizar una provisión de liquidez suficiente y dirigir eficazmente los tipos de interés a corto plazo hacia niveles compatibles con la estabilidad de precios a medio plazo.</w:t>
      </w:r>
    </w:p>
    <w:p w:rsidR="007C6E04" w:rsidRPr="00543261"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1AE73EE8" wp14:editId="346507B9">
            <wp:extent cx="5731510" cy="3223974"/>
            <wp:effectExtent l="0" t="0" r="2540" b="0"/>
            <wp:docPr id="130" name="Imagen 130" descr="grafic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afico-6.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543261">
        <w:rPr>
          <w:rFonts w:ascii="Times New Roman" w:hAnsi="Times New Roman" w:cs="Times New Roman"/>
          <w:sz w:val="24"/>
          <w:szCs w:val="24"/>
        </w:rPr>
        <w:t>Si ambos principios son compatibles es discutible. De lo que no cabe duda es que la era de los bancos centrales con balances masivos llegó para quedarse.</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p>
    <w:p w:rsidR="007C6E04" w:rsidRPr="009E225F" w:rsidRDefault="00D65ABE" w:rsidP="007C6E04">
      <w:pPr>
        <w:shd w:val="clear" w:color="auto" w:fill="F9F8F2"/>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C6E04" w:rsidRPr="009E225F">
        <w:rPr>
          <w:rFonts w:ascii="Times New Roman" w:hAnsi="Times New Roman" w:cs="Times New Roman"/>
          <w:b/>
          <w:sz w:val="24"/>
          <w:szCs w:val="24"/>
        </w:rPr>
        <w:t>CaixaBank Research</w:t>
      </w:r>
      <w:r w:rsidR="007C6E04">
        <w:rPr>
          <w:rFonts w:ascii="Times New Roman" w:hAnsi="Times New Roman" w:cs="Times New Roman"/>
          <w:b/>
          <w:sz w:val="24"/>
          <w:szCs w:val="24"/>
        </w:rPr>
        <w:t xml:space="preserve"> (2/1/23)</w:t>
      </w:r>
    </w:p>
    <w:p w:rsidR="00BA0B33"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drawing>
          <wp:inline distT="0" distB="0" distL="0" distR="0" wp14:anchorId="22E61BF3" wp14:editId="70CB07A6">
            <wp:extent cx="5734050" cy="3708400"/>
            <wp:effectExtent l="0" t="0" r="0" b="6350"/>
            <wp:docPr id="119" name="Imagen 119" descr="BCE: tamaño del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CE: tamaño del balance"/>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31510" cy="3706757"/>
                    </a:xfrm>
                    <a:prstGeom prst="rect">
                      <a:avLst/>
                    </a:prstGeom>
                    <a:noFill/>
                    <a:ln>
                      <a:noFill/>
                    </a:ln>
                  </pic:spPr>
                </pic:pic>
              </a:graphicData>
            </a:graphic>
          </wp:inline>
        </w:drawing>
      </w:r>
    </w:p>
    <w:p w:rsidR="00BA0B33"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9E225F">
        <w:rPr>
          <w:rFonts w:ascii="Times New Roman" w:hAnsi="Times New Roman" w:cs="Times New Roman"/>
          <w:sz w:val="24"/>
          <w:szCs w:val="24"/>
        </w:rPr>
        <w:t>El balance del BCE llegó a casi el 70% del PIB de la eurozona a mediados de 2022, un incremento muy sustancial respecto al que era su tamaño habitual antes de iniciar compras de activos y préstamos a largo plazo a gran escala (por ejemplo, 20% a finales de 2014). Con estas medidas no convencionales, la eurozona ha vivido durante años en un entorno de muy bajos tipos de interés. Hasta que llegó 2022 y el BCE subió sus tipos oficiales en 250 p. b. entre julio y diciembre. En 2023, no solo tendrán continuidad estos incrementos de tipos, sino que el BCE también reducirá el tamaño del balance. ¿Cómo funcionará esta reducción y qué consecuencias puede tener sobre la deuda soberana?</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366568">
        <w:rPr>
          <w:rFonts w:ascii="Times New Roman" w:hAnsi="Times New Roman" w:cs="Times New Roman"/>
          <w:noProof/>
          <w:sz w:val="24"/>
          <w:szCs w:val="24"/>
          <w:lang w:eastAsia="es-ES"/>
        </w:rPr>
        <w:drawing>
          <wp:inline distT="0" distB="0" distL="0" distR="0" wp14:anchorId="37F16B5C" wp14:editId="43B06C3B">
            <wp:extent cx="5734049" cy="2387600"/>
            <wp:effectExtent l="0" t="0" r="635"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386543"/>
                    </a:xfrm>
                    <a:prstGeom prst="rect">
                      <a:avLst/>
                    </a:prstGeom>
                  </pic:spPr>
                </pic:pic>
              </a:graphicData>
            </a:graphic>
          </wp:inline>
        </w:drawing>
      </w:r>
      <w:r>
        <w:rPr>
          <w:rFonts w:ascii="Times New Roman" w:hAnsi="Times New Roman" w:cs="Times New Roman"/>
          <w:sz w:val="24"/>
          <w:szCs w:val="24"/>
        </w:rPr>
        <w:t xml:space="preserve">(Fuente: El Economista - </w:t>
      </w:r>
      <w:r>
        <w:rPr>
          <w:rFonts w:ascii="Times New Roman" w:hAnsi="Times New Roman" w:cs="Times New Roman"/>
          <w:b/>
          <w:sz w:val="24"/>
          <w:szCs w:val="24"/>
        </w:rPr>
        <w:t>24/10</w:t>
      </w:r>
      <w:r w:rsidRPr="00366568">
        <w:rPr>
          <w:rFonts w:ascii="Times New Roman" w:hAnsi="Times New Roman" w:cs="Times New Roman"/>
          <w:b/>
          <w:sz w:val="24"/>
          <w:szCs w:val="24"/>
        </w:rPr>
        <w:t>/22</w:t>
      </w:r>
      <w:r>
        <w:rPr>
          <w:rFonts w:ascii="Times New Roman" w:hAnsi="Times New Roman" w:cs="Times New Roman"/>
          <w:sz w:val="24"/>
          <w:szCs w:val="24"/>
        </w:rPr>
        <w:t>)</w:t>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noProof/>
          <w:lang w:eastAsia="es-ES"/>
        </w:rPr>
        <w:lastRenderedPageBreak/>
        <w:drawing>
          <wp:inline distT="0" distB="0" distL="0" distR="0" wp14:anchorId="6234FC08" wp14:editId="25B5AEA0">
            <wp:extent cx="5734050" cy="2457450"/>
            <wp:effectExtent l="0" t="0" r="0" b="0"/>
            <wp:docPr id="131" name="Imagen 131" descr="https://consensodelmercado.com/wp-content/uploads/2022/02/balance_fed_bce_m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onsensodelmercado.com/wp-content/uploads/2022/02/balance_fed_bce_mfs.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31510" cy="2456362"/>
                    </a:xfrm>
                    <a:prstGeom prst="rect">
                      <a:avLst/>
                    </a:prstGeom>
                    <a:noFill/>
                    <a:ln>
                      <a:noFill/>
                    </a:ln>
                  </pic:spPr>
                </pic:pic>
              </a:graphicData>
            </a:graphic>
          </wp:inline>
        </w:drawing>
      </w:r>
    </w:p>
    <w:p w:rsidR="007C6E04"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consensodelmercado.com - </w:t>
      </w:r>
      <w:r w:rsidRPr="002E342A">
        <w:rPr>
          <w:rFonts w:ascii="Times New Roman" w:hAnsi="Times New Roman" w:cs="Times New Roman"/>
          <w:b/>
          <w:sz w:val="24"/>
          <w:szCs w:val="24"/>
        </w:rPr>
        <w:t>8/2/22</w:t>
      </w:r>
      <w:r>
        <w:rPr>
          <w:rFonts w:ascii="Times New Roman" w:hAnsi="Times New Roman" w:cs="Times New Roman"/>
          <w:sz w:val="24"/>
          <w:szCs w:val="24"/>
        </w:rPr>
        <w:t>)</w:t>
      </w:r>
    </w:p>
    <w:p w:rsidR="007C6E04" w:rsidRPr="00EB72ED" w:rsidRDefault="007F7E89" w:rsidP="007C6E04">
      <w:pPr>
        <w:spacing w:line="240" w:lineRule="auto"/>
        <w:jc w:val="both"/>
        <w:rPr>
          <w:rFonts w:ascii="Times New Roman" w:hAnsi="Times New Roman" w:cs="Times New Roman"/>
          <w:b/>
          <w:sz w:val="24"/>
          <w:szCs w:val="24"/>
        </w:rPr>
      </w:pPr>
      <w:r w:rsidRPr="00EB72ED">
        <w:rPr>
          <w:rFonts w:ascii="Times New Roman" w:hAnsi="Times New Roman" w:cs="Times New Roman"/>
          <w:b/>
          <w:sz w:val="24"/>
          <w:szCs w:val="24"/>
        </w:rPr>
        <w:t>“</w:t>
      </w:r>
      <w:r w:rsidR="00A27100" w:rsidRPr="00EB72ED">
        <w:rPr>
          <w:rFonts w:ascii="Times New Roman" w:hAnsi="Times New Roman" w:cs="Times New Roman"/>
          <w:b/>
          <w:sz w:val="24"/>
          <w:szCs w:val="24"/>
        </w:rPr>
        <w:t>Anatomía de una caída</w:t>
      </w:r>
      <w:r w:rsidRPr="00EB72ED">
        <w:rPr>
          <w:rFonts w:ascii="Times New Roman" w:hAnsi="Times New Roman" w:cs="Times New Roman"/>
          <w:b/>
          <w:sz w:val="24"/>
          <w:szCs w:val="24"/>
        </w:rPr>
        <w:t>”</w:t>
      </w:r>
      <w:r w:rsidR="00A27100" w:rsidRPr="00EB72ED">
        <w:rPr>
          <w:rFonts w:ascii="Times New Roman" w:hAnsi="Times New Roman" w:cs="Times New Roman"/>
          <w:b/>
          <w:sz w:val="24"/>
          <w:szCs w:val="24"/>
        </w:rPr>
        <w:t xml:space="preserve"> (los</w:t>
      </w:r>
      <w:r w:rsidR="00D65ABE" w:rsidRPr="00EB72ED">
        <w:rPr>
          <w:rFonts w:ascii="Times New Roman" w:hAnsi="Times New Roman" w:cs="Times New Roman"/>
          <w:b/>
          <w:sz w:val="24"/>
          <w:szCs w:val="24"/>
        </w:rPr>
        <w:t xml:space="preserve"> </w:t>
      </w:r>
      <w:r w:rsidR="007C6E04" w:rsidRPr="00EB72ED">
        <w:rPr>
          <w:rFonts w:ascii="Times New Roman" w:hAnsi="Times New Roman" w:cs="Times New Roman"/>
          <w:b/>
          <w:sz w:val="24"/>
          <w:szCs w:val="24"/>
        </w:rPr>
        <w:t>gráficos</w:t>
      </w:r>
      <w:r w:rsidR="00A27100" w:rsidRPr="00EB72ED">
        <w:rPr>
          <w:rFonts w:ascii="Times New Roman" w:hAnsi="Times New Roman" w:cs="Times New Roman"/>
          <w:b/>
          <w:sz w:val="24"/>
          <w:szCs w:val="24"/>
        </w:rPr>
        <w:t xml:space="preserve"> anteriores </w:t>
      </w:r>
      <w:r w:rsidR="00106F4C" w:rsidRPr="00EB72ED">
        <w:rPr>
          <w:rFonts w:ascii="Times New Roman" w:hAnsi="Times New Roman" w:cs="Times New Roman"/>
          <w:b/>
          <w:sz w:val="24"/>
          <w:szCs w:val="24"/>
        </w:rPr>
        <w:t>sirven de</w:t>
      </w:r>
      <w:r w:rsidR="007C6E04" w:rsidRPr="00EB72ED">
        <w:rPr>
          <w:rFonts w:ascii="Times New Roman" w:hAnsi="Times New Roman" w:cs="Times New Roman"/>
          <w:b/>
          <w:sz w:val="24"/>
          <w:szCs w:val="24"/>
        </w:rPr>
        <w:t xml:space="preserve"> testigos mudos</w:t>
      </w:r>
      <w:r w:rsidR="00106F4C" w:rsidRPr="00EB72ED">
        <w:rPr>
          <w:rFonts w:ascii="Times New Roman" w:hAnsi="Times New Roman" w:cs="Times New Roman"/>
          <w:b/>
          <w:sz w:val="24"/>
          <w:szCs w:val="24"/>
        </w:rPr>
        <w:t xml:space="preserve"> para representar</w:t>
      </w:r>
      <w:r w:rsidRPr="00EB72ED">
        <w:rPr>
          <w:rFonts w:ascii="Times New Roman" w:hAnsi="Times New Roman" w:cs="Times New Roman"/>
          <w:b/>
          <w:sz w:val="24"/>
          <w:szCs w:val="24"/>
        </w:rPr>
        <w:t xml:space="preserve"> </w:t>
      </w:r>
      <w:r w:rsidR="007C6E04" w:rsidRPr="00EB72ED">
        <w:rPr>
          <w:rFonts w:ascii="Times New Roman" w:hAnsi="Times New Roman" w:cs="Times New Roman"/>
          <w:b/>
          <w:sz w:val="24"/>
          <w:szCs w:val="24"/>
        </w:rPr>
        <w:t>una de las páginas más bochornosas de la historia de la Unión Europea)</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 xml:space="preserve">Después de este “forensic” gráfico: ¿Cómo podemos interpretar las imágenes del TAC de la UE?: ¿hay lesiones cerebrales, fracturas óseas, hemorragias internas, tumores o infecciones en órganos internos…? ¿Se puede estar durante 25 años en tiempo muerto? </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 xml:space="preserve">¿Tiene la UE un encefalograma plano? ¿Está bajo un coma inducido? ¿Sedación paliativa? ¿Limitación del esfuerzo terapéutico? ¿Testamento vital? ¿Se puede presumir una muerte voluntaria? ¿Eutanasia activa? ¿Eutanasia pasiva? ¿Eutanasia indirecta? ¿Muerte digna?...  </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¿Las instituciones europeas han sido diseñadas solo para comprar, o solo para fallar?</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¿Se puede alcanzar la gloria actuando como alfombrilla de baño de los EEUU y China?</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¿No tienen suficiente con los pésimos resultados alcanzados en vuestro camino de servidumbre? ¿Hasta cuándo continuarán banalizando el mal?</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¿Deberían los líderes europeos ser juzgados como autores de crimen de lesa región, de lesa estética y de lesa corrupción?</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A diferencia de los sonoros colapso de 2008 y 2020, asistimos hoy (mayo 2023) a una gangrena muda, prolongada e implacable. Traducido a términos clínicos: a Europa le acontece la muerte de múltiples tejidos sociales a causa de una herida seguida de infección y putrefacción. La gangrena hunde a Europa en una letal duermevela donde ya no puede dimensionar las -sus- últimas decisiones (más vale llamarlas, -sus- ocurrencias).</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Durante la gangrena baja la presión arterial y sube la fiebre, y todo deriva hacia un estado de aturdimiento y confusión. La gangrena no conduce precisamente a la lucidez.</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 xml:space="preserve">¿Está la UE haciendo la plancha en el Mar Muerto? ¿Es un pecio? ¿Entre todos la mataron y ella sola se murió?  ¿Es un corpore insepulto?... pero como con Stalin, ¿quién se lo dice?  </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-Stalin ha muerto</w:t>
      </w:r>
      <w:r w:rsidR="007F7E89" w:rsidRPr="00EB72ED">
        <w:rPr>
          <w:rFonts w:ascii="Times New Roman" w:hAnsi="Times New Roman" w:cs="Times New Roman"/>
          <w:sz w:val="24"/>
          <w:szCs w:val="24"/>
        </w:rPr>
        <w:t>.</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lastRenderedPageBreak/>
        <w:t>-Ya, pero ¿quién se lo dice?</w:t>
      </w:r>
    </w:p>
    <w:p w:rsidR="007C6E04" w:rsidRPr="00EB72ED" w:rsidRDefault="007C6E04" w:rsidP="007C6E04">
      <w:pPr>
        <w:shd w:val="clear" w:color="auto" w:fill="F9F8F2"/>
        <w:spacing w:before="100" w:beforeAutospacing="1" w:after="100" w:afterAutospacing="1" w:line="240" w:lineRule="auto"/>
        <w:jc w:val="both"/>
        <w:rPr>
          <w:rFonts w:ascii="Times New Roman" w:hAnsi="Times New Roman" w:cs="Times New Roman"/>
          <w:sz w:val="24"/>
          <w:szCs w:val="24"/>
        </w:rPr>
      </w:pPr>
      <w:r w:rsidRPr="00EB72ED">
        <w:rPr>
          <w:rFonts w:ascii="Times New Roman" w:hAnsi="Times New Roman" w:cs="Times New Roman"/>
          <w:sz w:val="24"/>
          <w:szCs w:val="24"/>
        </w:rPr>
        <w:t xml:space="preserve">El chiste ruso sería aplicable hoy. Nadie en Europa se atreve a decirle a la Unión Europea que está muerta. </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 xml:space="preserve">Nota: antesala de las próximas elecciones europeas - Junio 2024: Es un caso único. Ursula von der Leyen está a punto de convertirse en la principal perdedora de esta Comisión Europea a la deriva. Siempre de perfil, ni sí ni no, ni negro ni blanco, ni contigo ni sin ti, la presidenta de ideología acomodaticia, ha intentado salir de las sucesivas crisis sin pringarse ni despeinarse, blanca, nívea, impoluta, como una virgencilla inmaculada. Misión imposible. Del resto de la Comisión Europea, que decir: unos míseros ratones (que cagan como elefantes), vegetando en el gran pudridero de la historia. </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 xml:space="preserve">Estos mediocres guionistas, políticos de plastilina y patriotas de hojalata, dirigen los destinos de una Unión Europea a la deriva, cuyos fracasos resultan difíciles de creer si no hubiera una realidad incontestable y documentada,  que demuestra su involución permanente. </w:t>
      </w:r>
    </w:p>
    <w:p w:rsidR="007C6E04"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Cuando los estúpidos dejan de ser entretenidos… (la UE es infiel consigo misma)</w:t>
      </w:r>
      <w:r w:rsidR="00BA0B33" w:rsidRPr="00EB72ED">
        <w:rPr>
          <w:rFonts w:ascii="Times New Roman" w:hAnsi="Times New Roman" w:cs="Times New Roman"/>
          <w:sz w:val="24"/>
          <w:szCs w:val="24"/>
        </w:rPr>
        <w:t>.</w:t>
      </w:r>
    </w:p>
    <w:p w:rsidR="00BA0B33" w:rsidRPr="00EB72ED" w:rsidRDefault="007C6E04" w:rsidP="007C6E04">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Unas caperucitas europeas entre los zorros (norteamericanos) y los lobos (chinos)… (y para más inri</w:t>
      </w:r>
      <w:r w:rsidR="00106F4C" w:rsidRPr="00EB72ED">
        <w:rPr>
          <w:rFonts w:ascii="Times New Roman" w:hAnsi="Times New Roman" w:cs="Times New Roman"/>
          <w:sz w:val="24"/>
          <w:szCs w:val="24"/>
        </w:rPr>
        <w:t>,</w:t>
      </w:r>
      <w:r w:rsidRPr="00EB72ED">
        <w:rPr>
          <w:rFonts w:ascii="Times New Roman" w:hAnsi="Times New Roman" w:cs="Times New Roman"/>
          <w:sz w:val="24"/>
          <w:szCs w:val="24"/>
        </w:rPr>
        <w:t xml:space="preserve"> los animalistas (disque europeos), alientan a las bestias)</w:t>
      </w:r>
      <w:r w:rsidR="00BA0B33" w:rsidRPr="00EB72ED">
        <w:rPr>
          <w:rFonts w:ascii="Times New Roman" w:hAnsi="Times New Roman" w:cs="Times New Roman"/>
          <w:sz w:val="24"/>
          <w:szCs w:val="24"/>
        </w:rPr>
        <w:t>.</w:t>
      </w:r>
    </w:p>
    <w:p w:rsidR="00245707" w:rsidRPr="00EB72ED" w:rsidRDefault="00BA0B33" w:rsidP="007C6E04">
      <w:pPr>
        <w:spacing w:line="240" w:lineRule="auto"/>
        <w:jc w:val="both"/>
        <w:rPr>
          <w:rFonts w:ascii="Times New Roman" w:hAnsi="Times New Roman" w:cs="Times New Roman"/>
          <w:sz w:val="24"/>
          <w:szCs w:val="24"/>
        </w:rPr>
      </w:pPr>
      <w:r w:rsidRPr="00FF7719">
        <w:rPr>
          <w:rFonts w:ascii="Times New Roman" w:hAnsi="Times New Roman" w:cs="Times New Roman"/>
          <w:noProof/>
          <w:sz w:val="24"/>
          <w:szCs w:val="24"/>
          <w:lang w:eastAsia="es-ES"/>
        </w:rPr>
        <w:drawing>
          <wp:inline distT="0" distB="0" distL="0" distR="0" wp14:anchorId="0DFC2140" wp14:editId="1C9449AD">
            <wp:extent cx="5727700" cy="2470150"/>
            <wp:effectExtent l="0" t="0" r="635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28500" cy="2470495"/>
                    </a:xfrm>
                    <a:prstGeom prst="rect">
                      <a:avLst/>
                    </a:prstGeom>
                  </pic:spPr>
                </pic:pic>
              </a:graphicData>
            </a:graphic>
          </wp:inline>
        </w:drawing>
      </w:r>
      <w:r w:rsidR="00106F4C" w:rsidRPr="00EB72ED">
        <w:rPr>
          <w:rFonts w:ascii="Times New Roman" w:hAnsi="Times New Roman" w:cs="Times New Roman"/>
          <w:sz w:val="24"/>
          <w:szCs w:val="24"/>
        </w:rPr>
        <w:t>El gráfico que mejor representa</w:t>
      </w:r>
      <w:r w:rsidR="00245707" w:rsidRPr="00EB72ED">
        <w:rPr>
          <w:rFonts w:ascii="Times New Roman" w:hAnsi="Times New Roman" w:cs="Times New Roman"/>
          <w:sz w:val="24"/>
          <w:szCs w:val="24"/>
        </w:rPr>
        <w:t xml:space="preserve"> el estado de salud de la Unión Europea (2008-2023)</w:t>
      </w:r>
    </w:p>
    <w:p w:rsidR="00BA0B33" w:rsidRPr="00EB72ED" w:rsidRDefault="00BA0B33" w:rsidP="00BA0B33">
      <w:pPr>
        <w:spacing w:line="240" w:lineRule="auto"/>
        <w:jc w:val="both"/>
        <w:rPr>
          <w:rFonts w:ascii="Times New Roman" w:hAnsi="Times New Roman" w:cs="Times New Roman"/>
          <w:b/>
          <w:sz w:val="24"/>
          <w:szCs w:val="24"/>
        </w:rPr>
      </w:pPr>
      <w:r w:rsidRPr="00EB72ED">
        <w:rPr>
          <w:rFonts w:ascii="Times New Roman" w:hAnsi="Times New Roman" w:cs="Times New Roman"/>
          <w:b/>
          <w:sz w:val="24"/>
          <w:szCs w:val="24"/>
        </w:rPr>
        <w:t>¿Qué es el encefalograma plano?</w:t>
      </w:r>
    </w:p>
    <w:p w:rsidR="00BA0B33" w:rsidRPr="00EB72ED" w:rsidRDefault="00BA0B33" w:rsidP="00BA0B33">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El electroencefalograma también se realiza para el diagnóstico de la muerte encefálica. Ésta suele confirmarse con un “EEG plano”, que no es reactivo a estímulos dolorosos ni a estimulación luminosa intermitente.</w:t>
      </w:r>
    </w:p>
    <w:p w:rsidR="00BA0B33" w:rsidRPr="00EB72ED" w:rsidRDefault="00BA0B33" w:rsidP="00BA0B33">
      <w:pPr>
        <w:spacing w:line="240" w:lineRule="auto"/>
        <w:jc w:val="both"/>
        <w:rPr>
          <w:rFonts w:ascii="Times New Roman" w:hAnsi="Times New Roman" w:cs="Times New Roman"/>
          <w:bCs/>
          <w:sz w:val="24"/>
          <w:szCs w:val="24"/>
        </w:rPr>
      </w:pPr>
      <w:r w:rsidRPr="00EB72ED">
        <w:rPr>
          <w:rFonts w:ascii="Times New Roman" w:hAnsi="Times New Roman" w:cs="Times New Roman"/>
          <w:bCs/>
          <w:sz w:val="24"/>
          <w:szCs w:val="24"/>
        </w:rPr>
        <w:t>Hoy (30/5/23) la política europea aparece cada vez más como problema y no como solución: pandemia, hartazgo, crisis, inflación, expectativas incumplidas…</w:t>
      </w:r>
    </w:p>
    <w:p w:rsidR="00BA0B33" w:rsidRPr="00EB72ED" w:rsidRDefault="00BA0B33" w:rsidP="00BA0B33">
      <w:pPr>
        <w:spacing w:line="240" w:lineRule="auto"/>
        <w:jc w:val="both"/>
        <w:rPr>
          <w:rFonts w:ascii="Times New Roman" w:hAnsi="Times New Roman" w:cs="Times New Roman"/>
          <w:bCs/>
          <w:sz w:val="24"/>
          <w:szCs w:val="24"/>
        </w:rPr>
      </w:pPr>
      <w:r w:rsidRPr="00EB72ED">
        <w:rPr>
          <w:rFonts w:ascii="Times New Roman" w:hAnsi="Times New Roman" w:cs="Times New Roman"/>
          <w:bCs/>
          <w:sz w:val="24"/>
          <w:szCs w:val="24"/>
        </w:rPr>
        <w:t>Aunque es posible que la gente no perciba las próximas elecciones europeas (junio 2024)</w:t>
      </w:r>
      <w:r w:rsidR="00106F4C" w:rsidRPr="00EB72ED">
        <w:rPr>
          <w:rFonts w:ascii="Times New Roman" w:hAnsi="Times New Roman" w:cs="Times New Roman"/>
          <w:bCs/>
          <w:sz w:val="24"/>
          <w:szCs w:val="24"/>
        </w:rPr>
        <w:t xml:space="preserve"> como “más de lo mismo”</w:t>
      </w:r>
      <w:r w:rsidRPr="00EB72ED">
        <w:rPr>
          <w:rFonts w:ascii="Times New Roman" w:hAnsi="Times New Roman" w:cs="Times New Roman"/>
          <w:bCs/>
          <w:sz w:val="24"/>
          <w:szCs w:val="24"/>
        </w:rPr>
        <w:t xml:space="preserve"> y sí salga a votar. Sobre todo si el marco es epocal (una elección importante percibida) y la gente se motiva para votar contra lo que hay (gatopardismo).</w:t>
      </w:r>
    </w:p>
    <w:p w:rsidR="00BA0B33" w:rsidRPr="00EB72ED" w:rsidRDefault="00BA0B33" w:rsidP="00BA0B33">
      <w:pPr>
        <w:spacing w:line="240" w:lineRule="auto"/>
        <w:jc w:val="both"/>
        <w:rPr>
          <w:rFonts w:ascii="Times New Roman" w:hAnsi="Times New Roman" w:cs="Times New Roman"/>
          <w:bCs/>
          <w:sz w:val="24"/>
          <w:szCs w:val="24"/>
        </w:rPr>
      </w:pPr>
      <w:r w:rsidRPr="00EB72ED">
        <w:rPr>
          <w:rFonts w:ascii="Times New Roman" w:hAnsi="Times New Roman" w:cs="Times New Roman"/>
          <w:bCs/>
          <w:sz w:val="24"/>
          <w:szCs w:val="24"/>
        </w:rPr>
        <w:t>¿Se terminarán las mentiras reconfortantes? ¿Nos va la vida en ello? ¿Esto acaba de empezar?</w:t>
      </w:r>
    </w:p>
    <w:p w:rsidR="00D65ABE" w:rsidRDefault="00D65ABE" w:rsidP="00D65ABE">
      <w:pPr>
        <w:jc w:val="both"/>
        <w:rPr>
          <w:rFonts w:ascii="Times New Roman" w:hAnsi="Times New Roman"/>
          <w:b/>
          <w:sz w:val="24"/>
          <w:szCs w:val="24"/>
        </w:rPr>
      </w:pPr>
      <w:r>
        <w:rPr>
          <w:rFonts w:ascii="Times New Roman" w:hAnsi="Times New Roman"/>
          <w:b/>
          <w:sz w:val="24"/>
          <w:szCs w:val="24"/>
        </w:rPr>
        <w:lastRenderedPageBreak/>
        <w:t>- “Historias para no dormir” (como diría mi admirado Cesar Vidal: “sin el ánimo de agotar el tema, los hechos son los siguientes”)…</w:t>
      </w:r>
    </w:p>
    <w:p w:rsidR="00A27100" w:rsidRDefault="00245707" w:rsidP="00D65ABE">
      <w:pPr>
        <w:jc w:val="both"/>
        <w:rPr>
          <w:rFonts w:ascii="Times New Roman" w:hAnsi="Times New Roman"/>
          <w:b/>
          <w:sz w:val="24"/>
          <w:szCs w:val="24"/>
        </w:rPr>
      </w:pPr>
      <w:r>
        <w:rPr>
          <w:noProof/>
          <w:lang w:eastAsia="es-ES"/>
        </w:rPr>
        <w:drawing>
          <wp:inline distT="0" distB="0" distL="0" distR="0" wp14:anchorId="510DCE04" wp14:editId="19A55CED">
            <wp:extent cx="5733415" cy="2508250"/>
            <wp:effectExtent l="0" t="0" r="635" b="6350"/>
            <wp:docPr id="34" name="Imagen 34" descr="https://phantom-expansion.unidadeditorial.es/590ab2cecac6a33b5f5ae16bfcef6b3e/crop/0x0/2045x1363/resize/828/f/jpg/assets/multimedia/imagenes/2022/10/05/16649240661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hantom-expansion.unidadeditorial.es/590ab2cecac6a33b5f5ae16bfcef6b3e/crop/0x0/2045x1363/resize/828/f/jpg/assets/multimedia/imagenes/2022/10/05/16649240661492.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2507417"/>
                    </a:xfrm>
                    <a:prstGeom prst="rect">
                      <a:avLst/>
                    </a:prstGeom>
                    <a:noFill/>
                    <a:ln>
                      <a:noFill/>
                    </a:ln>
                  </pic:spPr>
                </pic:pic>
              </a:graphicData>
            </a:graphic>
          </wp:inline>
        </w:drawing>
      </w:r>
    </w:p>
    <w:p w:rsidR="00D65ABE" w:rsidRDefault="00D65ABE" w:rsidP="00D65ABE">
      <w:pPr>
        <w:shd w:val="clear" w:color="auto" w:fill="F9F8F2"/>
        <w:spacing w:before="100" w:beforeAutospacing="1" w:after="100" w:afterAutospacing="1" w:line="240" w:lineRule="auto"/>
        <w:jc w:val="both"/>
        <w:rPr>
          <w:rFonts w:ascii="Times New Roman" w:hAnsi="Times New Roman" w:cs="Times New Roman"/>
          <w:b/>
          <w:sz w:val="24"/>
          <w:szCs w:val="24"/>
        </w:rPr>
      </w:pPr>
      <w:r w:rsidRPr="008F5DC6">
        <w:rPr>
          <w:rFonts w:ascii="Times New Roman" w:hAnsi="Times New Roman" w:cs="Times New Roman"/>
          <w:b/>
          <w:sz w:val="24"/>
          <w:szCs w:val="24"/>
        </w:rPr>
        <w:t>La mano que mece la cuna</w:t>
      </w:r>
      <w:r>
        <w:rPr>
          <w:rFonts w:ascii="Times New Roman" w:hAnsi="Times New Roman" w:cs="Times New Roman"/>
          <w:b/>
          <w:sz w:val="24"/>
          <w:szCs w:val="24"/>
        </w:rPr>
        <w:t xml:space="preserve"> (sufragando la deuda soberana y dopando los mercados)</w:t>
      </w:r>
    </w:p>
    <w:p w:rsidR="00D65ABE" w:rsidRPr="00054DB4" w:rsidRDefault="00D65ABE" w:rsidP="00D65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4DB4">
        <w:rPr>
          <w:rFonts w:ascii="Times New Roman" w:hAnsi="Times New Roman" w:cs="Times New Roman"/>
          <w:sz w:val="24"/>
          <w:szCs w:val="24"/>
          <w:u w:val="single"/>
        </w:rPr>
        <w:t>De la crisis inmobiliaria a la lucha contra el monstruo de la inflación: grandes hitos del BCE en 25 años de historia</w:t>
      </w:r>
      <w:r>
        <w:rPr>
          <w:rFonts w:ascii="Times New Roman" w:hAnsi="Times New Roman" w:cs="Times New Roman"/>
          <w:sz w:val="24"/>
          <w:szCs w:val="24"/>
        </w:rPr>
        <w:t xml:space="preserve"> (El Economista - </w:t>
      </w:r>
      <w:r w:rsidRPr="00054DB4">
        <w:rPr>
          <w:rFonts w:ascii="Times New Roman" w:hAnsi="Times New Roman" w:cs="Times New Roman"/>
          <w:b/>
          <w:sz w:val="24"/>
          <w:szCs w:val="24"/>
        </w:rPr>
        <w:t>24/5/23</w:t>
      </w:r>
      <w:r>
        <w:rPr>
          <w:rFonts w:ascii="Times New Roman" w:hAnsi="Times New Roman" w:cs="Times New Roman"/>
          <w:sz w:val="24"/>
          <w:szCs w:val="24"/>
        </w:rPr>
        <w:t>)</w:t>
      </w:r>
    </w:p>
    <w:p w:rsidR="00D65ABE" w:rsidRPr="00054DB4" w:rsidRDefault="00BA0B33" w:rsidP="00D65ABE">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Central Europeo “nació”</w:t>
      </w:r>
      <w:r w:rsidR="00D65ABE" w:rsidRPr="00054DB4">
        <w:rPr>
          <w:rFonts w:ascii="Times New Roman" w:hAnsi="Times New Roman" w:cs="Times New Roman"/>
          <w:sz w:val="24"/>
          <w:szCs w:val="24"/>
        </w:rPr>
        <w:t xml:space="preserve"> el 1 de junio de 1998</w:t>
      </w:r>
    </w:p>
    <w:p w:rsidR="00D65ABE"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Ha tenido cuatro presidentes que han encarado numerosos retos económicos</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noProof/>
          <w:sz w:val="24"/>
          <w:szCs w:val="24"/>
          <w:lang w:eastAsia="es-ES"/>
        </w:rPr>
        <w:drawing>
          <wp:inline distT="0" distB="0" distL="0" distR="0" wp14:anchorId="2BAC870D" wp14:editId="14C5CC07">
            <wp:extent cx="5731510" cy="3128449"/>
            <wp:effectExtent l="0" t="0" r="254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128449"/>
                    </a:xfrm>
                    <a:prstGeom prst="rect">
                      <a:avLst/>
                    </a:prstGeom>
                  </pic:spPr>
                </pic:pic>
              </a:graphicData>
            </a:graphic>
          </wp:inline>
        </w:drawing>
      </w:r>
    </w:p>
    <w:p w:rsidR="00D65ABE" w:rsidRPr="00054DB4" w:rsidRDefault="00D65ABE" w:rsidP="00D65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54DB4">
        <w:rPr>
          <w:rFonts w:ascii="Times New Roman" w:hAnsi="Times New Roman" w:cs="Times New Roman"/>
          <w:sz w:val="24"/>
          <w:szCs w:val="24"/>
        </w:rPr>
        <w:t>Vicente Nieves</w:t>
      </w:r>
      <w:r>
        <w:rPr>
          <w:rFonts w:ascii="Times New Roman" w:hAnsi="Times New Roman" w:cs="Times New Roman"/>
          <w:sz w:val="24"/>
          <w:szCs w:val="24"/>
        </w:rPr>
        <w:t>)</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El Banco Central Europeo (BCE) cumple años, aunque la realidad es que tiene poco que celebrar. Los precios en la eurozona suben a un ritmo que más que triplica el objetivo de inflación de la institución y algunos componentes como los alimentos no muestran signos </w:t>
      </w:r>
      <w:r w:rsidRPr="00054DB4">
        <w:rPr>
          <w:rFonts w:ascii="Times New Roman" w:hAnsi="Times New Roman" w:cs="Times New Roman"/>
          <w:sz w:val="24"/>
          <w:szCs w:val="24"/>
        </w:rPr>
        <w:lastRenderedPageBreak/>
        <w:t>claros de moderación. No es de extrañar que el BCE se encuentre en su vigésimo quinto aniversario en medio de una crisis. En su corta vida, los diferentes presidentes de la institución y sus Consejos de Gobierno se han enfrentado a cinco crisis de naturaleza muy diferente: el estadillo de una burbuja tecnológica en Estados Unidos; una crisis financiera aliñada con una burbuja inmobiliaria en varios países del euro; una crisis de deuda soberana que casi acaba con la moneda única; una pandemia mundial... y cuando ya parecía imposible que la situación empeorase, llega la mayor subida de la inflación en décadas, junto a un</w:t>
      </w:r>
      <w:r>
        <w:rPr>
          <w:rFonts w:ascii="Times New Roman" w:hAnsi="Times New Roman" w:cs="Times New Roman"/>
          <w:sz w:val="24"/>
          <w:szCs w:val="24"/>
        </w:rPr>
        <w:t>a guerra en territorio europeo.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25 de mayo de 1998 fueron escogidos los seis miembros del primer Comité Ejecutivo del BCE, pero no fue hasta unos días después, el 1 de junio, cuando el organismo empezó a funcionar oficialmente en virtud del Tratado de Maastricht. Sucedió medio año antes de que comenzar</w:t>
      </w:r>
      <w:r w:rsidR="00BA0B33">
        <w:rPr>
          <w:rFonts w:ascii="Times New Roman" w:hAnsi="Times New Roman" w:cs="Times New Roman"/>
          <w:sz w:val="24"/>
          <w:szCs w:val="24"/>
        </w:rPr>
        <w:t>a la introducción del euro, la “moneda única”</w:t>
      </w:r>
      <w:r w:rsidRPr="00054DB4">
        <w:rPr>
          <w:rFonts w:ascii="Times New Roman" w:hAnsi="Times New Roman" w:cs="Times New Roman"/>
          <w:sz w:val="24"/>
          <w:szCs w:val="24"/>
        </w:rPr>
        <w:t xml:space="preserve"> con la que la Unión Europea (UE) buscaba integrar las economías de todos los países que la conforman.</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No obstante, hay que remontarse a finales de los 80 para encontrar el verdadero origen del Banco Central Europeo. En concreto, a junio de 1988, cuando el Consejo Europeo decidió que la Unión Económica y Monetaria de la UE se llevaría a cabo de forma progresiva. Los primeros pasos se dieron a lo largo de los 90 y a finales de la década (y a las puertas del siglo XXI) el BCE tomó el mando único de la política monetaria de toda la eurozona. Eso sí, no pasó a ser una institución de la Unión Europea hasta 2009, con la entrada en vigor del Tratado de Lisboa, </w:t>
      </w:r>
      <w:r w:rsidR="00BA0B33">
        <w:rPr>
          <w:rFonts w:ascii="Times New Roman" w:hAnsi="Times New Roman" w:cs="Times New Roman"/>
          <w:sz w:val="24"/>
          <w:szCs w:val="24"/>
        </w:rPr>
        <w:t>que deja claro su cometido: el “objetivo principal” es “</w:t>
      </w:r>
      <w:r w:rsidRPr="00054DB4">
        <w:rPr>
          <w:rFonts w:ascii="Times New Roman" w:hAnsi="Times New Roman" w:cs="Times New Roman"/>
          <w:sz w:val="24"/>
          <w:szCs w:val="24"/>
        </w:rPr>
        <w:t>man</w:t>
      </w:r>
      <w:r w:rsidR="00BA0B33">
        <w:rPr>
          <w:rFonts w:ascii="Times New Roman" w:hAnsi="Times New Roman" w:cs="Times New Roman"/>
          <w:sz w:val="24"/>
          <w:szCs w:val="24"/>
        </w:rPr>
        <w:t>tener la estabilidad de precios”</w:t>
      </w:r>
      <w:r w:rsidRPr="00054DB4">
        <w:rPr>
          <w:rFonts w:ascii="Times New Roman" w:hAnsi="Times New Roman" w:cs="Times New Roman"/>
          <w:sz w:val="24"/>
          <w:szCs w:val="24"/>
        </w:rPr>
        <w:t>. Para conseguirla, su principal herramienta son los tipos de interés.</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BCE ha adelantado un poco la celebración de su vigésimo quinto aniversario, pues el acto conmemorativo tiene lugar este 24 de mayo en Fráncfort, ciudad en la que se encuentra s</w:t>
      </w:r>
      <w:r>
        <w:rPr>
          <w:rFonts w:ascii="Times New Roman" w:hAnsi="Times New Roman" w:cs="Times New Roman"/>
          <w:sz w:val="24"/>
          <w:szCs w:val="24"/>
        </w:rPr>
        <w:t>u sede, a orillas del río Meno.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 lo largo de estos cinco lustros, el Banco Central Europeo ha contado con cuatro presidentes: tres hombres (Wim Duisenberg, Jean Claude Trichet y Mario Draghi) y una mujer (Christine Lagarde). Quizá se tiende a ver de forma más dramática los hechos recientes que los pasados, pero lo cierto es que el BCE se ha ido enfrentando a situaciones cada vez más complejas de gestionar. La parte positiva, que también existe, es que algunos de estos eventos límite han unido a los países europeos en una toma de decisiones que hace 20 años parecía imposibl</w:t>
      </w:r>
      <w:r>
        <w:rPr>
          <w:rFonts w:ascii="Times New Roman" w:hAnsi="Times New Roman" w:cs="Times New Roman"/>
          <w:sz w:val="24"/>
          <w:szCs w:val="24"/>
        </w:rPr>
        <w:t>e.</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Duisenberg: el que no escuchaba y vio al euro en mínimos</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No siempre fue tan ajetreada la vida del Banco Central Europeo. Los primeros años fueron relativamente tranquilos, aunque no estuvieron exentos de polémica. La cara visible de esa etapa fue la del neerlandés Willem Frederik Duisenberg, más conocido como Wim Duisenberg, quien asumió el cargo como presidente</w:t>
      </w:r>
      <w:r>
        <w:rPr>
          <w:rFonts w:ascii="Times New Roman" w:hAnsi="Times New Roman" w:cs="Times New Roman"/>
          <w:sz w:val="24"/>
          <w:szCs w:val="24"/>
        </w:rPr>
        <w:t xml:space="preserve"> del BCE el 1 de julio de 1998.</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Alto, de voz grave y con un pelo blanco muy característico, antes de aterrizar en el BCE Duisenberg ganó buena fama con su política monetaria al frente del banco central de Países Bajos, la cual estuvo muy vinculada a la del banco central alemán (el Bundesbank) y se caracterizó por la cautela. Fue precisamente el respaldo claro de Alemania lo que permitió el nombramiento de Wim Duisenberg como primer presidente del Banco Central Europeo, pese al rechazo de Francia, que quería que el puesto fuera ocupado por Jean Claude Trichet, el entonces gobernador del banco central galo. La solución a este (enésimo) choque entre París y Berlín fue que el banquero neerlandés no agotara su mandato (de ocho años no renovables) </w:t>
      </w:r>
      <w:r w:rsidRPr="00054DB4">
        <w:rPr>
          <w:rFonts w:ascii="Times New Roman" w:hAnsi="Times New Roman" w:cs="Times New Roman"/>
          <w:sz w:val="24"/>
          <w:szCs w:val="24"/>
        </w:rPr>
        <w:lastRenderedPageBreak/>
        <w:t>al frente del BCE. Y así fue: Duisenberg anunció en julio de 2003 que abandonaba la presidencia del organismo monetario y lo hizo ofi</w:t>
      </w:r>
      <w:r>
        <w:rPr>
          <w:rFonts w:ascii="Times New Roman" w:hAnsi="Times New Roman" w:cs="Times New Roman"/>
          <w:sz w:val="24"/>
          <w:szCs w:val="24"/>
        </w:rPr>
        <w:t>cialmente cuatro meses después.</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No obstante, el holandés fue el rostro de un hito para la historia del Viejo Continente: la introducción del euro, primero, en los mercados y, posteriormente en 2002, en cientos de millones de hogares europeos. Él mismo admitió en un </w:t>
      </w:r>
      <w:r w:rsidR="00BA0B33">
        <w:rPr>
          <w:rFonts w:ascii="Times New Roman" w:hAnsi="Times New Roman" w:cs="Times New Roman"/>
          <w:sz w:val="24"/>
          <w:szCs w:val="24"/>
        </w:rPr>
        <w:t>artículo publicado en 2005 que “</w:t>
      </w:r>
      <w:r w:rsidRPr="00054DB4">
        <w:rPr>
          <w:rFonts w:ascii="Times New Roman" w:hAnsi="Times New Roman" w:cs="Times New Roman"/>
          <w:sz w:val="24"/>
          <w:szCs w:val="24"/>
        </w:rPr>
        <w:t>los p</w:t>
      </w:r>
      <w:r w:rsidR="00BA0B33">
        <w:rPr>
          <w:rFonts w:ascii="Times New Roman" w:hAnsi="Times New Roman" w:cs="Times New Roman"/>
          <w:sz w:val="24"/>
          <w:szCs w:val="24"/>
        </w:rPr>
        <w:t>rimeros años del BCE fueron un “bautismo de fuego”” debido a una “serie crisis específicas”</w:t>
      </w:r>
      <w:r w:rsidRPr="00054DB4">
        <w:rPr>
          <w:rFonts w:ascii="Times New Roman" w:hAnsi="Times New Roman" w:cs="Times New Roman"/>
          <w:sz w:val="24"/>
          <w:szCs w:val="24"/>
        </w:rPr>
        <w:t xml:space="preserve"> que afrontó la </w:t>
      </w:r>
      <w:r w:rsidR="00BA0B33">
        <w:rPr>
          <w:rFonts w:ascii="Times New Roman" w:hAnsi="Times New Roman" w:cs="Times New Roman"/>
          <w:sz w:val="24"/>
          <w:szCs w:val="24"/>
        </w:rPr>
        <w:t>nueva moneda al poco de nacer: “</w:t>
      </w:r>
      <w:r w:rsidRPr="00054DB4">
        <w:rPr>
          <w:rFonts w:ascii="Times New Roman" w:hAnsi="Times New Roman" w:cs="Times New Roman"/>
          <w:sz w:val="24"/>
          <w:szCs w:val="24"/>
        </w:rPr>
        <w:t>La mayor provino inicialmente del abrupto ascenso de los precios del petróleo y, más tarde, del rápido debilitamiento del tipo de cambio, lo que provocó un fuerte aumento de l</w:t>
      </w:r>
      <w:r w:rsidR="00BA0B33">
        <w:rPr>
          <w:rFonts w:ascii="Times New Roman" w:hAnsi="Times New Roman" w:cs="Times New Roman"/>
          <w:sz w:val="24"/>
          <w:szCs w:val="24"/>
        </w:rPr>
        <w:t>os precios de las importaciones”</w:t>
      </w:r>
      <w:r w:rsidRPr="00054DB4">
        <w:rPr>
          <w:rFonts w:ascii="Times New Roman" w:hAnsi="Times New Roman" w:cs="Times New Roman"/>
          <w:sz w:val="24"/>
          <w:szCs w:val="24"/>
        </w:rPr>
        <w:t>, escribió Duisenberg.</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Con esas palabras, hizo referencia a los mínimos históricos que a principios de siglo marcó el euro en su cruce con el dólar estadounidense, llegando a intercambiarse un euro por menos de 85 centavos. Actualmente un euro vale alrededor de 1,08 dólares. La divisa comunitaria se estrenó en el 99 intercambiándose por 1,18 billetes, pero en el inicio del siglo XXI (en concreto, el 27 de enero del 2000), el euro cayó por primera vez por debajo del nivel de paridad (1 euro = 1 dólar) con la moneda norteameric</w:t>
      </w:r>
      <w:r>
        <w:rPr>
          <w:rFonts w:ascii="Times New Roman" w:hAnsi="Times New Roman" w:cs="Times New Roman"/>
          <w:sz w:val="24"/>
          <w:szCs w:val="24"/>
        </w:rPr>
        <w:t>ana.</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Las mencionadas bajas cotas récord se registraron precisamente después de que en octubre de 2000 Wim Duisenberg asegurara que el BCE no intervendría en el mercado de </w:t>
      </w:r>
      <w:r>
        <w:rPr>
          <w:rFonts w:ascii="Times New Roman" w:hAnsi="Times New Roman" w:cs="Times New Roman"/>
          <w:sz w:val="24"/>
          <w:szCs w:val="24"/>
        </w:rPr>
        <w:t>divisas para apuntalar el euro.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Esa es solo una prueba de la torpeza del banquero neerlandés a la hora de comunicar la política monetaria del Banco Central Europeo, algo por lo que fue criticado en numerosas ocasiones, además de por su actitud desdeñosa hacia los políticos del Viejo Continente. En este sentido, uno de sus momentos más representativos fue cuando en una rueda de prensa, preguntado sobre las peticiones para que el BCE bajara los tipos, resp</w:t>
      </w:r>
      <w:r w:rsidR="00BA0B33">
        <w:rPr>
          <w:rFonts w:ascii="Times New Roman" w:hAnsi="Times New Roman" w:cs="Times New Roman"/>
          <w:sz w:val="24"/>
          <w:szCs w:val="24"/>
        </w:rPr>
        <w:t>ondió: “Oigo, pero no escucho”</w:t>
      </w:r>
      <w:r>
        <w:rPr>
          <w:rFonts w:ascii="Times New Roman" w:hAnsi="Times New Roman" w:cs="Times New Roman"/>
          <w:sz w:val="24"/>
          <w:szCs w:val="24"/>
        </w:rPr>
        <w:t>.</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Sin embargo, el Consejo de Gobierno del BCE acabó bajando los tipos de interés a niveles no vistos en la corta historia del instituto monetario, con el objetivo de fomentar la economía del euro. Aun así, el banco central no evitó la recesión de 2001 y no fueron pocos los que aseguraron que la ralentización de la eurozona podría haber sido menos profunda si el organismo hubiera recortado los tipos antes y de forma más agresiva. En cambio, Duisenberg valoró </w:t>
      </w:r>
      <w:r w:rsidR="00BA0B33">
        <w:rPr>
          <w:rFonts w:ascii="Times New Roman" w:hAnsi="Times New Roman" w:cs="Times New Roman"/>
          <w:sz w:val="24"/>
          <w:szCs w:val="24"/>
        </w:rPr>
        <w:t>pocos años después que “</w:t>
      </w:r>
      <w:r w:rsidRPr="00054DB4">
        <w:rPr>
          <w:rFonts w:ascii="Times New Roman" w:hAnsi="Times New Roman" w:cs="Times New Roman"/>
          <w:sz w:val="24"/>
          <w:szCs w:val="24"/>
        </w:rPr>
        <w:t>la breve historia d</w:t>
      </w:r>
      <w:r w:rsidR="00BA0B33">
        <w:rPr>
          <w:rFonts w:ascii="Times New Roman" w:hAnsi="Times New Roman" w:cs="Times New Roman"/>
          <w:sz w:val="24"/>
          <w:szCs w:val="24"/>
        </w:rPr>
        <w:t>e la política monetaria del BCE” ya estaba “marcada por el éxito”</w:t>
      </w:r>
      <w:r w:rsidRPr="00054DB4">
        <w:rPr>
          <w:rFonts w:ascii="Times New Roman" w:hAnsi="Times New Roman" w:cs="Times New Roman"/>
          <w:sz w:val="24"/>
          <w:szCs w:val="24"/>
        </w:rPr>
        <w:t>.</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Trichet: de la crisis financiera a la de deuda soberana</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1 de noviembre de 2003, Jean Claude Trichet asumió el cargo como presidente del BCE. Sus primeros años se caracterizaron por la continuidad. El banquero francés mantuvo sin cambios (en niveles relativamente bajos) los tipos hasta finales de 2005, lo que años después ha sido considerado como un error. Esta política de bajos tipos de interés alimentó una burbuja crediticia en los países que presentaban un mayor crecimiento económico (España, Irlanda, Grecia...). Por su parte, los bajos tipos también en EEUU estaban generando igualmente importantes desequilibrios (una burbuja inmobiliaria, agravada por la titulización de hipotecas y la concesión de hipotecas subprime o basura).</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¿Por qué mantenía el Trichet los tipos bajos? Las economías de Francia y Alemania no terminaban de despegar y la inflación del conjunto del euro daba espacio al BCE para mantener los tipos muy bajos. No obstante, aunque la inflación se encontraba cerca del 2% en </w:t>
      </w:r>
      <w:r w:rsidRPr="00054DB4">
        <w:rPr>
          <w:rFonts w:ascii="Times New Roman" w:hAnsi="Times New Roman" w:cs="Times New Roman"/>
          <w:sz w:val="24"/>
          <w:szCs w:val="24"/>
        </w:rPr>
        <w:lastRenderedPageBreak/>
        <w:t xml:space="preserve">el conjunto de la zona euro, economías como España superaban holgadamente ese objetivo, lo que dejaba entrever que se estaban generando importantes desequilibrios. Con la inflación por encima del 3%, los tipos de interés reales frisaban el terreno negativo en España, lo que incentivaba el endeudamiento de los agentes. Familias y empresas centraron su inversión </w:t>
      </w:r>
      <w:r>
        <w:rPr>
          <w:rFonts w:ascii="Times New Roman" w:hAnsi="Times New Roman" w:cs="Times New Roman"/>
          <w:sz w:val="24"/>
          <w:szCs w:val="24"/>
        </w:rPr>
        <w:t>y endeudamiento en el ladrillo.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Cuando Trichet y el Consejo de Gobierno comenzaron a subir los tipos de interés (finales de 2005), ya era demasiado tarde para economías como la española. El BCE elevó la tasa de depósitos en 225 puntos básicos entre diciembre de 2005 y julio de 2008, cuando se situaron en el 3,25% (tasa de depósitos) y 3,75% (tipo principal de refinanciación). La Reserva Federal estadounidense (Fed) elevó el precio del dinero del 1% hasta el 5,25%. El endurecimiento monetario en EEUU prendió la chispa de la crisis subprime. El contagio llegó rápido a la zona euro. El crédito se secó y los países que habían basado su crecimiento en el endeudamiento (sobre todo con deuda externa) suf</w:t>
      </w:r>
      <w:r>
        <w:rPr>
          <w:rFonts w:ascii="Times New Roman" w:hAnsi="Times New Roman" w:cs="Times New Roman"/>
          <w:sz w:val="24"/>
          <w:szCs w:val="24"/>
        </w:rPr>
        <w:t>rieron el golpe con más fuerza.</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Desde entonces, el BCE apostó por bajar los tipos de referencia de forma contundente (con alguna vacilación en medio), pasando desde el 3,25% al 0,25% en abril de 2009 en el caso de la tasa de depósito. El tipo principal de refinanciación cayó desde el 3,75% hasta el 1%. A la vez que se bajaban los tipos, los gobiernos pusieron en marcha planes de estímulo que se activaron junto a los estabilizadores automáticos (prestaciones por desempleo, ayudas...). La economía logró estabilizarse, pero las fragilidades eran muy notables. La deuda pública comenzó a subir rápidamente en los países que partían con mayores desequilibrios, lo que estaba ya generando ciertas tensiones en los mercados: el BCE había bajado los tipos a cerca de cero, pero los bonos periféricos presentaban rentabilidades del 4 y 5%. Hay que recordar que entonces no había quantitative easing (programa</w:t>
      </w:r>
      <w:r>
        <w:rPr>
          <w:rFonts w:ascii="Times New Roman" w:hAnsi="Times New Roman" w:cs="Times New Roman"/>
          <w:sz w:val="24"/>
          <w:szCs w:val="24"/>
        </w:rPr>
        <w:t>s de compras de bonos masivas).</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La estocada final a los países vulnerables o periféricos</w:t>
      </w:r>
      <w:r w:rsidR="003F2346">
        <w:rPr>
          <w:rFonts w:ascii="Times New Roman" w:hAnsi="Times New Roman" w:cs="Times New Roman"/>
          <w:sz w:val="24"/>
          <w:szCs w:val="24"/>
        </w:rPr>
        <w:t xml:space="preserve"> fue lo que se conoció como el “trichetazo”</w:t>
      </w:r>
      <w:r w:rsidRPr="00054DB4">
        <w:rPr>
          <w:rFonts w:ascii="Times New Roman" w:hAnsi="Times New Roman" w:cs="Times New Roman"/>
          <w:sz w:val="24"/>
          <w:szCs w:val="24"/>
        </w:rPr>
        <w:t>, una subida de tipos en julio de 2011 para intentar aplacar el reciente incremento de la inflación que repuntaba al calor de la subida del petróleo. Este movimiento auspiciado por los halcones (aquellos que defienden una política monetaria más restrictiva) del BCE desencadenó una crisis de deuda en la zona euro (los intereses de los bonos de los países del sur de Europa e Irlanda se dispararon) que estuvo a punto de acabar con el euro. Grecia, Portugal e Irlanda tuvieron que ser rescatadas, mientras que España recibi</w:t>
      </w:r>
      <w:r w:rsidR="00BA0B33">
        <w:rPr>
          <w:rFonts w:ascii="Times New Roman" w:hAnsi="Times New Roman" w:cs="Times New Roman"/>
          <w:sz w:val="24"/>
          <w:szCs w:val="24"/>
        </w:rPr>
        <w:t>ó una inyección de dinero para “</w:t>
      </w:r>
      <w:r w:rsidRPr="00054DB4">
        <w:rPr>
          <w:rFonts w:ascii="Times New Roman" w:hAnsi="Times New Roman" w:cs="Times New Roman"/>
          <w:sz w:val="24"/>
          <w:szCs w:val="24"/>
        </w:rPr>
        <w:t>r</w:t>
      </w:r>
      <w:r w:rsidR="00BA0B33">
        <w:rPr>
          <w:rFonts w:ascii="Times New Roman" w:hAnsi="Times New Roman" w:cs="Times New Roman"/>
          <w:sz w:val="24"/>
          <w:szCs w:val="24"/>
        </w:rPr>
        <w:t>escatar”</w:t>
      </w:r>
      <w:r>
        <w:rPr>
          <w:rFonts w:ascii="Times New Roman" w:hAnsi="Times New Roman" w:cs="Times New Roman"/>
          <w:sz w:val="24"/>
          <w:szCs w:val="24"/>
        </w:rPr>
        <w:t xml:space="preserve"> a las cajas de ahorro.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Jean Claude Trichet dejó la presidencia del BCE con una zona euro patas arriba. El italiano Mario Draghi tomó el relevo el noviembre de 2011 con una misión nada sencilla: evitar la ruptura del euro. Las condiciones que se habían impuesto junto a los paquetes de rescate de la conocida como troika comenzaron a generar un enorme malestar en los países del sur de Europa. La salida de Grecia del club del euro fue una posibilidad que finalmente no llegó a suceder, pero el riesgo fue real.</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Draghi: los tipos negativos y el QE</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1 de noviembre de 2011 comenzó su mandato y solo dos días después el Banco Central Europeo anunció la primera bajada de tipos en dos años, para dejar el tipo principal de refinanciación en el 1,25%, la facilidad de depósito en el 0,50% y la marginalidad de crédito en el 2%. La inflación se encontraba por encima del 2%, superando el objetivo que se marca el BCE, con un barril de petróleo que había vuelto a superar los 100 dólares. Sin embargo, la economía de la zona euro se adentraba en la crisis de deuda soberana y la actividad se desaceleraba a pasos agigantados, la excusa perfecta para la llegada de un descenso de los p</w:t>
      </w:r>
      <w:r>
        <w:rPr>
          <w:rFonts w:ascii="Times New Roman" w:hAnsi="Times New Roman" w:cs="Times New Roman"/>
          <w:sz w:val="24"/>
          <w:szCs w:val="24"/>
        </w:rPr>
        <w:t>recios y empezar a bajar tipos.</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lastRenderedPageBreak/>
        <w:t>Mario Draghi y el Consejo de Gobierno del BCE anunciaron varios recortes de tipos que, sin embargo, no sirvieron para aplacar las ventas de deuda soberana de los PIGS por parte los inversores, incluso a pesar de los rescates de la troika (Grecia, Irlanda y Portugal) y las expectativas de más bajadas de tipos. Los siguientes en caer podían ser España, Italia y quién sabe si hasta Francia, las primas de riesgo estaban disparadas y el miedo a la desintegración del euro dominaba a i</w:t>
      </w:r>
      <w:r>
        <w:rPr>
          <w:rFonts w:ascii="Times New Roman" w:hAnsi="Times New Roman" w:cs="Times New Roman"/>
          <w:sz w:val="24"/>
          <w:szCs w:val="24"/>
        </w:rPr>
        <w:t>nversores y agentes económicos.</w:t>
      </w:r>
    </w:p>
    <w:p w:rsidR="00D65ABE" w:rsidRPr="001D5193"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Al</w:t>
      </w:r>
      <w:r w:rsidR="00BA0B33">
        <w:rPr>
          <w:rFonts w:ascii="Times New Roman" w:hAnsi="Times New Roman" w:cs="Times New Roman"/>
          <w:sz w:val="24"/>
          <w:szCs w:val="24"/>
        </w:rPr>
        <w:t xml:space="preserve"> final, lo más importante para “rescatar”</w:t>
      </w:r>
      <w:r w:rsidRPr="00054DB4">
        <w:rPr>
          <w:rFonts w:ascii="Times New Roman" w:hAnsi="Times New Roman" w:cs="Times New Roman"/>
          <w:sz w:val="24"/>
          <w:szCs w:val="24"/>
        </w:rPr>
        <w:t xml:space="preserve"> al euro no fueron las acciones, sino las palabras. Draghi logró revertir la situación, o dar una patada hacia delante (según se mire), con el mítico discurso pronunciado en julio de 2012 en el que aseguró que el BCE haría todo lo que fuera necesario para preservar la </w:t>
      </w:r>
      <w:r w:rsidR="00BA0B33">
        <w:rPr>
          <w:rFonts w:ascii="Times New Roman" w:hAnsi="Times New Roman" w:cs="Times New Roman"/>
          <w:sz w:val="24"/>
          <w:szCs w:val="24"/>
        </w:rPr>
        <w:t>integridad del euro (el mítico “whatever it takes”</w:t>
      </w:r>
      <w:r w:rsidRPr="00054DB4">
        <w:rPr>
          <w:rFonts w:ascii="Times New Roman" w:hAnsi="Times New Roman" w:cs="Times New Roman"/>
          <w:sz w:val="24"/>
          <w:szCs w:val="24"/>
        </w:rPr>
        <w:t xml:space="preserve">). Esa promesa incondicional vino días después acompañado del programa OMT (permitía la compra de deuda en el mercado secundario de países concretos), que con su sola presencia (no ha llegado a usarse) relajó las primas de riesgo y evitó una mayor fractura entre los países del euro. </w:t>
      </w:r>
      <w:r w:rsidRPr="001D5193">
        <w:rPr>
          <w:rFonts w:ascii="Times New Roman" w:hAnsi="Times New Roman" w:cs="Times New Roman"/>
          <w:sz w:val="24"/>
          <w:szCs w:val="24"/>
        </w:rPr>
        <w:t>Los intereses cayeron más y las primas se comprimieron.</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BCE de Draghi también aprovechó para lanzar lo que sería el embrión de las subastas de liquidez a muy largo plazo (TLTRO) para la banca. Estas se llamaron VLTRO y supusieron un salto en el balance del banco. Los bancos pedían liquidez que luego usaban para comprar deuda soberana, generando un círculo vicioso entre bancos y sus países que acabó siendo peligroso para el sistema financiero, pero que también contribuyó a reducir e</w:t>
      </w:r>
      <w:r>
        <w:rPr>
          <w:rFonts w:ascii="Times New Roman" w:hAnsi="Times New Roman" w:cs="Times New Roman"/>
          <w:sz w:val="24"/>
          <w:szCs w:val="24"/>
        </w:rPr>
        <w:t>l interés de la deuda soberana.</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Con los mercados calmados y la economía recuperando el pulso, apareció el fantasma de la deflación en la zona euro. Aunque la economía de la región comenzó a crecer en 2013, la inflación inició una senda descendente que el desplome del petróleo (con la irrupción del fracking en EEUU) amplificó generando grandes dudas sobre el poder el banco central para mantener el índice de precios</w:t>
      </w:r>
      <w:r>
        <w:rPr>
          <w:rFonts w:ascii="Times New Roman" w:hAnsi="Times New Roman" w:cs="Times New Roman"/>
          <w:sz w:val="24"/>
          <w:szCs w:val="24"/>
        </w:rPr>
        <w:t xml:space="preserve"> al consumo (IPC) cerca del 2%.</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Una vez más hubo respuesta: tarde o no, Mario Draghi y el BCE anunciaron las primeras TLTRO en 2014, orientadas para que el crédito fluyese a familias y empresas en lugar de acabar en la deuda soberana. Por si esto fuera poco, Draghi cruzó una frontera más y metió a la zona euro en el mundo de los tipos de interés negativos en junio de 2014, anunciando que el tipo sobre la facilidad de depósito sería del -0,10%, donde los bancos aparcan su exceso de liquidez. Esta decisión tenía la intención de incentivar a los bancos a aumentar el crédito y reducir sus niveles de liquidez que tení</w:t>
      </w:r>
      <w:r>
        <w:rPr>
          <w:rFonts w:ascii="Times New Roman" w:hAnsi="Times New Roman" w:cs="Times New Roman"/>
          <w:sz w:val="24"/>
          <w:szCs w:val="24"/>
        </w:rPr>
        <w:t>an esa penalización del -0,10%.</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Además, el italiano fue el primer presidente en usar las compras masivas de bonos, que anunció en enero de 2015 y que hoy se han convertido en una herramienta más de política monetaria (los bancos centrales incrementan y reducen el balance como herramienta complementaria a l</w:t>
      </w:r>
      <w:r>
        <w:rPr>
          <w:rFonts w:ascii="Times New Roman" w:hAnsi="Times New Roman" w:cs="Times New Roman"/>
          <w:sz w:val="24"/>
          <w:szCs w:val="24"/>
        </w:rPr>
        <w:t>as subidas y bajadas de tipos).</w:t>
      </w:r>
    </w:p>
    <w:p w:rsidR="00D65ABE"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BCE de Draghi terminó llevando los tipos hasta el -0,5%. El italiano fue víctima de las críticas más feroces de los halcones, que llegaron a acusarle de manejar el BCE a su antojo sin contar con la opinión de todos los miembros del Consejo en las reuniones de política monetaria. Mario Draghi fue considerado una paloma (aquellos que defienden una política monetaria muy expansiva). Y entre los halcones y las palomas... llegó el búho.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Lagarde: el búho que capitanea un alza de tipos histórica</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Christine Madeleine Odette Lagarde tomó las riendas del Banco Central Europeo a finales de 2019, convirtiéndose en la primera mujer en ocupar el cargo. En una de sus primeras </w:t>
      </w:r>
      <w:r w:rsidRPr="00054DB4">
        <w:rPr>
          <w:rFonts w:ascii="Times New Roman" w:hAnsi="Times New Roman" w:cs="Times New Roman"/>
          <w:sz w:val="24"/>
          <w:szCs w:val="24"/>
        </w:rPr>
        <w:lastRenderedPageBreak/>
        <w:t>entrevistas como presidenta de la institución, la abogada francesa se definió como un búho. Ni halcón ni paloma; ni en un bando ni en el otro de la percep</w:t>
      </w:r>
      <w:r w:rsidR="00BA0B33">
        <w:rPr>
          <w:rFonts w:ascii="Times New Roman" w:hAnsi="Times New Roman" w:cs="Times New Roman"/>
          <w:sz w:val="24"/>
          <w:szCs w:val="24"/>
        </w:rPr>
        <w:t>ción de la política monetaria. “Son animales muy sabios”</w:t>
      </w:r>
      <w:r w:rsidRPr="00054DB4">
        <w:rPr>
          <w:rFonts w:ascii="Times New Roman" w:hAnsi="Times New Roman" w:cs="Times New Roman"/>
          <w:sz w:val="24"/>
          <w:szCs w:val="24"/>
        </w:rPr>
        <w:t>, aseguró entonces. Y defendió que todos los miembros del Consejo de Gobierno de</w:t>
      </w:r>
      <w:r w:rsidR="00BA0B33">
        <w:rPr>
          <w:rFonts w:ascii="Times New Roman" w:hAnsi="Times New Roman" w:cs="Times New Roman"/>
          <w:sz w:val="24"/>
          <w:szCs w:val="24"/>
        </w:rPr>
        <w:t>l BCE “tienen que estar a una”</w:t>
      </w:r>
      <w:r>
        <w:rPr>
          <w:rFonts w:ascii="Times New Roman" w:hAnsi="Times New Roman" w:cs="Times New Roman"/>
          <w:sz w:val="24"/>
          <w:szCs w:val="24"/>
        </w:rPr>
        <w:t>.</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De esta forma, apelando a la unanimidad o, al menos, al consenso en el seno del organismo monetario del euro y mostrando un perfil más bien político, la gala cogió el mando de la política monetaria de la eurozona en un momento en el que los tipos de interés estaban en mínimos. Y Lagarde apuntó alto nada más comenzar: tras su primera reunión del Consejo anunció una revisión del objetivo de inflación y, en general, del mandato del BCE, con la idea de incluir nuevos factores en la toma de decisiones de la entidad central como la des</w:t>
      </w:r>
      <w:r>
        <w:rPr>
          <w:rFonts w:ascii="Times New Roman" w:hAnsi="Times New Roman" w:cs="Times New Roman"/>
          <w:sz w:val="24"/>
          <w:szCs w:val="24"/>
        </w:rPr>
        <w:t>igualdad o el cambio climático.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Sin embargo, sus planes pasaron rápidamente a un segundo plano. A los pocos meses el mundo entero se paralizó por la irrupción del covid-19 y el estallido de la pandemia. En un primer momento, el BCE apenas actuó: el 12 de marzo de 2020 se limitó a mantener los tipos, cuando el mercado esperaba un recorte, y a anunciar más inyecciones de liquidez </w:t>
      </w:r>
      <w:r w:rsidR="00BA0B33">
        <w:rPr>
          <w:rFonts w:ascii="Times New Roman" w:hAnsi="Times New Roman" w:cs="Times New Roman"/>
          <w:sz w:val="24"/>
          <w:szCs w:val="24"/>
        </w:rPr>
        <w:t>a la banca y más estímulos por “apenas”</w:t>
      </w:r>
      <w:r w:rsidRPr="00054DB4">
        <w:rPr>
          <w:rFonts w:ascii="Times New Roman" w:hAnsi="Times New Roman" w:cs="Times New Roman"/>
          <w:sz w:val="24"/>
          <w:szCs w:val="24"/>
        </w:rPr>
        <w:t xml:space="preserve"> 120.000 millones de euros. Ese acabó siendo el peor día de la historia de la bolsa española y la europea y Lagarde recibió no pocas críticas por su gestión comunicativa. Hubo que esperar una semana para que el banco central, tras una reunión de emergencia, sacara la </w:t>
      </w:r>
      <w:r w:rsidR="00BA0B33">
        <w:rPr>
          <w:rFonts w:ascii="Times New Roman" w:hAnsi="Times New Roman" w:cs="Times New Roman"/>
          <w:sz w:val="24"/>
          <w:szCs w:val="24"/>
        </w:rPr>
        <w:t>“bazuca”</w:t>
      </w:r>
      <w:r w:rsidRPr="00054DB4">
        <w:rPr>
          <w:rFonts w:ascii="Times New Roman" w:hAnsi="Times New Roman" w:cs="Times New Roman"/>
          <w:sz w:val="24"/>
          <w:szCs w:val="24"/>
        </w:rPr>
        <w:t xml:space="preserve"> con un nuevo programa de compras masivas de bonos, el conocido como PEPP, que comenzó teniendo un volumen de 750.000 millones y acabó contando con 1,85 billones de euros. En cuanto al precio del dinero, la tasa de depósito terminó descendiendo al</w:t>
      </w:r>
      <w:r>
        <w:rPr>
          <w:rFonts w:ascii="Times New Roman" w:hAnsi="Times New Roman" w:cs="Times New Roman"/>
          <w:sz w:val="24"/>
          <w:szCs w:val="24"/>
        </w:rPr>
        <w:t xml:space="preserve"> -0,5% (desde el -0,1% previo).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Pasada la tormenta inicial por el coronavirus, el Banco Central Europeo acabó estableciendo en julio de 2021 un nuevo objetivo de inflación en la zona euro, más alto que el anterior, e incluso se plantea revisarlo de nuevo</w:t>
      </w:r>
      <w:r>
        <w:rPr>
          <w:rFonts w:ascii="Times New Roman" w:hAnsi="Times New Roman" w:cs="Times New Roman"/>
          <w:sz w:val="24"/>
          <w:szCs w:val="24"/>
        </w:rPr>
        <w:t xml:space="preserve"> (aunque no en el corto plazo).</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Lo que el BCE no esperaba era que, tras la pandemia, y en los inicios de una delicada recuperación de la economía tras un shock histórico, estallara a principios de 2022 una guerra en el continente europeo con la invasión rusa de Ucrania. Un conflicto bélico que no tardó en notarse en los bolsillos de la ciudadanía de toda la zona del euro, pues </w:t>
      </w:r>
      <w:r w:rsidR="00BA0B33">
        <w:rPr>
          <w:rFonts w:ascii="Times New Roman" w:hAnsi="Times New Roman" w:cs="Times New Roman"/>
          <w:sz w:val="24"/>
          <w:szCs w:val="24"/>
        </w:rPr>
        <w:t>la inflación, que ya comenzó a “calentarse”</w:t>
      </w:r>
      <w:r w:rsidRPr="00054DB4">
        <w:rPr>
          <w:rFonts w:ascii="Times New Roman" w:hAnsi="Times New Roman" w:cs="Times New Roman"/>
          <w:sz w:val="24"/>
          <w:szCs w:val="24"/>
        </w:rPr>
        <w:t xml:space="preserve"> en 2021 con el levantamiento de las restricciones anti-covid (sumado a años de políticas mo</w:t>
      </w:r>
      <w:r w:rsidR="00BA0B33">
        <w:rPr>
          <w:rFonts w:ascii="Times New Roman" w:hAnsi="Times New Roman" w:cs="Times New Roman"/>
          <w:sz w:val="24"/>
          <w:szCs w:val="24"/>
        </w:rPr>
        <w:t>netarias expansivas y con el “dinero gratis”</w:t>
      </w:r>
      <w:r w:rsidRPr="00054DB4">
        <w:rPr>
          <w:rFonts w:ascii="Times New Roman" w:hAnsi="Times New Roman" w:cs="Times New Roman"/>
          <w:sz w:val="24"/>
          <w:szCs w:val="24"/>
        </w:rPr>
        <w:t>), pasó a dispararse. Para muestra, un botón: si el objetivo de inflación del Banco Central Europeo a medio plazo es simétrico al 2%, llegó a superar el 10% a finales de 2022. Y aun a día de hoy se encuentra muy por encima de dicha meta. El propio BCE no prevé do</w:t>
      </w:r>
      <w:r>
        <w:rPr>
          <w:rFonts w:ascii="Times New Roman" w:hAnsi="Times New Roman" w:cs="Times New Roman"/>
          <w:sz w:val="24"/>
          <w:szCs w:val="24"/>
        </w:rPr>
        <w:t>blegar la inflación hasta 2025.</w:t>
      </w:r>
    </w:p>
    <w:p w:rsidR="00D65ABE" w:rsidRPr="00054DB4"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La guerra en Ucrania estalló a finales de febrero del pasado año, pero no fue hasta verano (julio) cuando Lagarde y el resto de miembros del Consejo de Gobierno decidieron subir los tipos de interés. La Fed norteamericana ya había comenzado a hacerlo cuatro meses antes. Eso sí, el BCE empezó a endurecer su política monetaria pisando fuerte: la primera alza de tipos fue de 50 puntos básicos, aunque la propia institución había anticipado que sería de 25. A esa le siguieron dos incrementos históricos de 75 puntos básicos. Posteriormente la entidad volvió a desacelerar el ritmo, pero el encarecimiento del dinero no ha terminado en Europa: el BCE ha elevado los tipos de interés 375 puntos básicos en nueve meses y la propia Lagarde ha asegurado que</w:t>
      </w:r>
      <w:r w:rsidR="00BA0B33">
        <w:rPr>
          <w:rFonts w:ascii="Times New Roman" w:hAnsi="Times New Roman" w:cs="Times New Roman"/>
          <w:sz w:val="24"/>
          <w:szCs w:val="24"/>
        </w:rPr>
        <w:t xml:space="preserve"> quedan más subidas por venir. “</w:t>
      </w:r>
      <w:r w:rsidRPr="00054DB4">
        <w:rPr>
          <w:rFonts w:ascii="Times New Roman" w:hAnsi="Times New Roman" w:cs="Times New Roman"/>
          <w:sz w:val="24"/>
          <w:szCs w:val="24"/>
        </w:rPr>
        <w:t xml:space="preserve">No estamos pausando las alzas, esto está </w:t>
      </w:r>
      <w:r w:rsidR="00BA0B33">
        <w:rPr>
          <w:rFonts w:ascii="Times New Roman" w:hAnsi="Times New Roman" w:cs="Times New Roman"/>
          <w:sz w:val="24"/>
          <w:szCs w:val="24"/>
        </w:rPr>
        <w:t>muy claro”</w:t>
      </w:r>
      <w:r w:rsidRPr="00054DB4">
        <w:rPr>
          <w:rFonts w:ascii="Times New Roman" w:hAnsi="Times New Roman" w:cs="Times New Roman"/>
          <w:sz w:val="24"/>
          <w:szCs w:val="24"/>
        </w:rPr>
        <w:t>, subrayó la presidenta del BCE en varias ocasiones en la rueda de prensa posterior a l</w:t>
      </w:r>
      <w:r>
        <w:rPr>
          <w:rFonts w:ascii="Times New Roman" w:hAnsi="Times New Roman" w:cs="Times New Roman"/>
          <w:sz w:val="24"/>
          <w:szCs w:val="24"/>
        </w:rPr>
        <w:t>a última reunión del organismo.</w:t>
      </w:r>
    </w:p>
    <w:p w:rsidR="00D65ABE" w:rsidRDefault="00D65ABE" w:rsidP="00D65ABE">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lastRenderedPageBreak/>
        <w:t xml:space="preserve">El mandato de Lagarde no acabará, en principio, hasta finales de 2027. Por ahora se desconoce quién cogerá el relevo. Tampoco hay certeza sobre hasta dónde y hasta cuándo aumentarán los tipos de interés en lo que queda del mandato de la lechuza francesa. Y visto lo visto en sus primeros 25 años de vida, es imposible no preguntarse: ¿cuántas crisis más tendrá que encarar el Banco Central Europeo antes de llegar a la treintena? </w:t>
      </w:r>
      <w:r w:rsidRPr="001D5193">
        <w:rPr>
          <w:rFonts w:ascii="Times New Roman" w:hAnsi="Times New Roman" w:cs="Times New Roman"/>
          <w:sz w:val="24"/>
          <w:szCs w:val="24"/>
        </w:rPr>
        <w:t>Solo el tiempo lo dirá.</w:t>
      </w:r>
    </w:p>
    <w:p w:rsidR="00D65ABE" w:rsidRPr="00EB72ED" w:rsidRDefault="00D65ABE" w:rsidP="00D65ABE">
      <w:pPr>
        <w:spacing w:line="240" w:lineRule="auto"/>
        <w:jc w:val="both"/>
        <w:rPr>
          <w:rFonts w:ascii="Times New Roman" w:hAnsi="Times New Roman" w:cs="Times New Roman"/>
          <w:sz w:val="24"/>
          <w:szCs w:val="24"/>
        </w:rPr>
      </w:pPr>
      <w:r w:rsidRPr="00EB72ED">
        <w:rPr>
          <w:rFonts w:ascii="Times New Roman" w:hAnsi="Times New Roman" w:cs="Times New Roman"/>
          <w:b/>
          <w:sz w:val="24"/>
          <w:szCs w:val="24"/>
        </w:rPr>
        <w:t>El asalto a la ilusión</w:t>
      </w:r>
      <w:r w:rsidR="00245707" w:rsidRPr="00EB72ED">
        <w:rPr>
          <w:rFonts w:ascii="Times New Roman" w:hAnsi="Times New Roman" w:cs="Times New Roman"/>
          <w:b/>
          <w:sz w:val="24"/>
          <w:szCs w:val="24"/>
        </w:rPr>
        <w:t>: la Unión Europea que no fue (crónica de una muerte anunciada)</w:t>
      </w:r>
    </w:p>
    <w:p w:rsidR="00D65ABE" w:rsidRPr="00EB72ED" w:rsidRDefault="00D65ABE" w:rsidP="00D65ABE">
      <w:pPr>
        <w:spacing w:line="240" w:lineRule="auto"/>
        <w:jc w:val="both"/>
        <w:rPr>
          <w:rFonts w:ascii="Times New Roman" w:hAnsi="Times New Roman" w:cs="Times New Roman"/>
          <w:sz w:val="24"/>
          <w:szCs w:val="24"/>
        </w:rPr>
      </w:pPr>
      <w:r w:rsidRPr="00EB72ED">
        <w:rPr>
          <w:rFonts w:ascii="Times New Roman" w:hAnsi="Times New Roman" w:cs="Times New Roman"/>
          <w:sz w:val="24"/>
          <w:szCs w:val="24"/>
        </w:rPr>
        <w:t>(</w:t>
      </w:r>
      <w:r w:rsidR="001922D5" w:rsidRPr="00EB72ED">
        <w:rPr>
          <w:rFonts w:ascii="Times New Roman" w:hAnsi="Times New Roman" w:cs="Times New Roman"/>
          <w:sz w:val="24"/>
          <w:szCs w:val="24"/>
        </w:rPr>
        <w:t>“</w:t>
      </w:r>
      <w:r w:rsidR="009F3D61" w:rsidRPr="00EB72ED">
        <w:rPr>
          <w:rFonts w:ascii="Times New Roman" w:hAnsi="Times New Roman" w:cs="Times New Roman"/>
          <w:sz w:val="24"/>
          <w:szCs w:val="24"/>
        </w:rPr>
        <w:t>Diario de abordo</w:t>
      </w:r>
      <w:r w:rsidR="001922D5" w:rsidRPr="00EB72ED">
        <w:rPr>
          <w:rFonts w:ascii="Times New Roman" w:hAnsi="Times New Roman" w:cs="Times New Roman"/>
          <w:sz w:val="24"/>
          <w:szCs w:val="24"/>
        </w:rPr>
        <w:t>”</w:t>
      </w:r>
      <w:r w:rsidR="009F3D61" w:rsidRPr="00EB72ED">
        <w:rPr>
          <w:rFonts w:ascii="Times New Roman" w:hAnsi="Times New Roman" w:cs="Times New Roman"/>
          <w:sz w:val="24"/>
          <w:szCs w:val="24"/>
        </w:rPr>
        <w:t xml:space="preserve"> </w:t>
      </w:r>
      <w:r w:rsidRPr="00EB72ED">
        <w:rPr>
          <w:rFonts w:ascii="Times New Roman" w:hAnsi="Times New Roman" w:cs="Times New Roman"/>
          <w:sz w:val="24"/>
          <w:szCs w:val="24"/>
        </w:rPr>
        <w:t>de un ciudadano europeo, estrujado por la crisis financiera del año 2008,</w:t>
      </w:r>
      <w:r w:rsidR="009F3D61" w:rsidRPr="00EB72ED">
        <w:rPr>
          <w:rFonts w:ascii="Times New Roman" w:hAnsi="Times New Roman" w:cs="Times New Roman"/>
          <w:sz w:val="24"/>
          <w:szCs w:val="24"/>
        </w:rPr>
        <w:t xml:space="preserve"> </w:t>
      </w:r>
      <w:r w:rsidR="00245707" w:rsidRPr="00EB72ED">
        <w:rPr>
          <w:rFonts w:ascii="Times New Roman" w:hAnsi="Times New Roman" w:cs="Times New Roman"/>
          <w:sz w:val="24"/>
          <w:szCs w:val="24"/>
        </w:rPr>
        <w:t xml:space="preserve"> confinado</w:t>
      </w:r>
      <w:r w:rsidRPr="00EB72ED">
        <w:rPr>
          <w:rFonts w:ascii="Times New Roman" w:hAnsi="Times New Roman" w:cs="Times New Roman"/>
          <w:sz w:val="24"/>
          <w:szCs w:val="24"/>
        </w:rPr>
        <w:t xml:space="preserve"> por la crisis sanitaria del 2020</w:t>
      </w:r>
      <w:r w:rsidR="00EB72ED">
        <w:rPr>
          <w:rFonts w:ascii="Times New Roman" w:hAnsi="Times New Roman" w:cs="Times New Roman"/>
          <w:sz w:val="24"/>
          <w:szCs w:val="24"/>
        </w:rPr>
        <w:t>, ater</w:t>
      </w:r>
      <w:r w:rsidR="007F7E89" w:rsidRPr="00EB72ED">
        <w:rPr>
          <w:rFonts w:ascii="Times New Roman" w:hAnsi="Times New Roman" w:cs="Times New Roman"/>
          <w:sz w:val="24"/>
          <w:szCs w:val="24"/>
        </w:rPr>
        <w:t>ido</w:t>
      </w:r>
      <w:r w:rsidRPr="00EB72ED">
        <w:rPr>
          <w:rFonts w:ascii="Times New Roman" w:hAnsi="Times New Roman" w:cs="Times New Roman"/>
          <w:sz w:val="24"/>
          <w:szCs w:val="24"/>
        </w:rPr>
        <w:t xml:space="preserve"> por la crisis energética del 2022</w:t>
      </w:r>
      <w:r w:rsidR="009F3D61" w:rsidRPr="00EB72ED">
        <w:rPr>
          <w:rFonts w:ascii="Times New Roman" w:hAnsi="Times New Roman" w:cs="Times New Roman"/>
          <w:sz w:val="24"/>
          <w:szCs w:val="24"/>
        </w:rPr>
        <w:t>, y empobrecido por la inflación desatada, que iba a ser pasajera, pero que vino para quedarse)</w:t>
      </w:r>
    </w:p>
    <w:p w:rsidR="00D65ABE" w:rsidRPr="001922D5" w:rsidRDefault="009F3D61" w:rsidP="00D65ABE">
      <w:pPr>
        <w:spacing w:line="240" w:lineRule="auto"/>
        <w:jc w:val="both"/>
        <w:textAlignment w:val="baseline"/>
        <w:rPr>
          <w:rFonts w:ascii="Times New Roman" w:hAnsi="Times New Roman"/>
          <w:b/>
          <w:color w:val="FF0000"/>
          <w:sz w:val="24"/>
          <w:szCs w:val="24"/>
          <w:shd w:val="clear" w:color="auto" w:fill="EEF0EF"/>
        </w:rPr>
      </w:pPr>
      <w:r w:rsidRPr="001922D5">
        <w:rPr>
          <w:rFonts w:ascii="Times New Roman" w:hAnsi="Times New Roman"/>
          <w:b/>
          <w:color w:val="FF0000"/>
          <w:sz w:val="24"/>
          <w:szCs w:val="24"/>
          <w:shd w:val="clear" w:color="auto" w:fill="EEF0EF"/>
        </w:rPr>
        <w:t>C</w:t>
      </w:r>
      <w:r w:rsidR="00D65ABE" w:rsidRPr="001922D5">
        <w:rPr>
          <w:rFonts w:ascii="Times New Roman" w:hAnsi="Times New Roman"/>
          <w:b/>
          <w:color w:val="FF0000"/>
          <w:sz w:val="24"/>
          <w:szCs w:val="24"/>
          <w:shd w:val="clear" w:color="auto" w:fill="EEF0EF"/>
        </w:rPr>
        <w:t>ómo los EEUU cont</w:t>
      </w:r>
      <w:r w:rsidRPr="001922D5">
        <w:rPr>
          <w:rFonts w:ascii="Times New Roman" w:hAnsi="Times New Roman"/>
          <w:b/>
          <w:color w:val="FF0000"/>
          <w:sz w:val="24"/>
          <w:szCs w:val="24"/>
          <w:shd w:val="clear" w:color="auto" w:fill="EEF0EF"/>
        </w:rPr>
        <w:t>agió el sida financiero a la UE</w:t>
      </w:r>
      <w:r w:rsidR="00D65ABE" w:rsidRPr="001922D5">
        <w:rPr>
          <w:rFonts w:ascii="Times New Roman" w:hAnsi="Times New Roman"/>
          <w:b/>
          <w:color w:val="FF0000"/>
          <w:sz w:val="24"/>
          <w:szCs w:val="24"/>
          <w:shd w:val="clear" w:color="auto" w:fill="EEF0EF"/>
        </w:rPr>
        <w:t xml:space="preserve"> </w:t>
      </w:r>
    </w:p>
    <w:p w:rsidR="00D65ABE" w:rsidRDefault="00D65ABE" w:rsidP="00D65ABE">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Eran los tiempos en que Estados Unidos se volvió (más) loco pensando que podía convertir en oro todo, todo, hasta donde la vista alcance (y más allá)</w:t>
      </w:r>
      <w:r>
        <w:rPr>
          <w:rStyle w:val="apple-converted-space"/>
          <w:rFonts w:ascii="Times New Roman" w:hAnsi="Times New Roman"/>
          <w:sz w:val="24"/>
          <w:szCs w:val="24"/>
          <w:shd w:val="clear" w:color="auto" w:fill="EEF0EF"/>
        </w:rPr>
        <w:t xml:space="preserve">… </w:t>
      </w:r>
      <w:r>
        <w:rPr>
          <w:rFonts w:ascii="Times New Roman" w:hAnsi="Times New Roman"/>
          <w:sz w:val="24"/>
          <w:szCs w:val="24"/>
          <w:shd w:val="clear" w:color="auto" w:fill="EEF0EF"/>
        </w:rPr>
        <w:t xml:space="preserve">era el milagro de los panes y los peces, venga alegría, todos ricos o tal parecía, en realidad era tal la abundancia que las sospechas de amaños, de trapicheos, de robo más o menos descarado, se disculpaban. Era normal que entre tanta abundancia hubiera una cierta corrupción, total, había para todos… </w:t>
      </w:r>
    </w:p>
    <w:p w:rsidR="00D65ABE" w:rsidRDefault="00D65ABE" w:rsidP="00D65ABE">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Ante tal espectáculo (de vino y rosas), los países europeos (siempre obnubilados por los usos y costumbres “made in USA”, malas copias y peores aliños) no se quisieron perder la fiesta, y se subieron al carro de los excesos… Lo demás, es historia (la triste historia de la mayor crisis económica desde los años 30): una gente que se había vuelto loca, creyéndose rica con el dinero ajeno… y que un día se despertó pobre, sin empleo y con una hipoteca subprime, que lo condenaba al desahucio.</w:t>
      </w:r>
    </w:p>
    <w:p w:rsidR="00D65ABE" w:rsidRDefault="00D65ABE" w:rsidP="00D65ABE">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¡No sé cómo esto causa tanta perplejidad, porque así era cómo funcionaba el Sistema…! decían (y dicen) los grandes empresarios del Sistema, secundados por la corte de los adictos al “bonus” y los traders “round about” (desvergonzados, con renuncia expresa a cualquier principio de honradez u honestidad).</w:t>
      </w:r>
    </w:p>
    <w:p w:rsidR="00D65ABE" w:rsidRDefault="00D65ABE" w:rsidP="00D65ABE">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Un Sistema que se entregó al trasiego del dinero ajeno al por mayor hasta que la presa de la crisis reventó, dejando sobre el lecho del río y a la vista de todos las miserias de unos países quebrados, con deuda y paro a mansalva, con instituciones averiadas, empezando por la propia Justicia, y una democracia de muy pobre calidad tironeada por la ambición de muchos y la cobardía de casi todos.</w:t>
      </w:r>
    </w:p>
    <w:p w:rsidR="00D65ABE" w:rsidRPr="00FD67C1" w:rsidRDefault="00D65ABE" w:rsidP="00D65ABE">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Si el tsunami de la crisis partió de las costas norteamericanas (2008), al llegar al otro lado del Atlántico, sacudió con más fuerza y poder de destrucción las tierras europeas. Diez años después, aún no se han recuperado todos los cadáveres. Del espectáculo de vino y rosas (mal copiado y peor ejecutado), solo queda el tanatorio y una larga fila de cadáveres a la espera de ser incinerados. Eso siempre les pasa a los ratones (UE) que siguen a Hamelin (USA) y su flauta. Solo les falta decir: “play it again Sam”.</w:t>
      </w:r>
    </w:p>
    <w:p w:rsidR="00D65ABE" w:rsidRDefault="00D65ABE" w:rsidP="00D65ABE">
      <w:pPr>
        <w:shd w:val="clear" w:color="auto" w:fill="FFFFFF"/>
        <w:spacing w:line="240" w:lineRule="auto"/>
        <w:jc w:val="both"/>
        <w:rPr>
          <w:rFonts w:ascii="Times New Roman" w:hAnsi="Times New Roman"/>
          <w:sz w:val="24"/>
          <w:szCs w:val="24"/>
        </w:rPr>
      </w:pPr>
      <w:r>
        <w:rPr>
          <w:rFonts w:ascii="Times New Roman" w:hAnsi="Times New Roman"/>
          <w:sz w:val="24"/>
          <w:szCs w:val="24"/>
        </w:rPr>
        <w:t>La crisis financiera termina obligando a los gobiernos a asumir muchas de las deudas que el sector privado era ya incapaz de soportar. Las más afectadas son las economías poco competitivas, como Grecia e Italia. Los siguientes son países como España, Irlanda, Reino Unido. Durante el boom, disfrutaron de abundantes ingresos fiscales procedentes de los sectores, inmobiliario y de servicios financieros. Ahora que estos ingresos se han desplomado, sus déficits presupuestarios han explotado.</w:t>
      </w:r>
    </w:p>
    <w:p w:rsidR="00245707" w:rsidRDefault="00245707" w:rsidP="00D65ABE">
      <w:pPr>
        <w:spacing w:line="240" w:lineRule="auto"/>
        <w:jc w:val="both"/>
        <w:rPr>
          <w:rFonts w:ascii="Times New Roman" w:hAnsi="Times New Roman"/>
          <w:sz w:val="24"/>
          <w:szCs w:val="24"/>
        </w:rPr>
      </w:pPr>
    </w:p>
    <w:p w:rsidR="00D65ABE" w:rsidRPr="00245707" w:rsidRDefault="00D65ABE" w:rsidP="00D65ABE">
      <w:pPr>
        <w:spacing w:line="240" w:lineRule="auto"/>
        <w:jc w:val="both"/>
        <w:rPr>
          <w:rFonts w:ascii="Times New Roman" w:hAnsi="Times New Roman"/>
          <w:b/>
          <w:sz w:val="24"/>
          <w:szCs w:val="24"/>
        </w:rPr>
      </w:pPr>
      <w:r w:rsidRPr="00245707">
        <w:rPr>
          <w:rFonts w:ascii="Times New Roman" w:hAnsi="Times New Roman"/>
          <w:b/>
          <w:sz w:val="24"/>
          <w:szCs w:val="24"/>
        </w:rPr>
        <w:lastRenderedPageBreak/>
        <w:t>PIGS en la granja… El chiquero de los PIGS…  Los primeros países “subprime”</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Cuando los PIGS bailan el tango. Un espectáculo ambulante. El principio del fin de los “payasos sin fronteras” del Mare Nostrum. El adiós a los días de vino y rosas del Club Med.</w:t>
      </w:r>
    </w:p>
    <w:p w:rsidR="00D65ABE" w:rsidRDefault="00D65ABE" w:rsidP="00D65ABE">
      <w:pPr>
        <w:spacing w:line="240" w:lineRule="auto"/>
        <w:jc w:val="both"/>
        <w:rPr>
          <w:rFonts w:ascii="Times New Roman" w:hAnsi="Times New Roman"/>
          <w:sz w:val="24"/>
          <w:szCs w:val="24"/>
        </w:rPr>
      </w:pPr>
      <w:r>
        <w:rPr>
          <w:rFonts w:ascii="Times New Roman" w:hAnsi="Times New Roman"/>
          <w:sz w:val="24"/>
          <w:szCs w:val="24"/>
        </w:rPr>
        <w:t>PIGS al volante (</w:t>
      </w:r>
      <w:r w:rsidR="003F2346">
        <w:rPr>
          <w:rFonts w:ascii="Times New Roman" w:hAnsi="Times New Roman"/>
          <w:sz w:val="24"/>
          <w:szCs w:val="24"/>
        </w:rPr>
        <w:t>¡help!</w:t>
      </w:r>
      <w:r>
        <w:rPr>
          <w:rFonts w:ascii="Times New Roman" w:hAnsi="Times New Roman"/>
          <w:sz w:val="24"/>
          <w:szCs w:val="24"/>
        </w:rPr>
        <w:t>). Problemas con el “air bag”. Se acabó la “Visa Euro” (no hay crédito para pagar el Festival de los PIGS). A cada PIGS le llega su San Martín (o su Angela Merkel, no sé qué es peor).</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¿Estarán Grecia, Portugal, España e Italia “en dificultades que escapan a su propio control” o “son suficientemente peligrosos para el mantenimiento (y seguridad) del Pacto de Estabilidad y Crecimiento de la Unión Europea”?</w:t>
      </w:r>
    </w:p>
    <w:p w:rsidR="00D65ABE" w:rsidRDefault="00D65ABE" w:rsidP="00D65ABE">
      <w:pPr>
        <w:spacing w:line="240" w:lineRule="auto"/>
        <w:jc w:val="both"/>
        <w:rPr>
          <w:rFonts w:ascii="Times New Roman" w:hAnsi="Times New Roman"/>
          <w:sz w:val="24"/>
          <w:szCs w:val="24"/>
        </w:rPr>
      </w:pPr>
      <w:r>
        <w:rPr>
          <w:rFonts w:ascii="Times New Roman" w:hAnsi="Times New Roman"/>
          <w:sz w:val="24"/>
          <w:szCs w:val="24"/>
        </w:rPr>
        <w:t>“Se multiplican los llamamientos de alarma sobre la credibilidad económica de Grecia, Portugal y España para imponer un rigor imprescindible para la estabilidad del euro.</w:t>
      </w:r>
    </w:p>
    <w:p w:rsidR="00D65ABE" w:rsidRDefault="00D65ABE" w:rsidP="00D65ABE">
      <w:pPr>
        <w:spacing w:line="240" w:lineRule="auto"/>
        <w:jc w:val="both"/>
        <w:rPr>
          <w:rFonts w:ascii="Times New Roman" w:hAnsi="Times New Roman"/>
          <w:sz w:val="24"/>
          <w:szCs w:val="24"/>
        </w:rPr>
      </w:pPr>
      <w:r>
        <w:rPr>
          <w:rFonts w:ascii="Times New Roman" w:hAnsi="Times New Roman"/>
          <w:sz w:val="24"/>
          <w:szCs w:val="24"/>
        </w:rPr>
        <w:t xml:space="preserve">Y se suceden los llamamientos a una “deseable” intervención europea en las economías de esos países, calificados de “frágiles”, para intentar frenar los riesgos crecientes para la credibilidad y estabilidad de la moneda común europea”... </w:t>
      </w:r>
      <w:r>
        <w:rPr>
          <w:rFonts w:ascii="Times New Roman" w:hAnsi="Times New Roman"/>
          <w:sz w:val="24"/>
          <w:szCs w:val="24"/>
          <w:u w:val="single"/>
        </w:rPr>
        <w:t>Expertos europeos piden a la UE “intervenir” la economía española</w:t>
      </w:r>
      <w:r>
        <w:rPr>
          <w:rFonts w:ascii="Times New Roman" w:hAnsi="Times New Roman"/>
          <w:sz w:val="24"/>
          <w:szCs w:val="24"/>
        </w:rPr>
        <w:t xml:space="preserve"> (ABC - </w:t>
      </w:r>
      <w:r>
        <w:rPr>
          <w:rFonts w:ascii="Times New Roman" w:hAnsi="Times New Roman"/>
          <w:b/>
          <w:sz w:val="24"/>
          <w:szCs w:val="24"/>
        </w:rPr>
        <w:t>22/1/10</w:t>
      </w:r>
      <w:r>
        <w:rPr>
          <w:rFonts w:ascii="Times New Roman" w:hAnsi="Times New Roman"/>
          <w:sz w:val="24"/>
          <w:szCs w:val="24"/>
        </w:rPr>
        <w:t>)</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¿Por qué no los declaran “incapaces” y les asignan un “curador”</w:t>
      </w:r>
      <w:r>
        <w:rPr>
          <w:b/>
        </w:rPr>
        <w:t xml:space="preserve"> (</w:t>
      </w:r>
      <w:r>
        <w:rPr>
          <w:rFonts w:ascii="Times New Roman" w:hAnsi="Times New Roman"/>
          <w:b/>
          <w:sz w:val="24"/>
          <w:szCs w:val="24"/>
        </w:rPr>
        <w:t>representante para los actos de la vida civil de una persona declarada incapaz)?</w:t>
      </w:r>
    </w:p>
    <w:p w:rsidR="00D65ABE" w:rsidRDefault="00D65ABE" w:rsidP="00D65AB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los últimos meses, en los periódicos económicos se ha repetido el conocido dicho “Too big to fail” (Demasiado grande para quebrar), en referencia a aquellos bancos o compañías (AIG, General Motors,…) que tienen una dimensión tan enorme que su caída podría significar un riesgo sistémico para toda la economía, por lo que el Gobierno tiene que hacer todo lo posible para evitar su quiebra.</w:t>
      </w:r>
    </w:p>
    <w:p w:rsidR="00D65ABE" w:rsidRDefault="00D65ABE" w:rsidP="00D65AB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Sin embargo, los analistas de Credit Suisse dan la vuelta a la frase para decir que, al revés que Grecia o Irlanda, la economía española podría ser “too big to bail out” (“demasiado grande para ser rescatada”). Es decir, el nivel de deuda del Estado español en términos absolutos es tan descomunal (aunque en términos relativos sea menor que el griego) que si España tuviese los mismos problemas que la economía helena, el resto de sus socios europeos tendrían que dejarla caer para no poner en peligro sus propias finanzas. </w:t>
      </w:r>
    </w:p>
    <w:p w:rsidR="00D65ABE" w:rsidRDefault="00D65ABE" w:rsidP="00D65AB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Quizás por eso es por lo que el banco suizo habla de una “preocupación mayor” en el caso español que en el griego. De hecho, tal y como reconoce el economista jefe del Deutsch Bank, la quiebra de España pondría a “Francia y Alemania de rodillas”. </w:t>
      </w:r>
    </w:p>
    <w:p w:rsidR="00D65ABE" w:rsidRDefault="00D65ABE" w:rsidP="00D65ABE">
      <w:pPr>
        <w:spacing w:line="240" w:lineRule="auto"/>
        <w:jc w:val="both"/>
        <w:rPr>
          <w:rFonts w:ascii="Times New Roman" w:eastAsia="Calibri" w:hAnsi="Times New Roman"/>
          <w:sz w:val="24"/>
          <w:szCs w:val="24"/>
        </w:rPr>
      </w:pPr>
      <w:r>
        <w:rPr>
          <w:rFonts w:ascii="Times New Roman" w:hAnsi="Times New Roman"/>
          <w:sz w:val="24"/>
          <w:szCs w:val="24"/>
        </w:rPr>
        <w:t xml:space="preserve">Un final de pesadilla en ese espacio de “choques asimétricos”, como lo llama Krugman: </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(No se lo cuenten a nadie) España no es Grecia (sic). Si Grecia puede “asumir” el papel de Bearn Stern</w:t>
      </w:r>
      <w:r w:rsidR="003F2346">
        <w:rPr>
          <w:rFonts w:ascii="Times New Roman" w:hAnsi="Times New Roman"/>
          <w:b/>
          <w:sz w:val="24"/>
          <w:szCs w:val="24"/>
        </w:rPr>
        <w:t>s</w:t>
      </w:r>
      <w:r>
        <w:rPr>
          <w:rFonts w:ascii="Times New Roman" w:hAnsi="Times New Roman"/>
          <w:b/>
          <w:sz w:val="24"/>
          <w:szCs w:val="24"/>
        </w:rPr>
        <w:t xml:space="preserve"> (en este drama), es muy verosímil esperar que España sea seleccionada para “representar” el papel de Lehman Brothers.</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 xml:space="preserve">Si Grecia puede ser el Bearn Sterns del Pireo, España puede ser el Lehman Brothers de la Península Ibérica. Portugal es pequeño y “valido” de los ingleses. Italia es “socio fundador” y “Capo di tutti capi”. Spain is different… </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lastRenderedPageBreak/>
        <w:t>España no es Grecia (sic). Por eso, la “patada en el culo” puede resultar más ejemplar (el alumno más patoso). Una cuestión de “caza mayor” (de esa que tanto les gusta a los “señoritos” españoles).</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Demasiado grande para ser rescatada. Un “nuevo rico” (petulante, inmodesto, inmaduro, irresponsable, frívolo, leve, banal, fugaz y falaz) al que hay que escarmentar (demasiado “imprevisible” para sostenerlo). Un “buen culo” donde hacer tronar el escarmiento. Y para que Portugal e Italia se vayan enterando.</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 xml:space="preserve">Dejar a España “librada a los mercados”. En manos del FMI. De “rodillas”, como Argentina (ya conozco esa canción… y también su final). ¿Qué tal?  </w:t>
      </w:r>
    </w:p>
    <w:p w:rsidR="00D65ABE" w:rsidRDefault="00D65ABE" w:rsidP="00D65ABE">
      <w:pPr>
        <w:shd w:val="clear" w:color="auto" w:fill="FFFFFF"/>
        <w:spacing w:line="240" w:lineRule="auto"/>
        <w:jc w:val="both"/>
        <w:rPr>
          <w:rFonts w:ascii="Times New Roman" w:hAnsi="Times New Roman"/>
          <w:sz w:val="24"/>
          <w:szCs w:val="24"/>
        </w:rPr>
      </w:pPr>
      <w:r>
        <w:rPr>
          <w:rFonts w:ascii="Times New Roman" w:hAnsi="Times New Roman"/>
          <w:sz w:val="24"/>
          <w:szCs w:val="24"/>
        </w:rPr>
        <w:t xml:space="preserve">“Zapatero tiene razón en que España lidera la Champions League, pero no la del crecimiento económico, sino la del riesgo financiero: según un análisis de Crédit Suisse, nuestro país es el sexto más peligroso del mundo, por delante de economías tan poco sólidas como Turquía, Ucrania, Bulgaria, Egipto, Indonesia, Colombia o Kazajistán. Además del banco suizo, Deutsche Bank y el propio BCE alertan de que el necesario desapalancamiento (reducción del endeudamiento) de nuestra economía supone un enorme obstáculo para la recuperación”... </w:t>
      </w:r>
      <w:r>
        <w:rPr>
          <w:rFonts w:ascii="Times New Roman" w:hAnsi="Times New Roman"/>
          <w:sz w:val="24"/>
          <w:szCs w:val="24"/>
          <w:u w:val="single"/>
        </w:rPr>
        <w:t>España lidera la “Champions” del riesgo: tiene más peligro financiero que Egipto, Indonesia o Colombia</w:t>
      </w:r>
      <w:r>
        <w:rPr>
          <w:rFonts w:ascii="Times New Roman" w:hAnsi="Times New Roman"/>
          <w:sz w:val="24"/>
          <w:szCs w:val="24"/>
        </w:rPr>
        <w:t xml:space="preserve"> (El Confidencial - </w:t>
      </w:r>
      <w:r>
        <w:rPr>
          <w:rFonts w:ascii="Times New Roman" w:hAnsi="Times New Roman"/>
          <w:b/>
          <w:sz w:val="24"/>
          <w:szCs w:val="24"/>
        </w:rPr>
        <w:t>11/12/09</w:t>
      </w:r>
      <w:r>
        <w:rPr>
          <w:rFonts w:ascii="Times New Roman" w:hAnsi="Times New Roman"/>
          <w:sz w:val="24"/>
          <w:szCs w:val="24"/>
        </w:rPr>
        <w:t>)</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La próxima Grecia no es España, es el Reino Unido. España es la próxima Argentina. Con Rodríguez Zapatero en el “papel” de Perón, la UGT en el “papel” de la CGT y el BCE (o la UE) en el “papel” de FMI. ¿Drama u Ópera bufa? ¿Qué opinan del “casting”?</w:t>
      </w:r>
    </w:p>
    <w:p w:rsidR="00D65ABE" w:rsidRDefault="00D65ABE" w:rsidP="00D65ABE">
      <w:pPr>
        <w:spacing w:line="240" w:lineRule="auto"/>
        <w:jc w:val="both"/>
        <w:rPr>
          <w:rFonts w:ascii="Times New Roman" w:hAnsi="Times New Roman"/>
          <w:sz w:val="24"/>
          <w:szCs w:val="24"/>
        </w:rPr>
      </w:pPr>
      <w:r>
        <w:rPr>
          <w:rFonts w:ascii="Times New Roman" w:hAnsi="Times New Roman"/>
          <w:sz w:val="24"/>
          <w:szCs w:val="24"/>
        </w:rPr>
        <w:t xml:space="preserve">(Los libretistas) Han vuelto. Mejor dicho, nunca se habían ido. Lo que ocurre es que en la mayoría de las ocasiones pasan desapercibidos. Pero siempre están ahí, al acecho. Pendientes de encontrar el hueco que les conduce a la oportunidad. A la rentabilidad. Se trata de los especuladores. Para unos, son los maestros del mercado. Los que lo lubrican al vender cuando todos compran y comprar cuando todos venden; los que ponen a los precios en su sitio. Para otros, unos destructores. Los carroñeros que se precipitan sobre la presa cuando ésta flaquea y se benefician de los males ajenos. O como los definió Gregory Millman en el libro que los tenía como protagonistas, titulado Especuladores internacionales: los nuevos vándalos. </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El Fondo Monetario no habla de ningún país en concreto, pero recuerda que “están surgiendo riesgos nuevos como consecuencia del respaldo extraordinario” proporcionado por los bancos centrales para apuntalar la maltrecha situación de la banca. “Ese respaldo sin precedentes”, sostiene el FMI, “tiene por costo un aumento considerable del riesgo para los balances soberanos (los países) y, en consecuencia, un aumento de la carga de la deuda que acarrea riesgos para la estabilidad financiera futura”. Es decir, que el fuerte endeudamiento público puede convertirse en un serio problema si no se vuele a la ortodoxia presupuestaria. Aunque sin excesos y sin correr demasiado.</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Disparen contra el euro. ¿Qué crisis más rara?</w:t>
      </w:r>
    </w:p>
    <w:p w:rsidR="00D65ABE" w:rsidRDefault="00D65ABE" w:rsidP="00D65ABE">
      <w:pPr>
        <w:spacing w:line="240" w:lineRule="auto"/>
        <w:jc w:val="both"/>
        <w:rPr>
          <w:rFonts w:ascii="Times New Roman" w:hAnsi="Times New Roman"/>
          <w:sz w:val="24"/>
          <w:szCs w:val="24"/>
        </w:rPr>
      </w:pPr>
      <w:r>
        <w:rPr>
          <w:rFonts w:ascii="Times New Roman" w:hAnsi="Times New Roman"/>
          <w:sz w:val="24"/>
          <w:szCs w:val="24"/>
        </w:rPr>
        <w:t xml:space="preserve">Muchos países han tenido que lidiar con problemas de deuda, pero los actuales temores sobre la deuda fiscal que golpean a algunos mercados europeos son alimentados por una herramienta de corretaje relativamente nueva que permite a los inversionistas apostar en contra de los bonos soberanos. Los seguros contra la cesación de pagos (CDS) permiten que </w:t>
      </w:r>
      <w:r>
        <w:rPr>
          <w:rFonts w:ascii="Times New Roman" w:hAnsi="Times New Roman"/>
          <w:sz w:val="24"/>
          <w:szCs w:val="24"/>
        </w:rPr>
        <w:lastRenderedPageBreak/>
        <w:t>los inversionistas se protejan de la moratoria de deuda de una serie de países o apuesten a la probabilidad de tal situación.</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 xml:space="preserve">Cuando los rubios “cortos” pasan del bar al VaR. El show del swap. </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Un final de pesadilla (no se lo cuenten a nadie): de la “contabilidad creativa” a la “relajación cuantitativa” (quantitative easing) y de allí… a la “inflación disolvente” (licuación de la deuda). Todo por la “tranquilidad de los mercados”… ¿Qué mercados? Colusión rima con corrupción…</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 xml:space="preserve">Esta salida no “reparte la mierda” (como las titulizaciones de las hipotecas subprime)… la “pulveriza” y “fumiga” por vía aérea (¿utilizaran, nuevamente, el helicóptero de Ben?). Entre Hiroshima y Bhopal. Pueden ustedes elegir… </w:t>
      </w:r>
    </w:p>
    <w:p w:rsidR="00D65ABE" w:rsidRDefault="00D65ABE" w:rsidP="00D65ABE">
      <w:pPr>
        <w:spacing w:line="240" w:lineRule="auto"/>
        <w:jc w:val="both"/>
        <w:rPr>
          <w:rFonts w:ascii="Times New Roman" w:hAnsi="Times New Roman"/>
          <w:b/>
          <w:sz w:val="24"/>
          <w:szCs w:val="24"/>
        </w:rPr>
      </w:pPr>
      <w:r>
        <w:rPr>
          <w:rFonts w:ascii="Times New Roman" w:hAnsi="Times New Roman"/>
          <w:b/>
          <w:sz w:val="24"/>
          <w:szCs w:val="24"/>
        </w:rPr>
        <w:t>De la “ingeniaría financiera” (estafa piramidal) a la “ingeniería social” (estafa generacional). Tócala de nuevo, Ben (ya conozco esa canción… y también su final).</w:t>
      </w:r>
    </w:p>
    <w:p w:rsidR="00DA27AD" w:rsidRDefault="00DA27AD" w:rsidP="00DA27AD">
      <w:pPr>
        <w:spacing w:line="240" w:lineRule="auto"/>
        <w:jc w:val="both"/>
        <w:rPr>
          <w:rFonts w:ascii="Times New Roman" w:hAnsi="Times New Roman"/>
          <w:b/>
          <w:sz w:val="24"/>
          <w:szCs w:val="24"/>
        </w:rPr>
      </w:pPr>
      <w:r>
        <w:rPr>
          <w:rFonts w:ascii="Times New Roman" w:hAnsi="Times New Roman"/>
          <w:b/>
          <w:sz w:val="24"/>
          <w:szCs w:val="24"/>
        </w:rPr>
        <w:t>Las tribulaciones del euro (tan cerca de los mercados y tan lejos de Dios)</w:t>
      </w:r>
    </w:p>
    <w:p w:rsidR="00DA27AD" w:rsidRDefault="00DA27AD" w:rsidP="00DA27AD">
      <w:pPr>
        <w:shd w:val="clear" w:color="auto" w:fill="FFFFFF"/>
        <w:spacing w:line="240" w:lineRule="auto"/>
        <w:jc w:val="both"/>
        <w:rPr>
          <w:rFonts w:ascii="Times New Roman" w:hAnsi="Times New Roman"/>
          <w:sz w:val="24"/>
          <w:szCs w:val="24"/>
        </w:rPr>
      </w:pPr>
      <w:r>
        <w:rPr>
          <w:rFonts w:ascii="Times New Roman" w:hAnsi="Times New Roman"/>
          <w:sz w:val="24"/>
          <w:szCs w:val="24"/>
        </w:rPr>
        <w:t xml:space="preserve">“Por primera vez desde la creación de la moneda única existe el riesgo de una ruptura de la zona euro. Los inversores ya no descartan un rescate de países por parte de Bruselas e, incluso, el abandono o la expulsión del euro. Por el momento, las dudas acechan a Grecia e Irlanda”... </w:t>
      </w:r>
      <w:r>
        <w:rPr>
          <w:rFonts w:ascii="Times New Roman" w:hAnsi="Times New Roman"/>
          <w:sz w:val="24"/>
          <w:szCs w:val="24"/>
          <w:u w:val="single"/>
        </w:rPr>
        <w:t>La “opción nuclear” cobra fuerza: abandonar el euro para evitar el crack</w:t>
      </w:r>
      <w:r>
        <w:rPr>
          <w:rFonts w:ascii="Times New Roman" w:hAnsi="Times New Roman"/>
          <w:sz w:val="24"/>
          <w:szCs w:val="24"/>
        </w:rPr>
        <w:t xml:space="preserve"> (Libertad Digital - </w:t>
      </w:r>
      <w:r>
        <w:rPr>
          <w:rFonts w:ascii="Times New Roman" w:hAnsi="Times New Roman"/>
          <w:b/>
          <w:sz w:val="24"/>
          <w:szCs w:val="24"/>
        </w:rPr>
        <w:t>14/12/09</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“El recién nombrado economista jefe de Deutsche Bank, Thomas Mayer, advierte que “el euro puede romperse” a causa de la situación de Grecia y otras “economías frágiles” entre las que se incluye España.</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En una entrevista que el diario “Die Welt” publica en su tercera página, llama a la Unión Europea a establecer mecanismos de gestión de crisis como estas en los países miembros “que sólo pueden desembocar en una ruptura de la unión monetaria o en su conversión en una unión inflacionista”... . </w:t>
      </w:r>
      <w:r>
        <w:rPr>
          <w:rFonts w:ascii="Times New Roman" w:hAnsi="Times New Roman"/>
          <w:sz w:val="24"/>
          <w:szCs w:val="24"/>
          <w:u w:val="single"/>
        </w:rPr>
        <w:t>“El euro puede romperse” por la “fragilidad” de países como España, Irlanda y Portugal</w:t>
      </w:r>
      <w:r>
        <w:rPr>
          <w:rFonts w:ascii="Times New Roman" w:hAnsi="Times New Roman"/>
          <w:sz w:val="24"/>
          <w:szCs w:val="24"/>
        </w:rPr>
        <w:t xml:space="preserve"> (El Mundo - </w:t>
      </w:r>
      <w:r>
        <w:rPr>
          <w:rFonts w:ascii="Times New Roman" w:hAnsi="Times New Roman"/>
          <w:b/>
          <w:sz w:val="24"/>
          <w:szCs w:val="24"/>
        </w:rPr>
        <w:t>22/1/10</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Sugiere la creación urgente de un Fondo Monetario Europeo con amplios poderes ya que “ni el Banco Central Europeo ni la Comisión Europea pueden obligar a nadie en la UE, en este caso a los griegos, a llevar a cabo las reformas necesarias a cambio de ayuda”.</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En caso de que no se ponga remedio, considera muy posible que España, Irlanda y Portugal se vean en la misma situación en la que hoy encontramos a Grecia.</w:t>
      </w:r>
    </w:p>
    <w:p w:rsidR="00DA27AD" w:rsidRPr="001749CC" w:rsidRDefault="00DA27AD" w:rsidP="00DA27AD">
      <w:pPr>
        <w:spacing w:line="240" w:lineRule="auto"/>
        <w:jc w:val="both"/>
        <w:rPr>
          <w:rFonts w:ascii="Times New Roman" w:hAnsi="Times New Roman"/>
          <w:b/>
          <w:sz w:val="24"/>
          <w:szCs w:val="24"/>
        </w:rPr>
      </w:pPr>
      <w:r w:rsidRPr="001749CC">
        <w:rPr>
          <w:rFonts w:ascii="Times New Roman" w:hAnsi="Times New Roman"/>
          <w:b/>
          <w:sz w:val="24"/>
          <w:szCs w:val="24"/>
        </w:rPr>
        <w:t xml:space="preserve">Análisis conspirativo de la historia: la batalla de la triple A (los sospechosos habituales) </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En el asunto de la “deuda” europea: más allá de las culpas propias (que haberlas haylas), no puedo dejar de observar una cierta “manipulación informativa” (EEUU y UK). </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Reseña de los últimos titulares del periódico de cabecera del mundo de los negocios</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presidente del BCE abre la puerta a una mayor participación en la crisis</w:t>
      </w:r>
      <w:r>
        <w:rPr>
          <w:rFonts w:ascii="Times New Roman" w:hAnsi="Times New Roman"/>
          <w:sz w:val="24"/>
          <w:szCs w:val="24"/>
        </w:rPr>
        <w:t xml:space="preserve"> (The Wall Street Journal - </w:t>
      </w:r>
      <w:r>
        <w:rPr>
          <w:rFonts w:ascii="Times New Roman" w:hAnsi="Times New Roman"/>
          <w:b/>
          <w:sz w:val="24"/>
          <w:szCs w:val="24"/>
        </w:rPr>
        <w:t>1/12/11</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BCE debe reparar su escape de combustible</w:t>
      </w:r>
      <w:r>
        <w:rPr>
          <w:rFonts w:ascii="Times New Roman" w:hAnsi="Times New Roman"/>
          <w:sz w:val="24"/>
          <w:szCs w:val="24"/>
        </w:rPr>
        <w:t xml:space="preserve"> (The Wall Street Journal - </w:t>
      </w:r>
      <w:r>
        <w:rPr>
          <w:rFonts w:ascii="Times New Roman" w:hAnsi="Times New Roman"/>
          <w:b/>
          <w:sz w:val="24"/>
          <w:szCs w:val="24"/>
        </w:rPr>
        <w:t>1/12/11</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La acción de los bancos centrales es un alivio, no una solución</w:t>
      </w:r>
      <w:r>
        <w:rPr>
          <w:rFonts w:ascii="Times New Roman" w:hAnsi="Times New Roman"/>
          <w:sz w:val="24"/>
          <w:szCs w:val="24"/>
        </w:rPr>
        <w:t xml:space="preserve"> (The Wall Street Journal - </w:t>
      </w:r>
      <w:r>
        <w:rPr>
          <w:rFonts w:ascii="Times New Roman" w:hAnsi="Times New Roman"/>
          <w:b/>
          <w:sz w:val="24"/>
          <w:szCs w:val="24"/>
        </w:rPr>
        <w:t>1/12/11</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Merkel pide cambios urgentes para solucionar la crisis de deuda</w:t>
      </w:r>
      <w:r>
        <w:rPr>
          <w:rFonts w:ascii="Times New Roman" w:hAnsi="Times New Roman"/>
          <w:sz w:val="24"/>
          <w:szCs w:val="24"/>
        </w:rPr>
        <w:t xml:space="preserve"> (The Wall Street Journal - </w:t>
      </w:r>
      <w:r>
        <w:rPr>
          <w:rFonts w:ascii="Times New Roman" w:hAnsi="Times New Roman"/>
          <w:b/>
          <w:sz w:val="24"/>
          <w:szCs w:val="24"/>
        </w:rPr>
        <w:t>2/12/11</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Francia y Alemania, más distanciados que nunca</w:t>
      </w:r>
      <w:r>
        <w:rPr>
          <w:rFonts w:ascii="Times New Roman" w:hAnsi="Times New Roman"/>
          <w:sz w:val="24"/>
          <w:szCs w:val="24"/>
        </w:rPr>
        <w:t xml:space="preserve"> (The Wall Street Journal Europe - </w:t>
      </w:r>
      <w:r>
        <w:rPr>
          <w:rFonts w:ascii="Times New Roman" w:hAnsi="Times New Roman"/>
          <w:b/>
          <w:sz w:val="24"/>
          <w:szCs w:val="24"/>
        </w:rPr>
        <w:t>5/12/11</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largo y arriesgado camino de Europa hacia la integración fiscal</w:t>
      </w:r>
      <w:r>
        <w:rPr>
          <w:rFonts w:ascii="Times New Roman" w:hAnsi="Times New Roman"/>
          <w:sz w:val="24"/>
          <w:szCs w:val="24"/>
        </w:rPr>
        <w:t xml:space="preserve"> (The Wall Street Journal - </w:t>
      </w:r>
      <w:r>
        <w:rPr>
          <w:rFonts w:ascii="Times New Roman" w:hAnsi="Times New Roman"/>
          <w:b/>
          <w:sz w:val="24"/>
          <w:szCs w:val="24"/>
        </w:rPr>
        <w:t>5/12/11</w:t>
      </w:r>
      <w:r>
        <w:rPr>
          <w:rFonts w:ascii="Times New Roman" w:hAnsi="Times New Roman"/>
          <w:sz w:val="24"/>
          <w:szCs w:val="24"/>
        </w:rPr>
        <w:t>)</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S&amp;P pone a 15 países de la zona euro en observación para una posible rebaja de calificación</w:t>
      </w:r>
      <w:r>
        <w:rPr>
          <w:rFonts w:ascii="Times New Roman" w:hAnsi="Times New Roman"/>
          <w:sz w:val="24"/>
          <w:szCs w:val="24"/>
        </w:rPr>
        <w:t xml:space="preserve"> (The Wall Street Journal - </w:t>
      </w:r>
      <w:r>
        <w:rPr>
          <w:rFonts w:ascii="Times New Roman" w:hAnsi="Times New Roman"/>
          <w:b/>
          <w:sz w:val="24"/>
          <w:szCs w:val="24"/>
        </w:rPr>
        <w:t>5/12/11</w:t>
      </w:r>
      <w:r>
        <w:rPr>
          <w:rFonts w:ascii="Times New Roman" w:hAnsi="Times New Roman"/>
          <w:sz w:val="24"/>
          <w:szCs w:val="24"/>
        </w:rPr>
        <w:t>)</w:t>
      </w:r>
    </w:p>
    <w:p w:rsidR="00DA27AD" w:rsidRDefault="00DA27AD" w:rsidP="00DA27AD">
      <w:pPr>
        <w:pStyle w:val="NormalWeb"/>
        <w:jc w:val="both"/>
      </w:pPr>
      <w:r>
        <w:t xml:space="preserve">- </w:t>
      </w:r>
      <w:r>
        <w:rPr>
          <w:u w:val="single"/>
        </w:rPr>
        <w:t>Estimados líderes de la UE: no metan la pata</w:t>
      </w:r>
      <w:r>
        <w:t xml:space="preserve"> (The Wall Street Journal - </w:t>
      </w:r>
      <w:r>
        <w:rPr>
          <w:b/>
        </w:rPr>
        <w:t>6/12/11</w:t>
      </w:r>
      <w:r>
        <w:t xml:space="preserve">) </w:t>
      </w:r>
    </w:p>
    <w:p w:rsidR="00DA27AD" w:rsidRDefault="00DA27AD" w:rsidP="00DA27A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Los bancos centrales se preparan para una (posible) vida post euro</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7/12/11</w:t>
      </w:r>
      <w:r>
        <w:rPr>
          <w:rFonts w:ascii="Times New Roman" w:eastAsia="Times New Roman" w:hAnsi="Times New Roman"/>
          <w:sz w:val="24"/>
          <w:szCs w:val="24"/>
          <w:lang w:eastAsia="es-ES"/>
        </w:rPr>
        <w:t>)</w:t>
      </w:r>
    </w:p>
    <w:p w:rsidR="00DA27AD" w:rsidRDefault="00DA27AD" w:rsidP="00DA27A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Los bancos europeos ignoran el estigma y piden prestado dólares al BCE</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7/12/11</w:t>
      </w:r>
      <w:r>
        <w:rPr>
          <w:rFonts w:ascii="Times New Roman" w:eastAsia="Times New Roman" w:hAnsi="Times New Roman"/>
          <w:sz w:val="24"/>
          <w:szCs w:val="24"/>
          <w:lang w:eastAsia="es-ES"/>
        </w:rPr>
        <w:t>)</w:t>
      </w:r>
    </w:p>
    <w:p w:rsidR="00DA27AD" w:rsidRDefault="00DA27AD" w:rsidP="00DA27AD">
      <w:pPr>
        <w:pStyle w:val="NormalWeb"/>
        <w:jc w:val="both"/>
      </w:pPr>
      <w:r>
        <w:t xml:space="preserve">- </w:t>
      </w:r>
      <w:r>
        <w:rPr>
          <w:u w:val="single"/>
        </w:rPr>
        <w:t>El FMI podría necesitar US$120.000 millones más para financiar una nueva línea de crédito</w:t>
      </w:r>
      <w:r>
        <w:t xml:space="preserve"> (The Wall Street Journal - </w:t>
      </w:r>
      <w:r>
        <w:rPr>
          <w:b/>
        </w:rPr>
        <w:t>7/12/11</w:t>
      </w:r>
      <w:r>
        <w:t>)</w:t>
      </w:r>
    </w:p>
    <w:p w:rsidR="00DA27AD" w:rsidRDefault="00DA27AD" w:rsidP="00DA27AD">
      <w:pPr>
        <w:pStyle w:val="NormalWeb"/>
        <w:jc w:val="both"/>
      </w:pPr>
      <w:r>
        <w:t xml:space="preserve">- </w:t>
      </w:r>
      <w:r>
        <w:rPr>
          <w:u w:val="single"/>
        </w:rPr>
        <w:t>El BCE recorta las tasas, pero igual decepciona a los mercados</w:t>
      </w:r>
      <w:r>
        <w:t xml:space="preserve"> (The Wall Street Journal - </w:t>
      </w:r>
      <w:r>
        <w:rPr>
          <w:b/>
        </w:rPr>
        <w:t>8/12/11</w:t>
      </w:r>
      <w:r>
        <w:t>)</w:t>
      </w:r>
    </w:p>
    <w:p w:rsidR="00DA27AD" w:rsidRDefault="00DA27AD" w:rsidP="00DA27AD">
      <w:pPr>
        <w:pStyle w:val="NormalWeb"/>
        <w:jc w:val="both"/>
      </w:pPr>
      <w:r>
        <w:t xml:space="preserve">- </w:t>
      </w:r>
      <w:r>
        <w:rPr>
          <w:u w:val="single"/>
        </w:rPr>
        <w:t>La UE ultima préstamo al FMI</w:t>
      </w:r>
      <w:r>
        <w:t xml:space="preserve"> (The Wall Street Journal - </w:t>
      </w:r>
      <w:r>
        <w:rPr>
          <w:b/>
        </w:rPr>
        <w:t>8/12/11</w:t>
      </w:r>
      <w:r>
        <w:t>)</w:t>
      </w:r>
    </w:p>
    <w:p w:rsidR="00DA27AD" w:rsidRDefault="00DA27AD" w:rsidP="00DA27AD">
      <w:pPr>
        <w:pStyle w:val="NormalWeb"/>
        <w:jc w:val="both"/>
      </w:pPr>
      <w:r>
        <w:t xml:space="preserve">- </w:t>
      </w:r>
      <w:r>
        <w:rPr>
          <w:u w:val="single"/>
        </w:rPr>
        <w:t>Los líderes de la Unión Europea forjan un nuevo pacto fiscal</w:t>
      </w:r>
      <w:r>
        <w:t xml:space="preserve"> (The Wall Street Journal - </w:t>
      </w:r>
      <w:r>
        <w:rPr>
          <w:b/>
        </w:rPr>
        <w:t>9/12/11</w:t>
      </w:r>
      <w:r>
        <w:t>)</w:t>
      </w:r>
    </w:p>
    <w:p w:rsidR="00DA27AD" w:rsidRDefault="00DA27AD" w:rsidP="00DA27AD">
      <w:pPr>
        <w:pStyle w:val="NormalWeb"/>
        <w:jc w:val="both"/>
      </w:pPr>
      <w:r>
        <w:t xml:space="preserve">- </w:t>
      </w:r>
      <w:r>
        <w:rPr>
          <w:u w:val="single"/>
        </w:rPr>
        <w:t>El desmarque de Cameron, celebrado en el Reino Unido y criticado en la UE</w:t>
      </w:r>
      <w:r>
        <w:t xml:space="preserve"> (The Wall Street Journal - </w:t>
      </w:r>
      <w:r>
        <w:rPr>
          <w:b/>
        </w:rPr>
        <w:t>11/12/11</w:t>
      </w:r>
      <w:r>
        <w:t xml:space="preserve">) </w:t>
      </w:r>
    </w:p>
    <w:p w:rsidR="00DA27AD" w:rsidRDefault="00DA27AD" w:rsidP="00DA27AD">
      <w:pPr>
        <w:pStyle w:val="NormalWeb"/>
        <w:jc w:val="both"/>
      </w:pPr>
      <w:r>
        <w:t xml:space="preserve">- </w:t>
      </w:r>
      <w:r>
        <w:rPr>
          <w:u w:val="single"/>
        </w:rPr>
        <w:t>El euro deja de ser la meta soñada a la que aspira Europa del Este</w:t>
      </w:r>
      <w:r>
        <w:t xml:space="preserve"> (The Wall Street Journal - </w:t>
      </w:r>
      <w:r>
        <w:rPr>
          <w:b/>
        </w:rPr>
        <w:t>11/12/11</w:t>
      </w:r>
      <w:r>
        <w:t>)</w:t>
      </w:r>
    </w:p>
    <w:p w:rsidR="00DA27AD" w:rsidRDefault="00DA27AD" w:rsidP="00DA27AD">
      <w:pPr>
        <w:pStyle w:val="NormalWeb"/>
        <w:jc w:val="both"/>
      </w:pPr>
      <w:r>
        <w:t xml:space="preserve">- </w:t>
      </w:r>
      <w:r>
        <w:rPr>
          <w:u w:val="single"/>
        </w:rPr>
        <w:t>Todo el oro de Europa no basta para resolver la crisis de la deuda</w:t>
      </w:r>
      <w:r>
        <w:t xml:space="preserve"> (The Wall Street Journal - </w:t>
      </w:r>
      <w:r>
        <w:rPr>
          <w:b/>
        </w:rPr>
        <w:t>14/12/11</w:t>
      </w:r>
      <w:r>
        <w:t xml:space="preserve">) </w:t>
      </w:r>
    </w:p>
    <w:p w:rsidR="00DA27AD" w:rsidRDefault="00DA27AD" w:rsidP="00DA27AD">
      <w:pPr>
        <w:pStyle w:val="NormalWeb"/>
        <w:jc w:val="both"/>
      </w:pPr>
      <w:r>
        <w:t xml:space="preserve">- </w:t>
      </w:r>
      <w:r>
        <w:rPr>
          <w:u w:val="single"/>
        </w:rPr>
        <w:t>La telaraña que envuelve a los bancos europeos</w:t>
      </w:r>
      <w:r>
        <w:t xml:space="preserve"> (The Wall Street Journal - </w:t>
      </w:r>
      <w:r>
        <w:rPr>
          <w:b/>
        </w:rPr>
        <w:t>14/12/11</w:t>
      </w:r>
      <w:r>
        <w:t>)</w:t>
      </w:r>
    </w:p>
    <w:p w:rsidR="00DA27AD" w:rsidRDefault="00DA27AD" w:rsidP="00DA27AD">
      <w:pPr>
        <w:pStyle w:val="NormalWeb"/>
        <w:jc w:val="both"/>
      </w:pPr>
      <w:r>
        <w:t xml:space="preserve">- </w:t>
      </w:r>
      <w:r>
        <w:rPr>
          <w:u w:val="single"/>
        </w:rPr>
        <w:t>La resistencia del euro acaba por desmoronarse</w:t>
      </w:r>
      <w:r>
        <w:t xml:space="preserve"> (The Wall Street Journal Europe - </w:t>
      </w:r>
      <w:r>
        <w:rPr>
          <w:b/>
        </w:rPr>
        <w:t>14/12/11</w:t>
      </w:r>
      <w:r>
        <w:t>)</w:t>
      </w:r>
    </w:p>
    <w:p w:rsidR="00DA27AD" w:rsidRDefault="00DA27AD" w:rsidP="00DA27AD">
      <w:pPr>
        <w:pStyle w:val="NormalWeb"/>
        <w:jc w:val="both"/>
      </w:pPr>
      <w:r>
        <w:t xml:space="preserve">- </w:t>
      </w:r>
      <w:r>
        <w:rPr>
          <w:u w:val="single"/>
        </w:rPr>
        <w:t>Draghi rechaza una expansión cuantitativa para revivir la economía</w:t>
      </w:r>
      <w:r>
        <w:t xml:space="preserve"> (The Wall Street Journal - </w:t>
      </w:r>
      <w:r>
        <w:rPr>
          <w:b/>
        </w:rPr>
        <w:t>15/12/11</w:t>
      </w:r>
      <w:r>
        <w:t xml:space="preserve">) </w:t>
      </w:r>
    </w:p>
    <w:p w:rsidR="00DA27AD" w:rsidRDefault="00DA27AD" w:rsidP="00DA27AD">
      <w:pPr>
        <w:pStyle w:val="NormalWeb"/>
        <w:jc w:val="both"/>
      </w:pPr>
      <w:r>
        <w:t xml:space="preserve">- </w:t>
      </w:r>
      <w:r>
        <w:rPr>
          <w:u w:val="single"/>
        </w:rPr>
        <w:t>Lecciones de la unión fiscal de EE.UU. para Europa</w:t>
      </w:r>
      <w:r>
        <w:t xml:space="preserve"> (The Wall Street Journal - </w:t>
      </w:r>
      <w:r>
        <w:rPr>
          <w:b/>
        </w:rPr>
        <w:t>15/12/11</w:t>
      </w:r>
      <w:r>
        <w:t xml:space="preserve">) </w:t>
      </w:r>
    </w:p>
    <w:p w:rsidR="00DA27AD" w:rsidRDefault="00DA27AD" w:rsidP="00DA27AD">
      <w:pPr>
        <w:pStyle w:val="NormalWeb"/>
        <w:jc w:val="both"/>
      </w:pPr>
      <w:r>
        <w:lastRenderedPageBreak/>
        <w:t xml:space="preserve">- </w:t>
      </w:r>
      <w:r>
        <w:rPr>
          <w:u w:val="single"/>
        </w:rPr>
        <w:t>La disimulada ayuda de los gobiernos a los bancos europeos</w:t>
      </w:r>
      <w:r>
        <w:t xml:space="preserve"> (The Wall Street Journal - </w:t>
      </w:r>
      <w:r>
        <w:rPr>
          <w:b/>
        </w:rPr>
        <w:t>19/12/11</w:t>
      </w:r>
      <w:r>
        <w:t>)</w:t>
      </w:r>
    </w:p>
    <w:p w:rsidR="00DA27AD" w:rsidRDefault="00DA27AD" w:rsidP="00DA27AD">
      <w:pPr>
        <w:pStyle w:val="NormalWeb"/>
        <w:jc w:val="both"/>
      </w:pPr>
      <w:r>
        <w:t xml:space="preserve">- </w:t>
      </w:r>
      <w:r>
        <w:rPr>
          <w:u w:val="single"/>
        </w:rPr>
        <w:t>La crisis revierte el proceso de integración financiera de Europa</w:t>
      </w:r>
      <w:r>
        <w:t xml:space="preserve"> (The Wall Street Journal - </w:t>
      </w:r>
      <w:r>
        <w:rPr>
          <w:b/>
        </w:rPr>
        <w:t>19/12/11</w:t>
      </w:r>
      <w:r>
        <w:t>)</w:t>
      </w:r>
    </w:p>
    <w:p w:rsidR="00DA27AD" w:rsidRDefault="00DA27AD" w:rsidP="00DA27AD">
      <w:pPr>
        <w:pStyle w:val="NormalWeb"/>
        <w:jc w:val="both"/>
      </w:pPr>
      <w:r>
        <w:t xml:space="preserve">- </w:t>
      </w:r>
      <w:r>
        <w:rPr>
          <w:u w:val="single"/>
        </w:rPr>
        <w:t>El BCE quiere evitar una recesión ofreciendo liquidez, dice Draghi</w:t>
      </w:r>
      <w:r>
        <w:t xml:space="preserve"> (The Wall Street Journal - </w:t>
      </w:r>
      <w:r>
        <w:rPr>
          <w:b/>
        </w:rPr>
        <w:t>19/12/11</w:t>
      </w:r>
      <w:r>
        <w:t>)</w:t>
      </w:r>
    </w:p>
    <w:p w:rsidR="00DA27AD" w:rsidRDefault="00DA27AD" w:rsidP="00DA27AD">
      <w:pPr>
        <w:pStyle w:val="NormalWeb"/>
        <w:jc w:val="both"/>
        <w:rPr>
          <w:lang w:val="en-US"/>
        </w:rPr>
      </w:pPr>
      <w:r>
        <w:t xml:space="preserve">- </w:t>
      </w:r>
      <w:r>
        <w:rPr>
          <w:u w:val="single"/>
        </w:rPr>
        <w:t>¿Cuál será el tamaño del mini bazuca del BCE?</w:t>
      </w:r>
      <w:r>
        <w:t xml:space="preserve"> </w:t>
      </w:r>
      <w:r>
        <w:rPr>
          <w:lang w:val="en-US"/>
        </w:rPr>
        <w:t xml:space="preserve">(The Wall Street Journal Europe - </w:t>
      </w:r>
      <w:r>
        <w:rPr>
          <w:b/>
          <w:lang w:val="en-US"/>
        </w:rPr>
        <w:t>20/12/11</w:t>
      </w:r>
      <w:r>
        <w:rPr>
          <w:lang w:val="en-US"/>
        </w:rPr>
        <w:t>)</w:t>
      </w:r>
    </w:p>
    <w:p w:rsidR="00DA27AD" w:rsidRDefault="00DA27AD" w:rsidP="00DA27AD">
      <w:pPr>
        <w:pStyle w:val="NormalWeb"/>
        <w:jc w:val="both"/>
      </w:pPr>
      <w:r>
        <w:t xml:space="preserve">- </w:t>
      </w:r>
      <w:r>
        <w:rPr>
          <w:u w:val="single"/>
        </w:rPr>
        <w:t>Las lecciones de hace 10 años de Argentina para la zona euro</w:t>
      </w:r>
      <w:r>
        <w:t xml:space="preserve"> (The Wall Street Journal - </w:t>
      </w:r>
      <w:r>
        <w:rPr>
          <w:b/>
        </w:rPr>
        <w:t>29/12/11</w:t>
      </w:r>
      <w:r>
        <w:t>)</w:t>
      </w:r>
    </w:p>
    <w:p w:rsidR="00DA27AD" w:rsidRDefault="00DA27AD" w:rsidP="00DA27AD">
      <w:pPr>
        <w:pStyle w:val="NormalWeb"/>
        <w:jc w:val="both"/>
      </w:pPr>
      <w:r>
        <w:t xml:space="preserve">- </w:t>
      </w:r>
      <w:r>
        <w:rPr>
          <w:u w:val="single"/>
        </w:rPr>
        <w:t>Sin fronteras: en medio de temores, el capital huye de la zona euro</w:t>
      </w:r>
      <w:r>
        <w:t xml:space="preserve"> (The Wall Street Journal - </w:t>
      </w:r>
      <w:r>
        <w:rPr>
          <w:b/>
        </w:rPr>
        <w:t>23/12/11</w:t>
      </w:r>
      <w:r>
        <w:t>)</w:t>
      </w:r>
    </w:p>
    <w:p w:rsidR="00DA27AD" w:rsidRDefault="00DA27AD" w:rsidP="00DA27AD">
      <w:pPr>
        <w:pStyle w:val="NormalWeb"/>
        <w:jc w:val="both"/>
      </w:pPr>
      <w:r>
        <w:t xml:space="preserve">- </w:t>
      </w:r>
      <w:r>
        <w:rPr>
          <w:u w:val="single"/>
        </w:rPr>
        <w:t>En Holanda, cuna del euro, crecen las dudas sobre la unión monetaria</w:t>
      </w:r>
      <w:r>
        <w:t xml:space="preserve"> (The Wall Street Journal - </w:t>
      </w:r>
      <w:r>
        <w:rPr>
          <w:b/>
        </w:rPr>
        <w:t>25/12/11</w:t>
      </w:r>
      <w:r>
        <w:t>)</w:t>
      </w:r>
    </w:p>
    <w:p w:rsidR="00DA27AD" w:rsidRDefault="00DA27AD" w:rsidP="00DA27A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Los bancos europeos preparan planes de contingencia en caso de un retorno a las monedas nacionales</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26/12/11</w:t>
      </w:r>
      <w:r>
        <w:rPr>
          <w:rFonts w:ascii="Times New Roman" w:eastAsia="Times New Roman" w:hAnsi="Times New Roman"/>
          <w:sz w:val="24"/>
          <w:szCs w:val="24"/>
          <w:lang w:eastAsia="es-ES"/>
        </w:rPr>
        <w:t xml:space="preserve">) </w:t>
      </w:r>
    </w:p>
    <w:p w:rsidR="00DA27AD" w:rsidRDefault="00DA27AD" w:rsidP="00DA27AD">
      <w:pPr>
        <w:pStyle w:val="NormalWeb"/>
        <w:jc w:val="both"/>
      </w:pPr>
      <w:r>
        <w:t xml:space="preserve">- </w:t>
      </w:r>
      <w:r>
        <w:rPr>
          <w:u w:val="single"/>
        </w:rPr>
        <w:t>El 2012 debería ser un gran año para el dólar</w:t>
      </w:r>
      <w:r>
        <w:t xml:space="preserve"> (The Wall Street Journal - </w:t>
      </w:r>
      <w:r>
        <w:rPr>
          <w:b/>
        </w:rPr>
        <w:t>26/12/11</w:t>
      </w:r>
      <w:r>
        <w:t>)</w:t>
      </w:r>
    </w:p>
    <w:p w:rsidR="00DA27AD" w:rsidRDefault="00DA27AD" w:rsidP="00DA27AD">
      <w:pPr>
        <w:pStyle w:val="NormalWeb"/>
        <w:jc w:val="both"/>
        <w:rPr>
          <w:lang w:val="en-US"/>
        </w:rPr>
      </w:pPr>
      <w:r>
        <w:rPr>
          <w:lang w:val="en-US"/>
        </w:rPr>
        <w:t xml:space="preserve">- </w:t>
      </w:r>
      <w:r>
        <w:rPr>
          <w:u w:val="single"/>
          <w:lang w:val="en-US"/>
        </w:rPr>
        <w:t>La Fed acierta los pasos del Twist</w:t>
      </w:r>
      <w:r>
        <w:rPr>
          <w:lang w:val="en-US"/>
        </w:rPr>
        <w:t xml:space="preserve"> (The Wall Street Journal - </w:t>
      </w:r>
      <w:r>
        <w:rPr>
          <w:b/>
          <w:lang w:val="en-US"/>
        </w:rPr>
        <w:t>27/12/11</w:t>
      </w:r>
      <w:r>
        <w:rPr>
          <w:lang w:val="en-US"/>
        </w:rPr>
        <w:t>)</w:t>
      </w:r>
    </w:p>
    <w:p w:rsidR="00DA27AD" w:rsidRDefault="00DA27AD" w:rsidP="00DA27AD">
      <w:pPr>
        <w:pStyle w:val="NormalWeb"/>
        <w:jc w:val="both"/>
      </w:pPr>
      <w:r>
        <w:t xml:space="preserve">- </w:t>
      </w:r>
      <w:r>
        <w:rPr>
          <w:u w:val="single"/>
        </w:rPr>
        <w:t>Otro dolor de cabeza para la banca de Europa: la escasez de colateral</w:t>
      </w:r>
      <w:r>
        <w:t xml:space="preserve"> (The Wall Street Journal - </w:t>
      </w:r>
      <w:r>
        <w:rPr>
          <w:b/>
        </w:rPr>
        <w:t>28/12/11</w:t>
      </w:r>
      <w:r>
        <w:t>)</w:t>
      </w:r>
    </w:p>
    <w:p w:rsidR="00DA27AD" w:rsidRDefault="00DA27AD" w:rsidP="00DA27AD">
      <w:pPr>
        <w:pStyle w:val="NormalWeb"/>
        <w:jc w:val="both"/>
      </w:pPr>
      <w:r>
        <w:t xml:space="preserve">- </w:t>
      </w:r>
      <w:r>
        <w:rPr>
          <w:u w:val="single"/>
        </w:rPr>
        <w:t>Una avalancha de noticias negativas derriba el euro</w:t>
      </w:r>
      <w:r>
        <w:t xml:space="preserve"> (The Wall Street Journal - </w:t>
      </w:r>
      <w:r>
        <w:rPr>
          <w:b/>
        </w:rPr>
        <w:t>5/1/12</w:t>
      </w:r>
      <w:r>
        <w:t>)</w:t>
      </w:r>
    </w:p>
    <w:p w:rsidR="00DA27AD" w:rsidRDefault="00DA27AD" w:rsidP="00DA27AD">
      <w:pPr>
        <w:pStyle w:val="NormalWeb"/>
        <w:jc w:val="both"/>
      </w:pPr>
      <w:r>
        <w:t xml:space="preserve">- </w:t>
      </w:r>
      <w:r>
        <w:rPr>
          <w:u w:val="single"/>
        </w:rPr>
        <w:t>Los mercados de deuda europeos sufren su primer revés de 2012</w:t>
      </w:r>
      <w:r>
        <w:t xml:space="preserve"> (The Wall Street Journal - </w:t>
      </w:r>
      <w:r>
        <w:rPr>
          <w:b/>
        </w:rPr>
        <w:t>5/1/12</w:t>
      </w:r>
      <w:r>
        <w:t>)</w:t>
      </w:r>
    </w:p>
    <w:p w:rsidR="00DA27AD" w:rsidRDefault="00DA27AD" w:rsidP="00DA27AD">
      <w:pPr>
        <w:pStyle w:val="NormalWeb"/>
        <w:jc w:val="both"/>
      </w:pPr>
      <w:r>
        <w:t xml:space="preserve">- </w:t>
      </w:r>
      <w:r>
        <w:rPr>
          <w:u w:val="single"/>
        </w:rPr>
        <w:t>Los temores bancarios ponen nerviosos a los inversionistas en renta fija</w:t>
      </w:r>
      <w:r>
        <w:t xml:space="preserve"> (The Wall Street Journal - </w:t>
      </w:r>
      <w:r>
        <w:rPr>
          <w:b/>
        </w:rPr>
        <w:t>5/1/12</w:t>
      </w:r>
      <w:r>
        <w:t>)</w:t>
      </w:r>
    </w:p>
    <w:p w:rsidR="00DA27AD" w:rsidRDefault="00DA27AD" w:rsidP="00DA27AD">
      <w:pPr>
        <w:pStyle w:val="NormalWeb"/>
        <w:jc w:val="both"/>
      </w:pPr>
      <w:r>
        <w:t xml:space="preserve">- </w:t>
      </w:r>
      <w:r>
        <w:rPr>
          <w:u w:val="single"/>
        </w:rPr>
        <w:t>Las decisiones recientes de la Fed son buenas para el dólar</w:t>
      </w:r>
      <w:r>
        <w:t xml:space="preserve"> (The Wall Street Journal - </w:t>
      </w:r>
      <w:r>
        <w:rPr>
          <w:b/>
        </w:rPr>
        <w:t>5/1/12</w:t>
      </w:r>
      <w:r>
        <w:t>)</w:t>
      </w:r>
    </w:p>
    <w:p w:rsidR="00DA27AD" w:rsidRDefault="00DA27AD" w:rsidP="00DA27AD">
      <w:pPr>
        <w:pStyle w:val="NormalWeb"/>
        <w:jc w:val="both"/>
      </w:pPr>
      <w:r>
        <w:t xml:space="preserve">- </w:t>
      </w:r>
      <w:r>
        <w:rPr>
          <w:u w:val="single"/>
        </w:rPr>
        <w:t>La (des)Unión Europea: cómo se globalizó la crisis</w:t>
      </w:r>
      <w:r>
        <w:t xml:space="preserve"> (The Wall Street Journal - </w:t>
      </w:r>
      <w:r>
        <w:rPr>
          <w:b/>
        </w:rPr>
        <w:t>6/1/12</w:t>
      </w:r>
      <w:r>
        <w:t>)</w:t>
      </w:r>
    </w:p>
    <w:p w:rsidR="00DA27AD" w:rsidRDefault="00DA27AD" w:rsidP="00DA27AD">
      <w:pPr>
        <w:pStyle w:val="NormalWeb"/>
        <w:jc w:val="both"/>
      </w:pPr>
      <w:r>
        <w:t xml:space="preserve">- </w:t>
      </w:r>
      <w:r>
        <w:rPr>
          <w:u w:val="single"/>
        </w:rPr>
        <w:t>El Banco Central Europeo interviene, pero no logra frenar el alza de los rendimientos italianos</w:t>
      </w:r>
      <w:r>
        <w:t xml:space="preserve"> (The Wall Street Journal - </w:t>
      </w:r>
      <w:r>
        <w:rPr>
          <w:b/>
        </w:rPr>
        <w:t>6/1/12</w:t>
      </w:r>
      <w:r>
        <w:t>)</w:t>
      </w:r>
    </w:p>
    <w:p w:rsidR="00DA27AD" w:rsidRDefault="00DA27AD" w:rsidP="00DA27AD">
      <w:pPr>
        <w:pStyle w:val="NormalWeb"/>
        <w:jc w:val="both"/>
      </w:pPr>
      <w:r>
        <w:t xml:space="preserve">- </w:t>
      </w:r>
      <w:r>
        <w:rPr>
          <w:u w:val="single"/>
        </w:rPr>
        <w:t>Italia representa la mayor amenaza para la eurozona, afirma Fitch</w:t>
      </w:r>
      <w:r>
        <w:t xml:space="preserve"> (The Wall Street Journal - </w:t>
      </w:r>
      <w:r>
        <w:rPr>
          <w:b/>
        </w:rPr>
        <w:t>10/1/12</w:t>
      </w:r>
      <w:r>
        <w:t>)</w:t>
      </w:r>
    </w:p>
    <w:p w:rsidR="00DA27AD" w:rsidRDefault="00DA27AD" w:rsidP="00DA27AD">
      <w:pPr>
        <w:pStyle w:val="NormalWeb"/>
        <w:jc w:val="both"/>
      </w:pPr>
      <w:r>
        <w:lastRenderedPageBreak/>
        <w:t xml:space="preserve">- </w:t>
      </w:r>
      <w:r>
        <w:rPr>
          <w:u w:val="single"/>
        </w:rPr>
        <w:t>A pesar de la crisis, los bancos españoles siguen construyendo</w:t>
      </w:r>
      <w:r>
        <w:t xml:space="preserve"> (The Wall Street Journal - </w:t>
      </w:r>
      <w:r>
        <w:rPr>
          <w:b/>
        </w:rPr>
        <w:t>11/1/12</w:t>
      </w:r>
      <w:r>
        <w:t>)</w:t>
      </w:r>
    </w:p>
    <w:p w:rsidR="00DA27AD" w:rsidRDefault="00DA27AD" w:rsidP="00DA27AD">
      <w:pPr>
        <w:pStyle w:val="NormalWeb"/>
        <w:jc w:val="both"/>
      </w:pPr>
      <w:r>
        <w:t xml:space="preserve">- </w:t>
      </w:r>
      <w:r>
        <w:rPr>
          <w:u w:val="single"/>
        </w:rPr>
        <w:t>La euro zona probablemente experimentará una recesión corta, calculan los economistas</w:t>
      </w:r>
      <w:r>
        <w:t xml:space="preserve"> (The Wall Street Journal - </w:t>
      </w:r>
      <w:r>
        <w:rPr>
          <w:b/>
        </w:rPr>
        <w:t>11/1/12</w:t>
      </w:r>
      <w:r>
        <w:t>)</w:t>
      </w:r>
    </w:p>
    <w:p w:rsidR="00DA27AD" w:rsidRDefault="00DA27AD" w:rsidP="00DA27AD">
      <w:pPr>
        <w:pStyle w:val="NormalWeb"/>
        <w:jc w:val="both"/>
      </w:pPr>
      <w:r>
        <w:t xml:space="preserve">- </w:t>
      </w:r>
      <w:r>
        <w:rPr>
          <w:u w:val="single"/>
        </w:rPr>
        <w:t>S&amp;P aplica la tijera a la calificación de deuda de ocho países de la euro zona</w:t>
      </w:r>
      <w:r>
        <w:t xml:space="preserve"> (The Wall Street Journal - </w:t>
      </w:r>
      <w:r>
        <w:rPr>
          <w:b/>
        </w:rPr>
        <w:t>13/1/12</w:t>
      </w:r>
      <w:r>
        <w:t>)</w:t>
      </w:r>
    </w:p>
    <w:p w:rsidR="00DA27AD" w:rsidRDefault="00DA27AD" w:rsidP="00DA27AD">
      <w:pPr>
        <w:pStyle w:val="NormalWeb"/>
        <w:jc w:val="both"/>
      </w:pPr>
      <w:r>
        <w:t xml:space="preserve">- </w:t>
      </w:r>
      <w:r>
        <w:rPr>
          <w:u w:val="single"/>
        </w:rPr>
        <w:t>Las reformas estructurales siguen siendo clave para el futuro del euro</w:t>
      </w:r>
      <w:r>
        <w:t xml:space="preserve"> (The Wall Street Journal - </w:t>
      </w:r>
      <w:r>
        <w:rPr>
          <w:b/>
        </w:rPr>
        <w:t>13/1/12</w:t>
      </w:r>
      <w:r>
        <w:t>)</w:t>
      </w:r>
    </w:p>
    <w:p w:rsidR="00DA27AD" w:rsidRDefault="00DA27AD" w:rsidP="00DA27AD">
      <w:pPr>
        <w:pStyle w:val="NormalWeb"/>
        <w:jc w:val="both"/>
      </w:pPr>
      <w:r>
        <w:t xml:space="preserve">- </w:t>
      </w:r>
      <w:r>
        <w:rPr>
          <w:u w:val="single"/>
        </w:rPr>
        <w:t>La libra pierde la carrera contra el dólar, pero no contra el euro</w:t>
      </w:r>
      <w:r>
        <w:t xml:space="preserve"> (The Wall Street Journal - </w:t>
      </w:r>
      <w:r>
        <w:rPr>
          <w:b/>
        </w:rPr>
        <w:t>13/1/12</w:t>
      </w:r>
      <w:r>
        <w:t>)</w:t>
      </w:r>
    </w:p>
    <w:p w:rsidR="00DA27AD" w:rsidRPr="001749CC" w:rsidRDefault="00DA27AD" w:rsidP="00DA27AD">
      <w:pPr>
        <w:pStyle w:val="NormalWeb"/>
        <w:jc w:val="both"/>
        <w:rPr>
          <w:b/>
        </w:rPr>
      </w:pPr>
      <w:r w:rsidRPr="001749CC">
        <w:rPr>
          <w:rStyle w:val="Hipervnculo"/>
          <w:rFonts w:eastAsiaTheme="majorEastAsia"/>
          <w:b/>
          <w:color w:val="auto"/>
          <w:u w:val="none"/>
        </w:rPr>
        <w:t xml:space="preserve">Arranca la imprenta del BCE (Super Mario Bros) </w:t>
      </w:r>
    </w:p>
    <w:p w:rsidR="00DA27AD" w:rsidRDefault="00DA27AD" w:rsidP="00DA27AD">
      <w:pPr>
        <w:pStyle w:val="NormalWeb"/>
        <w:jc w:val="both"/>
      </w:pPr>
      <w:r>
        <w:rPr>
          <w:i/>
        </w:rPr>
        <w:t>“El Banco Central Europeo (BCE), en un reconocimiento de que la crisis de la deuda alcanzó un punto crítico, anunció que está preparado para usar su herramienta más poderosa -su imprenta- para salvar el euro”...</w:t>
      </w:r>
      <w:r>
        <w:t xml:space="preserve"> </w:t>
      </w:r>
      <w:r>
        <w:rPr>
          <w:u w:val="single"/>
        </w:rPr>
        <w:t>El BCE saca la artillería pesada pese a las objeciones alemanas</w:t>
      </w:r>
      <w:r>
        <w:t xml:space="preserve"> (The Wall Street Journal </w:t>
      </w:r>
      <w:r>
        <w:rPr>
          <w:b/>
        </w:rPr>
        <w:t>-</w:t>
      </w:r>
      <w:r>
        <w:t xml:space="preserve"> </w:t>
      </w:r>
      <w:r>
        <w:rPr>
          <w:b/>
        </w:rPr>
        <w:t>7/9/12</w:t>
      </w:r>
      <w:r>
        <w:t>)</w:t>
      </w:r>
    </w:p>
    <w:p w:rsidR="00DA27AD" w:rsidRDefault="00DA27AD" w:rsidP="00DA27AD">
      <w:pPr>
        <w:pStyle w:val="NormalWeb"/>
        <w:jc w:val="both"/>
      </w:pPr>
      <w:r>
        <w:t>Haciendo caso omiso de las objeciones de su mayor accionista, el Bundesbank de Alemania, el consejo de 22 miembros del BCE aprobó un plan que allana el camino para que la entidad intervenga en los mercados de bonos de los países del euro en aprietos con compras ilimitadas, lo que en la práctica equivale a imprimir dinero, aunque bajo estrictas condiciones. El objetivo es restaurar la estabilidad de los mercados de deuda soberana de España e Italia y captar inversionistas extranjeros, que han huido masivamente de tales activos.</w:t>
      </w:r>
    </w:p>
    <w:p w:rsidR="00DA27AD" w:rsidRDefault="00DA27AD" w:rsidP="00DA27AD">
      <w:pPr>
        <w:pStyle w:val="NormalWeb"/>
        <w:jc w:val="both"/>
      </w:pPr>
      <w:r>
        <w:t xml:space="preserve">“El euro es irreversible”, sentenció Mario Draghi, presidente del BCE, luego de la reunión mensual del organismo, que mantuvo en 0,75% su tasa de interés de referencia, un mínimo histórico. “Queremos que esto sea percibido como un respaldo plenamente eficaz” que elimina los riesgos del bloque, aseveró. </w:t>
      </w:r>
    </w:p>
    <w:p w:rsidR="00DA27AD" w:rsidRDefault="00DA27AD" w:rsidP="00DA27AD">
      <w:pPr>
        <w:pStyle w:val="NormalWeb"/>
        <w:jc w:val="both"/>
      </w:pPr>
      <w:r>
        <w:t xml:space="preserve">Los mercados de deuda y acciones celebraron sus palabras. Los costos de endeudamiento de España e Italia cayeron y sus principales índices bursátiles treparon más de 4% cada uno (ver nota relacionada). El Promedio Industrial Dow Jones avanzó 244,52 puntos para cerrar en 13.292, su mayor nivel desde diciembre de 2007. </w:t>
      </w:r>
    </w:p>
    <w:p w:rsidR="00DA27AD" w:rsidRDefault="00DA27AD" w:rsidP="00DA27AD">
      <w:pPr>
        <w:pStyle w:val="NormalWeb"/>
        <w:jc w:val="both"/>
      </w:pPr>
      <w:r>
        <w:t xml:space="preserve">A pesar de la efusiva reacción de los mercados no está nada claro que el plan vaya a funcionar. La economía europea sigue de capa caída. Sin ninguna perspectiva tangible de crecimiento en el corto plazo, es probable que las posiciones fiscales de los países vulnerables empeoren, socavando aún más la confianza de los inversionistas. </w:t>
      </w:r>
    </w:p>
    <w:p w:rsidR="00DA27AD" w:rsidRDefault="00DA27AD" w:rsidP="00DA27AD">
      <w:pPr>
        <w:pStyle w:val="NormalWeb"/>
        <w:jc w:val="both"/>
      </w:pPr>
      <w:r>
        <w:t>El BCE, sin embargo, acaba de dar su paso para combatir la crisis. La decisión habría sido impensable cuando los problemas surgieron por primera vez, hace casi tres años. Subrayando la dimensión histórica de la medida, la junta del BCE tomó la decisión pasando por encima de las objeciones del Bundesbank, el banco central alemán.</w:t>
      </w:r>
    </w:p>
    <w:p w:rsidR="00DA27AD" w:rsidRDefault="00DA27AD" w:rsidP="00DA27AD">
      <w:pPr>
        <w:pStyle w:val="NormalWeb"/>
        <w:jc w:val="both"/>
      </w:pPr>
      <w:r>
        <w:lastRenderedPageBreak/>
        <w:t>Las autoridades del Bundesbank han arremetido en reiteradas ocasiones contra la intervención en el mercado de bonos, advirtiendo que podría disparar una inflación galopante una vez que la economía repunte. Otra preocupación es que el BCE está poniendo un enorme riesgo en su balance, dejando a los contribuyentes con una factura enorme si el plan falla y un país que recibe la ayuda cae en cesación de pagos. Alemania, por su tamaño y participación en los pasivos del BCE, es la que tendría más que perder.</w:t>
      </w:r>
    </w:p>
    <w:p w:rsidR="00DA27AD" w:rsidRDefault="00DA27AD" w:rsidP="00DA27AD">
      <w:pPr>
        <w:pStyle w:val="NormalWeb"/>
        <w:jc w:val="both"/>
      </w:pPr>
      <w:r>
        <w:t>Hasta ahora, Draghi parece contar con el respaldo del gobierno alemán. Tanto la canciller Angela Merkel como su ministro de Finanzas, Wolfgang Schäuble, han expresado su apoyo al presidente del BCE. Pero debido al escepticismo de los alemanes frente a las medidas del BCE, ese apoyo podría ser efímero si la intervención no produce resultados rápidos.</w:t>
      </w:r>
    </w:p>
    <w:p w:rsidR="00DA27AD" w:rsidRDefault="001749CC" w:rsidP="00DA27AD">
      <w:pPr>
        <w:pStyle w:val="NormalWeb"/>
        <w:jc w:val="both"/>
      </w:pPr>
      <w:r>
        <w:t xml:space="preserve">          </w:t>
      </w:r>
      <w:r w:rsidR="00DA27AD">
        <w:rPr>
          <w:noProof/>
        </w:rPr>
        <w:drawing>
          <wp:inline distT="0" distB="0" distL="0" distR="0" wp14:anchorId="3A55A0D0" wp14:editId="020725EE">
            <wp:extent cx="5162550" cy="3676650"/>
            <wp:effectExtent l="0" t="0" r="0" b="0"/>
            <wp:docPr id="120" name="Imagen 120" descr="OA-BA434_WSJAEC_NS_20120906193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OA-BA434_WSJAEC_NS_2012090619314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162550" cy="3676650"/>
                    </a:xfrm>
                    <a:prstGeom prst="rect">
                      <a:avLst/>
                    </a:prstGeom>
                    <a:noFill/>
                    <a:ln>
                      <a:noFill/>
                    </a:ln>
                  </pic:spPr>
                </pic:pic>
              </a:graphicData>
            </a:graphic>
          </wp:inline>
        </w:drawing>
      </w:r>
    </w:p>
    <w:p w:rsidR="00DA27AD" w:rsidRDefault="00DA27AD" w:rsidP="00DA27AD">
      <w:pPr>
        <w:pStyle w:val="NormalWeb"/>
        <w:jc w:val="both"/>
      </w:pPr>
      <w:r>
        <w:t>El Bundesbank no demoró en denunciar la decisión, poniendo de relieve una profunda grieta entre el BCE y su mayor miembro. Jens Weidmann, presidente del Bundesbank, considera la compra de bonos como “equivalente a financiar gobiernos mediante la impresión de billetes”, dijo un representante de la entidad.</w:t>
      </w:r>
    </w:p>
    <w:p w:rsidR="00DA27AD" w:rsidRDefault="00DA27AD" w:rsidP="00DA27AD">
      <w:pPr>
        <w:pStyle w:val="NormalWeb"/>
        <w:jc w:val="both"/>
      </w:pPr>
      <w:r>
        <w:t>Para contrarrestar las críticas. El BCE resaltó que las compras serán “completamente esterilizadas”, es decir, una cantidad equivalente de los fondos será retirada del sistema financiero en un esfuerzo por mantener estable la oferta monetaria. El BCE hace eso actualmente ofreciendo a los bancos depósitos con interés por el valor total de los bonos soberanos que poseen.</w:t>
      </w:r>
    </w:p>
    <w:p w:rsidR="00DA27AD" w:rsidRDefault="00DA27AD" w:rsidP="00DA27AD">
      <w:pPr>
        <w:pStyle w:val="NormalWeb"/>
        <w:jc w:val="both"/>
      </w:pPr>
      <w:r>
        <w:t>El paso, en todo caso, es en gran medida simbólico, según muchos analistas. Los bancos todavía pueden pedir prestado al BCE tanto como deseen, suponiendo que tengan la garantía, que puede incluir los depósitos que mantienen en el BCE. “Dudamos que esto cambie el comportamiento bancario en alguna medida significativa”, escribió Greg Fuzesi, economista de JP Morgan.</w:t>
      </w:r>
    </w:p>
    <w:p w:rsidR="00DA27AD" w:rsidRDefault="00DA27AD" w:rsidP="00DA27AD">
      <w:pPr>
        <w:pStyle w:val="NormalWeb"/>
        <w:jc w:val="both"/>
      </w:pPr>
      <w:r>
        <w:lastRenderedPageBreak/>
        <w:t>Draghi se defendió de las críticas en los medios alemanes que lo acusan de alejar al BCE de sus raíces alemanas para satisfacer las necesidades del sur de Europa. No hay una “camarilla del sur” operando el BCE, señaló, y destacó la “enorme mayoría” que apoya su plan. Draghi enfatizó que el BCE insistirá en un número de condiciones antes de llevar a cabo cualquier compra de bonos.</w:t>
      </w:r>
    </w:p>
    <w:p w:rsidR="00DA27AD" w:rsidRDefault="00DA27AD" w:rsidP="00DA27AD">
      <w:pPr>
        <w:pStyle w:val="NormalWeb"/>
        <w:jc w:val="both"/>
      </w:pPr>
      <w:r>
        <w:t>Los países como España que pretenden la intervención del BCE tendrán que solicitar la ayuda del fondo de rescate europeo. Luego deben acordar recortes de presupuesto y reformas económicas con otros gobiernos de la zona euro y, tal vez, el Fondo Monetario Internacional. El banco central también se reservó el derecho de retirar la ayuda si los países dan marcha atrás en sus promesas.</w:t>
      </w:r>
    </w:p>
    <w:p w:rsidR="00DA27AD" w:rsidRDefault="00DA27AD" w:rsidP="00DA27AD">
      <w:pPr>
        <w:jc w:val="both"/>
        <w:rPr>
          <w:rFonts w:ascii="Times New Roman" w:hAnsi="Times New Roman"/>
          <w:b/>
          <w:sz w:val="24"/>
          <w:szCs w:val="24"/>
        </w:rPr>
      </w:pPr>
      <w:r>
        <w:rPr>
          <w:rFonts w:ascii="Times New Roman" w:hAnsi="Times New Roman"/>
          <w:b/>
          <w:sz w:val="24"/>
          <w:szCs w:val="24"/>
        </w:rPr>
        <w:t xml:space="preserve">Radiografía del programa de compras del BCE </w:t>
      </w:r>
      <w:r>
        <w:rPr>
          <w:rFonts w:ascii="Times New Roman" w:hAnsi="Times New Roman"/>
          <w:sz w:val="24"/>
          <w:szCs w:val="24"/>
        </w:rPr>
        <w:t>(Septiembre 2012)</w:t>
      </w:r>
    </w:p>
    <w:p w:rsidR="00DA27AD" w:rsidRDefault="00DA27AD" w:rsidP="00DA27AD">
      <w:pPr>
        <w:pStyle w:val="NormalWeb"/>
        <w:jc w:val="both"/>
      </w:pPr>
      <w:r>
        <w:t xml:space="preserve">La arquitectura institucional diseñada en los dos últimos años por la Unión Europea para afrontar la crisis de </w:t>
      </w:r>
      <w:r>
        <w:rPr>
          <w:bCs/>
        </w:rPr>
        <w:t>deuda soberana</w:t>
      </w:r>
      <w:r>
        <w:t xml:space="preserve">, comienza a dar sus frutos. A cambio de una condicionalidad “estricta y efectiva”, en palabras de </w:t>
      </w:r>
      <w:r>
        <w:rPr>
          <w:bCs/>
        </w:rPr>
        <w:t>Mario Draghi</w:t>
      </w:r>
      <w:r>
        <w:t xml:space="preserve">, el BCE </w:t>
      </w:r>
      <w:hyperlink r:id="rId145" w:history="1">
        <w:r w:rsidRPr="001749CC">
          <w:rPr>
            <w:rStyle w:val="Hipervnculo"/>
            <w:rFonts w:eastAsiaTheme="majorEastAsia"/>
            <w:color w:val="auto"/>
            <w:u w:val="none"/>
          </w:rPr>
          <w:t>comprará</w:t>
        </w:r>
      </w:hyperlink>
      <w:r w:rsidRPr="001749CC">
        <w:t xml:space="preserve"> </w:t>
      </w:r>
      <w:r>
        <w:t xml:space="preserve">deuda pública de forma ilimitada. Y lo que es también relevante: sin conservar el estatus de </w:t>
      </w:r>
      <w:r>
        <w:rPr>
          <w:bCs/>
        </w:rPr>
        <w:t>acreedor preferente</w:t>
      </w:r>
      <w:r>
        <w:t xml:space="preserve"> frente a los inversores privados.</w:t>
      </w:r>
    </w:p>
    <w:p w:rsidR="001749CC" w:rsidRDefault="001749CC" w:rsidP="00DA27AD">
      <w:pPr>
        <w:pStyle w:val="NormalWeb"/>
        <w:jc w:val="both"/>
      </w:pPr>
      <w:r>
        <w:t xml:space="preserve">   </w:t>
      </w:r>
      <w:r>
        <w:rPr>
          <w:noProof/>
        </w:rPr>
        <w:drawing>
          <wp:inline distT="0" distB="0" distL="0" distR="0" wp14:anchorId="3C0F0B64" wp14:editId="2834DEAF">
            <wp:extent cx="5403850" cy="3251200"/>
            <wp:effectExtent l="0" t="0" r="6350" b="6350"/>
            <wp:docPr id="147" name="Imagen 147" descr="070912Radiograf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070912Radiografia"/>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03850" cy="3251200"/>
                    </a:xfrm>
                    <a:prstGeom prst="rect">
                      <a:avLst/>
                    </a:prstGeom>
                    <a:noFill/>
                    <a:ln>
                      <a:noFill/>
                    </a:ln>
                  </pic:spPr>
                </pic:pic>
              </a:graphicData>
            </a:graphic>
          </wp:inline>
        </w:drawing>
      </w:r>
    </w:p>
    <w:p w:rsidR="00DA27AD" w:rsidRDefault="00DA27AD" w:rsidP="00DA27AD">
      <w:pPr>
        <w:pStyle w:val="NormalWeb"/>
        <w:jc w:val="both"/>
      </w:pPr>
      <w:r>
        <w:t xml:space="preserve">Lo que no se sabe es a partir de </w:t>
      </w:r>
      <w:r>
        <w:rPr>
          <w:bCs/>
        </w:rPr>
        <w:t>cuándo</w:t>
      </w:r>
      <w:r>
        <w:t xml:space="preserve"> comenzará a adquirir títulos gubernamentales. Ni qué entiende el BCE por condiciones estrictas y efectivas. Ni siquiera si España tendrá que negociar un nuevo </w:t>
      </w:r>
      <w:r>
        <w:rPr>
          <w:bCs/>
        </w:rPr>
        <w:t>Memorado de Entendimiento</w:t>
      </w:r>
      <w:r>
        <w:t xml:space="preserve"> (MoU) o valdrá el actual con adendas. Ni, por supuesto, en qué nivel tiene que encontrarse la prima de riesgo para justificar una intervención de los banqueros de Fráncfort. El BCE podría haber anunciado un determinado diferencial -como hizo el Banco de Suiza para defender el franco de su imparable apreciación- pero </w:t>
      </w:r>
      <w:r>
        <w:rPr>
          <w:bCs/>
        </w:rPr>
        <w:t>no lo ha hecho</w:t>
      </w:r>
      <w:r>
        <w:t>.</w:t>
      </w:r>
    </w:p>
    <w:p w:rsidR="00DA27AD" w:rsidRDefault="00DA27AD" w:rsidP="00DA27AD">
      <w:pPr>
        <w:pStyle w:val="NormalWeb"/>
        <w:jc w:val="both"/>
      </w:pPr>
      <w:r>
        <w:t xml:space="preserve">Lo que sí está claro es que el Banco Central Europeo inicia una </w:t>
      </w:r>
      <w:r>
        <w:rPr>
          <w:bCs/>
        </w:rPr>
        <w:t>nueva era</w:t>
      </w:r>
      <w:r>
        <w:t xml:space="preserve"> -en la que se juega su credibilidad- que le </w:t>
      </w:r>
      <w:r>
        <w:rPr>
          <w:bCs/>
        </w:rPr>
        <w:t>implica directamente</w:t>
      </w:r>
      <w:r>
        <w:t xml:space="preserve"> en la financiación de los Estados, algo que está </w:t>
      </w:r>
      <w:r>
        <w:lastRenderedPageBreak/>
        <w:t xml:space="preserve">fuera de su </w:t>
      </w:r>
      <w:hyperlink r:id="rId147" w:history="1">
        <w:r>
          <w:rPr>
            <w:rStyle w:val="Hipervnculo"/>
            <w:rFonts w:eastAsiaTheme="majorEastAsia"/>
            <w:color w:val="auto"/>
          </w:rPr>
          <w:t>mandato</w:t>
        </w:r>
      </w:hyperlink>
      <w:r>
        <w:t xml:space="preserve"> y que prohíben taxativamente sus estatutos. Pero el BCE lo salva con un argumento de peso: la transmisión de la </w:t>
      </w:r>
      <w:r>
        <w:rPr>
          <w:bCs/>
        </w:rPr>
        <w:t>política monetaria</w:t>
      </w:r>
      <w:r>
        <w:t xml:space="preserve"> se ha roto (los bajos tipos de interés no llegan a los agentes económicos) y su obligación es restaurarla.</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El presidente del Banco Central Europeo (BCE), Mario Draghi, anunció (9/12) que el organismo pedirá menos garantías para conceder créditos a los bancos de los países rescatados y facilitar su liquidez. “El Consejo de Gobierno del BCE ha decidido suspender la aplicación de los umbrales mínimos de calificación de crédito exigidos como colateral para las operaciones de crédito del eurosistema en el caso de instrumentos de deuda emitidos o garantizados por el Gobierno central” de los países rescatados, explicó Draghi a los periodistas en Fráncfort.</w:t>
      </w:r>
    </w:p>
    <w:p w:rsidR="00DA27AD" w:rsidRDefault="001749CC" w:rsidP="00DA27AD">
      <w:pPr>
        <w:spacing w:line="240" w:lineRule="auto"/>
        <w:jc w:val="both"/>
        <w:rPr>
          <w:rFonts w:ascii="Times New Roman" w:hAnsi="Times New Roman"/>
          <w:sz w:val="24"/>
          <w:szCs w:val="24"/>
        </w:rPr>
      </w:pPr>
      <w:r>
        <w:rPr>
          <w:rFonts w:ascii="Times New Roman" w:hAnsi="Times New Roman"/>
          <w:sz w:val="24"/>
          <w:szCs w:val="24"/>
        </w:rPr>
        <w:t xml:space="preserve">   </w:t>
      </w:r>
      <w:r w:rsidR="00DA27AD">
        <w:rPr>
          <w:noProof/>
          <w:lang w:eastAsia="es-ES"/>
        </w:rPr>
        <w:drawing>
          <wp:inline distT="0" distB="0" distL="0" distR="0" wp14:anchorId="3484B709" wp14:editId="626EA4AA">
            <wp:extent cx="5448300" cy="5848350"/>
            <wp:effectExtent l="0" t="0" r="0" b="0"/>
            <wp:docPr id="136" name="Imagen 136" descr="2012090638grafi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2012090638grafico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48300" cy="5848350"/>
                    </a:xfrm>
                    <a:prstGeom prst="rect">
                      <a:avLst/>
                    </a:prstGeom>
                    <a:noFill/>
                    <a:ln>
                      <a:noFill/>
                    </a:ln>
                  </pic:spPr>
                </pic:pic>
              </a:graphicData>
            </a:graphic>
          </wp:inline>
        </w:drawing>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 xml:space="preserve">Eso supone que los bancos de los países con un programa de rescate podrán seguir usando como garantía los bonos de sus países con independencia de la nota que les den las agencias de calificación crediticia. </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lastRenderedPageBreak/>
        <w:t xml:space="preserve">El objetivo de esta medida y de otras que ha venido adoptando el BCE es evitar que las entidades financieras que no dispongan de las garantías necesarias se queden sin liquidez, como sucedió a una pequeña entidad española, solvente pero sin liquidez, que no tenía garantías para el BCE y tuvo que recibir, por el procedimiento extraordinario, 402,5 millones de euros que le prestó el Banco de España. También resta influencia a las agencias de calificación, en la medida en que sus notas dejan de tener la trascendencia que tenían hasta ahora. Pero al mismo tiempo se trata de una forma más de forzar a los países con problemas a pedir el rescate. Los bancos españoles son los que más liquidez reclaman al BCE, con unas cifras que ya han llegado a los 400.000 millones de euros, según los datos correspondientes a julio (2012). </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En paralelo, el BCE también permitirá que se utilice como garantías de crédito los títulos que estén denominados en otras de las principales monedas diferentes del euro, como el dólar, el yen o la libra esterlina. Esta medida ya estuvo en vigor entre octubre de 2008 y diciembre de 2010.</w:t>
      </w:r>
    </w:p>
    <w:p w:rsidR="00DA27AD" w:rsidRDefault="00DA27AD" w:rsidP="00DA27AD">
      <w:pPr>
        <w:spacing w:line="240" w:lineRule="auto"/>
        <w:jc w:val="both"/>
        <w:rPr>
          <w:rFonts w:ascii="Times New Roman" w:hAnsi="Times New Roman"/>
          <w:sz w:val="24"/>
          <w:szCs w:val="24"/>
        </w:rPr>
      </w:pPr>
      <w:r>
        <w:rPr>
          <w:rFonts w:ascii="Times New Roman" w:hAnsi="Times New Roman"/>
          <w:sz w:val="24"/>
          <w:szCs w:val="24"/>
        </w:rPr>
        <w:t>Estos nuevos criterios no afectan a los bonos emitidos o garantizados por Grecia, que tiene su propio sistema desde el pasado Consejo Europeo de junio (2012).</w:t>
      </w:r>
    </w:p>
    <w:p w:rsidR="00DA27AD" w:rsidRDefault="00DA27AD" w:rsidP="00DA27AD">
      <w:pPr>
        <w:pStyle w:val="NormalWeb"/>
        <w:jc w:val="both"/>
      </w:pPr>
      <w:r>
        <w:rPr>
          <w:b/>
        </w:rPr>
        <w:t>-</w:t>
      </w:r>
      <w:r>
        <w:t xml:space="preserve"> </w:t>
      </w:r>
      <w:r>
        <w:rPr>
          <w:u w:val="single"/>
        </w:rPr>
        <w:t>El BCE desafía al Bundesbank en un intento por salvar el euro</w:t>
      </w:r>
      <w:r>
        <w:t xml:space="preserve"> (The Wall Street Journal </w:t>
      </w:r>
      <w:r>
        <w:rPr>
          <w:b/>
        </w:rPr>
        <w:t>-</w:t>
      </w:r>
      <w:r>
        <w:t xml:space="preserve"> </w:t>
      </w:r>
      <w:r>
        <w:rPr>
          <w:b/>
        </w:rPr>
        <w:t>3/10/12</w:t>
      </w:r>
      <w:r>
        <w:t xml:space="preserve">) </w:t>
      </w:r>
    </w:p>
    <w:p w:rsidR="00DA27AD" w:rsidRDefault="00DA27AD" w:rsidP="00DA27AD">
      <w:pPr>
        <w:pStyle w:val="NormalWeb"/>
        <w:jc w:val="both"/>
      </w:pPr>
      <w:r>
        <w:t xml:space="preserve">(Por Brian Blackstone y Marcus Walker)                                      </w:t>
      </w:r>
      <w:r w:rsidR="001749CC">
        <w:t xml:space="preserve">            </w:t>
      </w:r>
      <w:r>
        <w:t>Lectura recomendada</w:t>
      </w:r>
    </w:p>
    <w:p w:rsidR="00DA27AD" w:rsidRDefault="00DA27AD" w:rsidP="00DA27AD">
      <w:pPr>
        <w:pStyle w:val="NormalWeb"/>
        <w:jc w:val="both"/>
        <w:rPr>
          <w:u w:val="single"/>
        </w:rPr>
      </w:pPr>
      <w:r>
        <w:rPr>
          <w:u w:val="single"/>
        </w:rPr>
        <w:t xml:space="preserve">A finales de julio, mientras veía cómo se desintegraban los mercados de la zona euro, Mario Draghi improvisó dos frases en lo que se suponía iba a ser otro discurso rutinario en Londres, y con eso cambió el curso de la crisis del euro. </w:t>
      </w:r>
    </w:p>
    <w:p w:rsidR="00DA27AD" w:rsidRDefault="00DA27AD" w:rsidP="00DA27AD">
      <w:pPr>
        <w:pStyle w:val="NormalWeb"/>
        <w:jc w:val="both"/>
        <w:rPr>
          <w:color w:val="FF0000"/>
          <w:u w:val="single"/>
        </w:rPr>
      </w:pPr>
      <w:r>
        <w:rPr>
          <w:color w:val="FF0000"/>
          <w:u w:val="single"/>
        </w:rPr>
        <w:t xml:space="preserve">“Dentro de nuestro mandato, el Banco Central Europeo está dispuesto a hacer lo que haga falta para preservar el euro”, dijo el presidente del BCE. “Y créanme, será suficiente”. </w:t>
      </w:r>
    </w:p>
    <w:p w:rsidR="00DA27AD" w:rsidRDefault="00DA27AD" w:rsidP="00DA27AD">
      <w:pPr>
        <w:pStyle w:val="NormalWeb"/>
        <w:jc w:val="both"/>
        <w:rPr>
          <w:u w:val="single"/>
        </w:rPr>
      </w:pPr>
      <w:r>
        <w:rPr>
          <w:b/>
          <w:color w:val="FF0000"/>
          <w:u w:val="single"/>
        </w:rPr>
        <w:t>El BCE llevaba tiempo resistiéndose a utilizar su herramienta más poderosa -la imprenta- para salvar a los países europeos que cargaban con una pesada deuda fiscal.</w:t>
      </w:r>
      <w:r>
        <w:t xml:space="preserve"> El Bundesbank, el influyente banco central alemán, advirtió de las oscuras consecuencias si el BCE lo intentaba. Ahora, </w:t>
      </w:r>
      <w:r>
        <w:rPr>
          <w:u w:val="single"/>
        </w:rPr>
        <w:t xml:space="preserve">Draghi daba a entender que desafiaría a su mayor accionista. </w:t>
      </w:r>
    </w:p>
    <w:p w:rsidR="00DA27AD" w:rsidRDefault="00DA27AD" w:rsidP="00DA27AD">
      <w:pPr>
        <w:pStyle w:val="NormalWeb"/>
        <w:jc w:val="both"/>
        <w:rPr>
          <w:u w:val="single"/>
        </w:rPr>
      </w:pPr>
      <w:r>
        <w:rPr>
          <w:b/>
          <w:color w:val="FF0000"/>
          <w:u w:val="single"/>
        </w:rPr>
        <w:t>La pérdida de confianza de los inversionistas en la supervivencia del euro lo convenció de que no había alternativa</w:t>
      </w:r>
      <w:r>
        <w:t xml:space="preserve">. </w:t>
      </w:r>
      <w:r>
        <w:rPr>
          <w:u w:val="single"/>
        </w:rPr>
        <w:t xml:space="preserve">Los mercados estaban dando la espalda a España e Italia, países cuya insolvencia destruiría el sueño de la unidad europea y sacudiría a la economía mundial. </w:t>
      </w:r>
    </w:p>
    <w:p w:rsidR="00DA27AD" w:rsidRDefault="00DA27AD" w:rsidP="00DA27AD">
      <w:pPr>
        <w:pStyle w:val="NormalWeb"/>
        <w:jc w:val="both"/>
      </w:pPr>
      <w:r>
        <w:rPr>
          <w:b/>
          <w:color w:val="FF0000"/>
          <w:u w:val="single"/>
        </w:rPr>
        <w:t>Al acceder a imprimir dinero para comprar deuda de países con problemas de manera ilimitada, el BCE ha puesto en marcha la fase decisiva de la batalla de Europa por salvar al euro.</w:t>
      </w:r>
      <w:r>
        <w:t xml:space="preserve"> </w:t>
      </w:r>
      <w:r>
        <w:rPr>
          <w:u w:val="single"/>
        </w:rPr>
        <w:t>Si el recurso a la imprenta del BCE no logra estabilizar los mercados y ganar tiempo para que los países afectados por la crisis se recuperen, nada lo hará, opinan los economistas</w:t>
      </w:r>
      <w:r>
        <w:t xml:space="preserve">. </w:t>
      </w:r>
    </w:p>
    <w:p w:rsidR="00DA27AD" w:rsidRDefault="00DA27AD" w:rsidP="00DA27AD">
      <w:pPr>
        <w:pStyle w:val="NormalWeb"/>
        <w:jc w:val="both"/>
        <w:rPr>
          <w:b/>
          <w:color w:val="FF0000"/>
          <w:u w:val="single"/>
        </w:rPr>
      </w:pPr>
      <w:r>
        <w:rPr>
          <w:b/>
          <w:color w:val="FF0000"/>
          <w:u w:val="single"/>
        </w:rPr>
        <w:t xml:space="preserve">Y aunque la estrategia funcione, el BCE será una institución fundamentalmente distinta, tras abandonar puntos fundamentales de la ortodoxia económica que modelaron su primera década de existencia. Un banco central más activista, aunque bien recibido en la mayoría de los países europeos, ya afronta el profundo escepticismo </w:t>
      </w:r>
      <w:r>
        <w:rPr>
          <w:b/>
          <w:color w:val="FF0000"/>
          <w:u w:val="single"/>
        </w:rPr>
        <w:lastRenderedPageBreak/>
        <w:t xml:space="preserve">de Alemania, donde aumentan los temores de que esté sembrando las semillas de la inflación. </w:t>
      </w:r>
    </w:p>
    <w:p w:rsidR="00DA27AD" w:rsidRDefault="00DA27AD" w:rsidP="00DA27AD">
      <w:pPr>
        <w:pStyle w:val="NormalWeb"/>
        <w:jc w:val="both"/>
        <w:rPr>
          <w:u w:val="single"/>
        </w:rPr>
      </w:pPr>
      <w:r>
        <w:rPr>
          <w:b/>
          <w:color w:val="FF0000"/>
          <w:u w:val="single"/>
        </w:rPr>
        <w:t>Una pérdida del apoyo alemán volvería a poner en duda la viabilidad del euro</w:t>
      </w:r>
      <w:r>
        <w:t xml:space="preserve">. La controversia en torno al BCE muestra cómo la crisis europea alimenta tensiones entre los miembros del bloque económico. </w:t>
      </w:r>
      <w:r>
        <w:rPr>
          <w:u w:val="single"/>
        </w:rPr>
        <w:t xml:space="preserve">Mientras muchos alemanes temen una absorción de la unión monetaria por parte de los países mediterráneos, muchos europeos del sur consideran que la obstinación germana está prolongando la crisis. </w:t>
      </w:r>
    </w:p>
    <w:p w:rsidR="00DA27AD" w:rsidRDefault="00DA27AD" w:rsidP="00DA27AD">
      <w:pPr>
        <w:pStyle w:val="NormalWeb"/>
        <w:jc w:val="both"/>
      </w:pPr>
      <w:r>
        <w:t xml:space="preserve">Esta explicación del trascendental cambio del BCE, en base a entrevistas con numerosas fuentes muestra cómo el cauto Draghi cambió de parecer respecto al papel de la entidad e influyó en los líderes políticos alemanes para que esquivaran al presidente del Bundesbank, Jens Weidmann, en un intento táctico por redefinir la estrategia de Europa frente a la crisis. </w:t>
      </w:r>
    </w:p>
    <w:p w:rsidR="00DA27AD" w:rsidRDefault="001749CC" w:rsidP="00DA27AD">
      <w:pPr>
        <w:pStyle w:val="NormalWeb"/>
        <w:jc w:val="both"/>
      </w:pPr>
      <w:r>
        <w:t xml:space="preserve">   </w:t>
      </w:r>
      <w:r w:rsidR="00DA27AD">
        <w:rPr>
          <w:rFonts w:ascii="Arial" w:hAnsi="Arial" w:cs="Arial"/>
          <w:noProof/>
          <w:color w:val="000000"/>
          <w:sz w:val="15"/>
          <w:szCs w:val="15"/>
        </w:rPr>
        <w:drawing>
          <wp:inline distT="0" distB="0" distL="0" distR="0" wp14:anchorId="7C35C190" wp14:editId="354F9F29">
            <wp:extent cx="5391150" cy="4051300"/>
            <wp:effectExtent l="0" t="0" r="0" b="6350"/>
            <wp:docPr id="135" name="Imagen 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imag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91150" cy="4051300"/>
                    </a:xfrm>
                    <a:prstGeom prst="rect">
                      <a:avLst/>
                    </a:prstGeom>
                    <a:noFill/>
                    <a:ln>
                      <a:noFill/>
                    </a:ln>
                  </pic:spPr>
                </pic:pic>
              </a:graphicData>
            </a:graphic>
          </wp:inline>
        </w:drawing>
      </w:r>
    </w:p>
    <w:p w:rsidR="00DA27AD" w:rsidRDefault="00DA27AD" w:rsidP="001922D5">
      <w:pPr>
        <w:pStyle w:val="NormalWeb"/>
        <w:jc w:val="both"/>
        <w:rPr>
          <w:u w:val="single"/>
        </w:rPr>
      </w:pPr>
      <w:r>
        <w:rPr>
          <w:u w:val="single"/>
        </w:rPr>
        <w:t xml:space="preserve">Las líneas de batalla se trazaron inmediatamente después del discurso de Draghi. </w:t>
      </w:r>
    </w:p>
    <w:p w:rsidR="00DA27AD" w:rsidRDefault="00DA27AD" w:rsidP="001922D5">
      <w:pPr>
        <w:pStyle w:val="NormalWeb"/>
        <w:jc w:val="both"/>
        <w:rPr>
          <w:u w:val="single"/>
        </w:rPr>
      </w:pPr>
      <w:r>
        <w:rPr>
          <w:u w:val="single"/>
        </w:rPr>
        <w:t xml:space="preserve">Weidmann se mostró desconcertado. Draghi no tardó en llamarlo desde Londres para explicar sus comentarios, argumentando que los mercados habían estado apostando por la ruptura del euro y que eso era inaceptable. </w:t>
      </w:r>
    </w:p>
    <w:p w:rsidR="00DA27AD" w:rsidRDefault="00DA27AD" w:rsidP="001922D5">
      <w:pPr>
        <w:pStyle w:val="NormalWeb"/>
        <w:jc w:val="both"/>
        <w:rPr>
          <w:u w:val="single"/>
        </w:rPr>
      </w:pPr>
      <w:r>
        <w:rPr>
          <w:u w:val="single"/>
        </w:rPr>
        <w:t xml:space="preserve">Weidmann contestó que los inversionistas estaban apostando contra Italia y España por las fallas de sus economías que sólo podían ser resueltas por los políticos nacionales. La compra de bonos por parte del BCE no haría sino quitarles algo de presión. “Se trata de un problema político que, en mi opinión, requiere una solución política”, dijo Weidmann al italiano, según fuentes. </w:t>
      </w:r>
    </w:p>
    <w:p w:rsidR="00DA27AD" w:rsidRDefault="00DA27AD" w:rsidP="001922D5">
      <w:pPr>
        <w:pStyle w:val="NormalWeb"/>
        <w:jc w:val="both"/>
      </w:pPr>
      <w:r>
        <w:rPr>
          <w:u w:val="single"/>
        </w:rPr>
        <w:lastRenderedPageBreak/>
        <w:t>Para Weidmann, la táctica del BCE traicionaba sus principios, fundacionales, anclados en las tradiciones del Bundesbank y las lecciones de la historia de Europa tras la Segunda Guerra Mundial</w:t>
      </w:r>
      <w:r>
        <w:t xml:space="preserve">. Aunque sólo tiene 44 años, Weidmann se considera un defensor del legado bancario alemán, frente a las costumbres monetarias más relajadas de otras naciones. </w:t>
      </w:r>
    </w:p>
    <w:p w:rsidR="00DA27AD" w:rsidRDefault="00DA27AD" w:rsidP="001922D5">
      <w:pPr>
        <w:pStyle w:val="NormalWeb"/>
        <w:jc w:val="both"/>
        <w:rPr>
          <w:u w:val="single"/>
        </w:rPr>
      </w:pPr>
      <w:r>
        <w:rPr>
          <w:u w:val="single"/>
        </w:rPr>
        <w:t xml:space="preserve">A menudo se dice que la obsesión alemana por la estabilidad de los precios procede de la hiperinflación de los años 20, durante la República de Weimar. Pero para la moderna élite económica de Alemania, las raíces están en un acontecimiento más reciente: el éxito de postguerra de Alemania Occidental. “No todos los alemanes creen en Dios, pero todos creen en el Bundesbank”, dijo una vez el ex presidente de la Comisión Europea, Jacques Delors. </w:t>
      </w:r>
    </w:p>
    <w:p w:rsidR="00DA27AD" w:rsidRDefault="00DA27AD" w:rsidP="001922D5">
      <w:pPr>
        <w:pStyle w:val="NormalWeb"/>
        <w:jc w:val="both"/>
      </w:pPr>
      <w:r>
        <w:t xml:space="preserve">Para los años 90, Draghi, que cuenta con un doctorado del Instituto Tecnológico de Massachusetts, se había convertido en uno de los responsables públicos más eficientes de Italia, encabezando los esfuerzos por controlar el déficit fiscal e ingresar al euro. Tras una temporada en Goldman Sachs, asumió la presidencia de la Banca d'Italia en enero de 2006, con 58 años. </w:t>
      </w:r>
    </w:p>
    <w:p w:rsidR="00DA27AD" w:rsidRDefault="00DA27AD" w:rsidP="001922D5">
      <w:pPr>
        <w:pStyle w:val="NormalWeb"/>
        <w:jc w:val="both"/>
      </w:pPr>
      <w:r>
        <w:t xml:space="preserve">Dos semanas después, la nueva canciller alemana, Angela Merkel, nombró a Weidmann, entonces un analista estrella de 37 años del Bundesbank, como su principal asesor económico. Weidmann se convirtió en su mano derecha durante la crisis financiera mundial y la tormenta en la zona euro. </w:t>
      </w:r>
    </w:p>
    <w:p w:rsidR="00DA27AD" w:rsidRDefault="00DA27AD" w:rsidP="001922D5">
      <w:pPr>
        <w:pStyle w:val="NormalWeb"/>
        <w:jc w:val="both"/>
      </w:pPr>
      <w:r>
        <w:t xml:space="preserve">A principios de 2011, el presidente del Bundesbank, Axel Weber, dimitió y Weidmann lo sustituyó en el cargo. </w:t>
      </w:r>
    </w:p>
    <w:p w:rsidR="00DA27AD" w:rsidRDefault="00DA27AD" w:rsidP="001922D5">
      <w:pPr>
        <w:pStyle w:val="NormalWeb"/>
        <w:jc w:val="both"/>
      </w:pPr>
      <w:r>
        <w:t xml:space="preserve">Con Weber fuera de escena, Draghi se convirtió en el candidato con más posibilidades para convertirse en el próximo presidente del BCE, para consternación de muchos alemanes. “Por favor, este italiano no”, titulaba el tabloide Bild. “¡Mamma mia, para los italianos, la inflación es un modo de vida, como la salsa de tomate en la pasta!”. </w:t>
      </w:r>
    </w:p>
    <w:p w:rsidR="00DA27AD" w:rsidRDefault="00DA27AD" w:rsidP="001922D5">
      <w:pPr>
        <w:pStyle w:val="NormalWeb"/>
        <w:jc w:val="both"/>
      </w:pPr>
      <w:r>
        <w:t xml:space="preserve">Pero las credenciales de Draghi eran sólidas. Se presentó ante los medios alemanes como un seguidor de la ortodoxia anti-inflacionaria del Bundesbank, calificando a Alemania de “modelo” para el resto del continente. Funcionó. Merkel lo apoyó y Bild lo declaró “bastante alemán, incluso realmente prusiano”. </w:t>
      </w:r>
    </w:p>
    <w:p w:rsidR="00DA27AD" w:rsidRDefault="00DA27AD" w:rsidP="001922D5">
      <w:pPr>
        <w:pStyle w:val="NormalWeb"/>
        <w:jc w:val="both"/>
      </w:pPr>
      <w:r>
        <w:t xml:space="preserve">Pero la crisis estaba virando hacia una dirección que pondría a prueba la adherencia de Draghi a las reglas de juego alemanas. </w:t>
      </w:r>
    </w:p>
    <w:p w:rsidR="00DA27AD" w:rsidRDefault="00DA27AD" w:rsidP="001922D5">
      <w:pPr>
        <w:pStyle w:val="NormalWeb"/>
        <w:jc w:val="both"/>
        <w:rPr>
          <w:u w:val="single"/>
        </w:rPr>
      </w:pPr>
      <w:r>
        <w:rPr>
          <w:u w:val="single"/>
        </w:rPr>
        <w:t xml:space="preserve">En los últimos 12 meses, Draghi vio cómo crecían los temores a una ruptura del euro en los 30 a 40 indicadores financieros que estudia diariamente. Cuando llegó a Londres el 24 de julio, las rentabilidades de la deuda española e italiana estaban aumentando. </w:t>
      </w:r>
    </w:p>
    <w:p w:rsidR="00DA27AD" w:rsidRDefault="00DA27AD" w:rsidP="001922D5">
      <w:pPr>
        <w:pStyle w:val="NormalWeb"/>
        <w:jc w:val="both"/>
      </w:pPr>
      <w:r>
        <w:t xml:space="preserve">El BCE aún no tenía un plan listo. Draghi no había informado a los presidentes de los bancos centrales nacionales, pero, temiendo unos meses caóticos, decidió comprometerse públicamente a hacer “lo que haga falta”. </w:t>
      </w:r>
    </w:p>
    <w:p w:rsidR="00DA27AD" w:rsidRDefault="00DA27AD" w:rsidP="001922D5">
      <w:pPr>
        <w:pStyle w:val="NormalWeb"/>
        <w:jc w:val="both"/>
      </w:pPr>
      <w:r>
        <w:t xml:space="preserve">Esa tarde, telefoneó al ministro alemán de finanzas Wolfgang Schäuble, que estaba de vacaciones en el Mar del Norte, y le pidió que lo ayudara públicamente a defender al BCE de la ira de los medios alemanes. Schäuble, el miembro del gobierno alemán que más cree en el </w:t>
      </w:r>
      <w:r>
        <w:lastRenderedPageBreak/>
        <w:t xml:space="preserve">euro y en la unidad europea, accedió, haciendo caso omiso a los responsables del Ministerio de Finanzas, que le habían aconsejado no comentar las decisiones del banco central. </w:t>
      </w:r>
    </w:p>
    <w:p w:rsidR="00DA27AD" w:rsidRDefault="00DA27AD" w:rsidP="001922D5">
      <w:pPr>
        <w:pStyle w:val="NormalWeb"/>
        <w:jc w:val="both"/>
      </w:pPr>
      <w:r>
        <w:t xml:space="preserve">Draghi también llamó al presidente francés, François Hollande, y le pidió que presionara a Merkel para convencerla de hacer una declaración conjunta franco-alemana de apoyo. La canciller, de vacaciones en los Alpes, dijo a Hollande que no le incomodaba la decisión de Draghi, pero temía hacer un anuncio público sobre temas del BCE. Los asesores de ambos líderes negociaron el texto. </w:t>
      </w:r>
    </w:p>
    <w:p w:rsidR="00DA27AD" w:rsidRDefault="00DA27AD" w:rsidP="001922D5">
      <w:pPr>
        <w:pStyle w:val="NormalWeb"/>
        <w:jc w:val="both"/>
        <w:rPr>
          <w:color w:val="FF0000"/>
          <w:u w:val="single"/>
        </w:rPr>
      </w:pPr>
      <w:r>
        <w:t xml:space="preserve">A la mañana siguiente, el Bundesbank lanzó su contraofensiva al discurso, atacando las compras de bonos por ser “problemáticas” y “no la forma más sensata” de combatir la crisis. Pero al cabo de unas horas, Schäuble emitió un comunicado dando la bienvenida a la promesa de Draghi de preservar el euro. Poco después, Merkel y Hollande declararon su determinación de hacer “todo” para defender al euro y solicitaron a las “instituciones europeas” y a los gobiernos nacionales que cumplieran con su deber. </w:t>
      </w:r>
      <w:r>
        <w:rPr>
          <w:color w:val="FF0000"/>
          <w:u w:val="single"/>
        </w:rPr>
        <w:t xml:space="preserve">Berlín había roto con el Bundesbank y Draghi tenía la cobertura que quería. </w:t>
      </w:r>
    </w:p>
    <w:p w:rsidR="00DA27AD" w:rsidRDefault="00DA27AD" w:rsidP="001922D5">
      <w:pPr>
        <w:pStyle w:val="NormalWeb"/>
        <w:jc w:val="both"/>
        <w:rPr>
          <w:color w:val="FF0000"/>
          <w:u w:val="single"/>
        </w:rPr>
      </w:pPr>
      <w:r>
        <w:t xml:space="preserve">Weidmann no se ha rendido. El mes pasado, en un discurso en Fráncfort, citó a la quintaesencia de la literatura alemana, el “Fausto” de Goethe, para atacar al BCE. En la obra, observó Weidmann, un extraordinario boom da paso al derrumbe de la divisa. Sin embargo, </w:t>
      </w:r>
      <w:r>
        <w:rPr>
          <w:color w:val="FF0000"/>
          <w:u w:val="single"/>
        </w:rPr>
        <w:t>los mercados escuchan a Draghi.</w:t>
      </w:r>
    </w:p>
    <w:p w:rsidR="00DA27AD" w:rsidRDefault="00DA27AD" w:rsidP="00DA27AD">
      <w:pPr>
        <w:jc w:val="both"/>
        <w:rPr>
          <w:rFonts w:ascii="Times New Roman" w:hAnsi="Times New Roman"/>
          <w:b/>
          <w:sz w:val="24"/>
          <w:szCs w:val="24"/>
        </w:rPr>
      </w:pPr>
      <w:r>
        <w:rPr>
          <w:rFonts w:ascii="Times New Roman" w:hAnsi="Times New Roman"/>
          <w:b/>
          <w:sz w:val="24"/>
          <w:szCs w:val="24"/>
        </w:rPr>
        <w:t>Weidmann nos recuerda la escena de Fausto, con Mefistófeles y el emperador…</w:t>
      </w:r>
    </w:p>
    <w:p w:rsidR="00DA27AD" w:rsidRDefault="00DA27AD" w:rsidP="001922D5">
      <w:pPr>
        <w:spacing w:line="240" w:lineRule="auto"/>
        <w:jc w:val="both"/>
        <w:rPr>
          <w:rFonts w:ascii="Times New Roman" w:hAnsi="Times New Roman"/>
          <w:sz w:val="24"/>
          <w:szCs w:val="24"/>
        </w:rPr>
      </w:pP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u w:val="single"/>
        </w:rPr>
        <w:t>Draghi, el diablo</w:t>
      </w:r>
      <w:r>
        <w:rPr>
          <w:rFonts w:ascii="Times New Roman" w:hAnsi="Times New Roman"/>
          <w:sz w:val="24"/>
          <w:szCs w:val="24"/>
        </w:rPr>
        <w:t xml:space="preserve"> (Libertad Digital </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23/10/12</w:t>
      </w:r>
      <w:r>
        <w:rPr>
          <w:rFonts w:ascii="Times New Roman" w:hAnsi="Times New Roman"/>
          <w:sz w:val="24"/>
          <w:szCs w:val="24"/>
        </w:rPr>
        <w:t>)</w:t>
      </w:r>
    </w:p>
    <w:p w:rsidR="00DA27AD" w:rsidRDefault="00DA27AD" w:rsidP="001922D5">
      <w:pPr>
        <w:spacing w:line="240" w:lineRule="auto"/>
        <w:jc w:val="both"/>
        <w:rPr>
          <w:rFonts w:ascii="Times New Roman" w:hAnsi="Times New Roman"/>
          <w:sz w:val="24"/>
          <w:szCs w:val="24"/>
        </w:rPr>
      </w:pPr>
      <w:r>
        <w:rPr>
          <w:rFonts w:ascii="Times New Roman" w:hAnsi="Times New Roman"/>
          <w:sz w:val="24"/>
          <w:szCs w:val="24"/>
        </w:rPr>
        <w:t xml:space="preserve">(Por Manuel Llamas)                                                                     </w:t>
      </w:r>
      <w:r w:rsidR="001749CC">
        <w:rPr>
          <w:rFonts w:ascii="Times New Roman" w:hAnsi="Times New Roman"/>
          <w:sz w:val="24"/>
          <w:szCs w:val="24"/>
        </w:rPr>
        <w:t xml:space="preserve">            </w:t>
      </w:r>
      <w:r>
        <w:rPr>
          <w:rFonts w:ascii="Times New Roman" w:hAnsi="Times New Roman"/>
          <w:sz w:val="24"/>
          <w:szCs w:val="24"/>
        </w:rPr>
        <w:t>Lectura recomendada</w:t>
      </w:r>
    </w:p>
    <w:p w:rsidR="00DA27AD" w:rsidRDefault="00DA27AD" w:rsidP="001922D5">
      <w:pPr>
        <w:spacing w:line="240" w:lineRule="auto"/>
        <w:jc w:val="both"/>
        <w:rPr>
          <w:rFonts w:ascii="Times New Roman" w:hAnsi="Times New Roman"/>
          <w:b/>
          <w:color w:val="FF0000"/>
          <w:sz w:val="24"/>
          <w:szCs w:val="24"/>
          <w:u w:val="single"/>
        </w:rPr>
      </w:pPr>
      <w:r>
        <w:rPr>
          <w:rFonts w:ascii="Times New Roman" w:hAnsi="Times New Roman"/>
          <w:color w:val="FF0000"/>
          <w:sz w:val="24"/>
          <w:szCs w:val="24"/>
          <w:u w:val="single"/>
        </w:rPr>
        <w:t xml:space="preserve">Cuando el pasado agosto el presidente del Banco Central Europeo (BCE), el italiano Mario Draghi, anunció su intención de comprar (monetizar) toda la deuda periférica que fuese necesaria con el fin de garantizar la supervivencia del euro, la mayoría de los analistas y, sobre todo, los políticos respiraron con alivio, sin saber que, en el fondo, </w:t>
      </w:r>
      <w:r>
        <w:rPr>
          <w:rFonts w:ascii="Times New Roman" w:hAnsi="Times New Roman"/>
          <w:b/>
          <w:color w:val="FF0000"/>
          <w:sz w:val="24"/>
          <w:szCs w:val="24"/>
          <w:u w:val="single"/>
        </w:rPr>
        <w:t xml:space="preserve">el programa de adquisición ilimitada de bonos amenaza con rematar a la moneda única. </w:t>
      </w:r>
    </w:p>
    <w:p w:rsidR="00DA27AD" w:rsidRDefault="00DA27AD" w:rsidP="001922D5">
      <w:pPr>
        <w:spacing w:line="240" w:lineRule="auto"/>
        <w:jc w:val="both"/>
        <w:rPr>
          <w:rFonts w:ascii="Times New Roman" w:hAnsi="Times New Roman"/>
          <w:color w:val="FF0000"/>
          <w:sz w:val="24"/>
          <w:szCs w:val="24"/>
          <w:u w:val="single"/>
        </w:rPr>
      </w:pPr>
      <w:r>
        <w:rPr>
          <w:rFonts w:ascii="Times New Roman" w:hAnsi="Times New Roman"/>
          <w:sz w:val="24"/>
          <w:szCs w:val="24"/>
          <w:u w:val="single"/>
        </w:rPr>
        <w:t>La principal función de la banca central, monopolista público en la emisión de dinero y en la fijación del tipo de interés, es garantizar la estabilidad de los precios y actuar como prestamista de última instancia de bancos y estados cuando tengan problemas de liquidez -no de solvencia-.</w:t>
      </w:r>
      <w:r>
        <w:rPr>
          <w:rFonts w:ascii="Times New Roman" w:hAnsi="Times New Roman"/>
          <w:sz w:val="24"/>
          <w:szCs w:val="24"/>
        </w:rPr>
        <w:t xml:space="preserve"> </w:t>
      </w:r>
      <w:r>
        <w:rPr>
          <w:rFonts w:ascii="Times New Roman" w:hAnsi="Times New Roman"/>
          <w:sz w:val="24"/>
          <w:szCs w:val="24"/>
          <w:u w:val="single"/>
        </w:rPr>
        <w:t xml:space="preserve">Pues bien, en numerosas ocasiones el cumplimiento de ambos objetivos ha derivado en estrepitosos fracasos de terribles consecuencias. Y no hay que irse a las hiperinflaciones del pasado para demostrarlo. No en vano, la burbuja crediticia de la pasada década se gestó gracias a la artificial expansión del crédito que propiciaron tanto la Reserva Federal de EEUU (Fed) como el BCE; por cierto, estas mismas entidades están poniendo en riesgo sus propios balances al prestar dinero de forma indiscriminada a bancos y gobiernos insolventes. </w:t>
      </w:r>
      <w:r>
        <w:rPr>
          <w:rFonts w:ascii="Times New Roman" w:hAnsi="Times New Roman"/>
          <w:color w:val="FF0000"/>
          <w:sz w:val="24"/>
          <w:szCs w:val="24"/>
          <w:u w:val="single"/>
        </w:rPr>
        <w:t xml:space="preserve">Y es que un banco central también puede quebrar -técnicamente hablando- si los impagos se disparan o el valor de sus activos se desploma; solo que, a diferencia de cualquier otra entidad financiera, le basta con imprimir más billetes para cubrir el agujero. </w:t>
      </w:r>
    </w:p>
    <w:p w:rsidR="00DA27AD" w:rsidRDefault="00DA27AD" w:rsidP="001922D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La Fed y, tras el anuncio de Draghi, el BCE están siguiendo esta última senda, con su desnortada política de masiva expansión monetaria. Y aunque han cosechado el aplauso generalizado del mundo político-económico, no todos están satisfechos con tal deriva. De </w:t>
      </w:r>
      <w:r>
        <w:rPr>
          <w:rFonts w:ascii="Times New Roman" w:hAnsi="Times New Roman"/>
          <w:color w:val="FF0000"/>
          <w:sz w:val="24"/>
          <w:szCs w:val="24"/>
          <w:u w:val="single"/>
        </w:rPr>
        <w:lastRenderedPageBreak/>
        <w:t>hecho, el hasta hace poco todopoderoso Bundesbank está más bien aterrorizado con el plan de Draghi. Mucha atención a sus últimas alertas.</w:t>
      </w:r>
    </w:p>
    <w:p w:rsidR="00DA27AD" w:rsidRDefault="00DA27AD" w:rsidP="001922D5">
      <w:pPr>
        <w:spacing w:line="240" w:lineRule="auto"/>
        <w:jc w:val="both"/>
        <w:rPr>
          <w:rFonts w:ascii="Times New Roman" w:hAnsi="Times New Roman"/>
          <w:sz w:val="24"/>
          <w:szCs w:val="24"/>
        </w:rPr>
      </w:pPr>
      <w:r>
        <w:rPr>
          <w:rFonts w:ascii="Times New Roman" w:hAnsi="Times New Roman"/>
          <w:sz w:val="24"/>
          <w:szCs w:val="24"/>
        </w:rPr>
        <w:t xml:space="preserve">En septiembre, el presidente del banco central alemán, Jens Weidmann, no se arredró a la hora de calificar </w:t>
      </w:r>
      <w:r>
        <w:rPr>
          <w:rFonts w:ascii="Times New Roman" w:hAnsi="Times New Roman"/>
          <w:sz w:val="24"/>
          <w:szCs w:val="24"/>
          <w:u w:val="single"/>
        </w:rPr>
        <w:t>la compra de bonos públicos por parte del BCE de “trabajo del diablo”</w:t>
      </w:r>
      <w:r>
        <w:rPr>
          <w:rFonts w:ascii="Times New Roman" w:hAnsi="Times New Roman"/>
          <w:sz w:val="24"/>
          <w:szCs w:val="24"/>
        </w:rPr>
        <w:t>. Aunque en ningún momento se refirió directamente a Draghi, su mensaje no dejaba lugar a dudas:</w:t>
      </w:r>
    </w:p>
    <w:p w:rsidR="00DA27AD" w:rsidRDefault="00DA27AD" w:rsidP="001922D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 xml:space="preserve">Si un banco central puede, potencialmente, crear una cantidad ilimitada de dinero de la nada, ¿cómo puede asegurarse de que el dinero es lo suficientemente escaso para conservar su valor? (...) Sí, esta tentación sin duda existe, y muchos en la historia han sucumbido a ella. </w:t>
      </w:r>
    </w:p>
    <w:p w:rsidR="00DA27AD" w:rsidRDefault="00DA27AD" w:rsidP="001922D5">
      <w:pPr>
        <w:spacing w:line="240" w:lineRule="auto"/>
        <w:jc w:val="both"/>
        <w:rPr>
          <w:rFonts w:ascii="Times New Roman" w:hAnsi="Times New Roman"/>
          <w:sz w:val="24"/>
          <w:szCs w:val="24"/>
          <w:u w:val="single"/>
        </w:rPr>
      </w:pPr>
      <w:r>
        <w:rPr>
          <w:rFonts w:ascii="Times New Roman" w:hAnsi="Times New Roman"/>
          <w:sz w:val="24"/>
          <w:szCs w:val="24"/>
        </w:rPr>
        <w:t xml:space="preserve">Weidmann recordó la escena de Fausto en que Mefistófeles (el diablo) convence al emperador para emitir grandes cantidades de papel moneda y, así, acabar con sus problemas de financiación. </w:t>
      </w:r>
      <w:r>
        <w:rPr>
          <w:rFonts w:ascii="Times New Roman" w:hAnsi="Times New Roman"/>
          <w:sz w:val="24"/>
          <w:szCs w:val="24"/>
          <w:u w:val="single"/>
        </w:rPr>
        <w:t>La historia, claro, termina con una inflación galopante.</w:t>
      </w:r>
    </w:p>
    <w:p w:rsidR="00DA27AD" w:rsidRDefault="00DA27AD" w:rsidP="001922D5">
      <w:pPr>
        <w:spacing w:line="240" w:lineRule="auto"/>
        <w:jc w:val="both"/>
        <w:rPr>
          <w:rFonts w:ascii="Times New Roman" w:hAnsi="Times New Roman"/>
          <w:sz w:val="24"/>
          <w:szCs w:val="24"/>
        </w:rPr>
      </w:pPr>
      <w:r>
        <w:rPr>
          <w:rFonts w:ascii="Times New Roman" w:hAnsi="Times New Roman"/>
          <w:sz w:val="24"/>
          <w:szCs w:val="24"/>
          <w:u w:val="single"/>
        </w:rPr>
        <w:t>En su último informe mensual, el Bundesbank incide, una vez más, en esta perspectiva, tras reiterar su rechazo frontal a la compra ilimitada de deuda pública anunciada por el BCE</w:t>
      </w:r>
      <w:r>
        <w:rPr>
          <w:rFonts w:ascii="Times New Roman" w:hAnsi="Times New Roman"/>
          <w:sz w:val="24"/>
          <w:szCs w:val="24"/>
        </w:rPr>
        <w:t xml:space="preserve">. </w:t>
      </w:r>
      <w:r>
        <w:rPr>
          <w:rFonts w:ascii="Times New Roman" w:hAnsi="Times New Roman"/>
          <w:color w:val="FF0000"/>
          <w:sz w:val="24"/>
          <w:szCs w:val="24"/>
          <w:u w:val="single"/>
        </w:rPr>
        <w:t>Un plan nocivo y contraproducente, entre otras razones, porque desincentiva el sano ajuste fiscal que necesariamente tienen que realizar los países periféricos del euro.</w:t>
      </w:r>
      <w:r>
        <w:rPr>
          <w:rFonts w:ascii="Times New Roman" w:hAnsi="Times New Roman"/>
          <w:sz w:val="24"/>
          <w:szCs w:val="24"/>
        </w:rPr>
        <w:t xml:space="preserve"> </w:t>
      </w:r>
      <w:r>
        <w:rPr>
          <w:rFonts w:ascii="Times New Roman" w:hAnsi="Times New Roman"/>
          <w:sz w:val="24"/>
          <w:szCs w:val="24"/>
          <w:u w:val="single"/>
        </w:rPr>
        <w:t>La actual política monetaria “reduce y retrasa el proceso de ajuste” mediante la reducción de los tipos de interés y las masivas inyecciones de liquidez</w:t>
      </w:r>
      <w:r>
        <w:rPr>
          <w:rFonts w:ascii="Times New Roman" w:hAnsi="Times New Roman"/>
          <w:sz w:val="24"/>
          <w:szCs w:val="24"/>
        </w:rPr>
        <w:t xml:space="preserve">. Además, contradiciendo a Bruselas y a los políticos del sur de Europa, </w:t>
      </w:r>
      <w:r>
        <w:rPr>
          <w:rFonts w:ascii="Times New Roman" w:hAnsi="Times New Roman"/>
          <w:sz w:val="24"/>
          <w:szCs w:val="24"/>
          <w:u w:val="single"/>
        </w:rPr>
        <w:t>la entidad germana afirma que las elevadas primas de riesgo que presentan España e Italia reflejan la realidad, es decir, el elevado riesgo que representa el invertir en sus bonos.</w:t>
      </w:r>
      <w:r>
        <w:rPr>
          <w:rFonts w:ascii="Times New Roman" w:hAnsi="Times New Roman"/>
          <w:sz w:val="24"/>
          <w:szCs w:val="24"/>
        </w:rPr>
        <w:t xml:space="preserve"> El execonomista del BCE Jürgen Stark es de la misma opinión. </w:t>
      </w:r>
      <w:r>
        <w:rPr>
          <w:rFonts w:ascii="Times New Roman" w:hAnsi="Times New Roman"/>
          <w:sz w:val="24"/>
          <w:szCs w:val="24"/>
          <w:u w:val="single"/>
        </w:rPr>
        <w:t>Efectivamente, las primas de riesgo de los países periféricos están “justificadas”</w:t>
      </w:r>
      <w:r>
        <w:rPr>
          <w:rFonts w:ascii="Times New Roman" w:hAnsi="Times New Roman"/>
          <w:sz w:val="24"/>
          <w:szCs w:val="24"/>
        </w:rPr>
        <w:t xml:space="preserve">. Stark dimitió como consecuencia del anterior programa de compra de bonos del BCE, y ahora insiste en que Draghi ha cruzado varias “líneas rojas”. </w:t>
      </w:r>
    </w:p>
    <w:p w:rsidR="00DA27AD" w:rsidRDefault="00DA27AD" w:rsidP="001922D5">
      <w:pPr>
        <w:spacing w:line="240" w:lineRule="auto"/>
        <w:jc w:val="both"/>
        <w:rPr>
          <w:rFonts w:ascii="Times New Roman" w:hAnsi="Times New Roman"/>
          <w:sz w:val="24"/>
          <w:szCs w:val="24"/>
        </w:rPr>
      </w:pPr>
      <w:r>
        <w:rPr>
          <w:rFonts w:ascii="Times New Roman" w:hAnsi="Times New Roman"/>
          <w:sz w:val="24"/>
          <w:szCs w:val="24"/>
          <w:u w:val="single"/>
        </w:rPr>
        <w:t>El discurso completo de Weidmann no tiene desperdicio</w:t>
      </w:r>
      <w:r>
        <w:rPr>
          <w:rFonts w:ascii="Times New Roman" w:hAnsi="Times New Roman"/>
          <w:sz w:val="24"/>
          <w:szCs w:val="24"/>
        </w:rPr>
        <w:t>. A modo de ejemplo, destaco las siguiente perlas:</w:t>
      </w:r>
    </w:p>
    <w:p w:rsidR="00DA27AD" w:rsidRDefault="00DA27AD" w:rsidP="001922D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Hoy en día, el dinero ya no está respaldado por ningún activo real. Los billetes son de papel impreso -y los expertos que hay entre ustedes saben que el euro está impreso en papel de algodón- y las monedas están acuñadas en metal (...) Si los alquimistas intentaron en el pasado convertir el plomo en oro, en la economía moderna el papel se ha convertido en dinero (...) En última instancia, la aceptación de esos billetes se basa en la confianza de la gente.</w:t>
      </w:r>
    </w:p>
    <w:p w:rsidR="00DA27AD" w:rsidRDefault="00DA27AD" w:rsidP="001922D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 xml:space="preserve">  (...) las interferencias gubernamentales en los bancos centrales, junto con la gran demanda de financiación por parte de los estados, a menudo ha conducido a fuertes aumentos del dinero en circulación, lo que ha provocado que (el dinero) perdiera valor a consecuencia de la inflación (...) La mejor protección contra la tentación (inflacionista) es una sociedad ilustrada y orientada a la estabilidad (monetaria).</w:t>
      </w:r>
    </w:p>
    <w:p w:rsidR="00DA27AD" w:rsidRDefault="00DA27AD" w:rsidP="00DA27AD">
      <w:pPr>
        <w:pStyle w:val="NormalWeb"/>
        <w:jc w:val="both"/>
        <w:rPr>
          <w:b/>
        </w:rPr>
      </w:pPr>
      <w:r>
        <w:rPr>
          <w:b/>
        </w:rPr>
        <w:t>Un artículo definitorio y definitivo del “sabio” alemán (uno de los cinco del Ifo)</w:t>
      </w:r>
    </w:p>
    <w:p w:rsidR="00DA27AD" w:rsidRDefault="00DA27AD" w:rsidP="00DA27AD">
      <w:pPr>
        <w:pStyle w:val="NormalWeb"/>
        <w:jc w:val="both"/>
      </w:pPr>
      <w:r>
        <w:rPr>
          <w:b/>
        </w:rPr>
        <w:t>-</w:t>
      </w:r>
      <w:r>
        <w:t xml:space="preserve"> </w:t>
      </w:r>
      <w:r>
        <w:rPr>
          <w:u w:val="single"/>
        </w:rPr>
        <w:t>Una segunda oportunidad para la reforma europea</w:t>
      </w:r>
      <w:r>
        <w:t xml:space="preserve"> (Project Syndicate </w:t>
      </w:r>
      <w:r>
        <w:rPr>
          <w:b/>
        </w:rPr>
        <w:t>-</w:t>
      </w:r>
      <w:r>
        <w:t xml:space="preserve"> </w:t>
      </w:r>
      <w:r>
        <w:rPr>
          <w:b/>
        </w:rPr>
        <w:t>27/12/12</w:t>
      </w:r>
      <w:r>
        <w:t>)</w:t>
      </w:r>
    </w:p>
    <w:p w:rsidR="00DA27AD" w:rsidRDefault="00DA27AD" w:rsidP="00DA27AD">
      <w:pPr>
        <w:pStyle w:val="NormalWeb"/>
        <w:jc w:val="both"/>
      </w:pPr>
      <w:r>
        <w:t xml:space="preserve">(Por Hans-Werner Sinn)                                                                 </w:t>
      </w:r>
      <w:r w:rsidR="001749CC">
        <w:t xml:space="preserve">           </w:t>
      </w:r>
      <w:r>
        <w:t>Lectura recomendada</w:t>
      </w:r>
    </w:p>
    <w:p w:rsidR="00DA27AD" w:rsidRDefault="00DA27AD" w:rsidP="00DA27AD">
      <w:pPr>
        <w:pStyle w:val="NormalWeb"/>
        <w:jc w:val="both"/>
      </w:pPr>
      <w:r>
        <w:lastRenderedPageBreak/>
        <w:t>Múnich.</w:t>
      </w:r>
      <w:r>
        <w:rPr>
          <w:b/>
        </w:rPr>
        <w:t>-</w:t>
      </w:r>
      <w:r>
        <w:t xml:space="preserve"> </w:t>
      </w:r>
      <w:r>
        <w:rPr>
          <w:color w:val="FF0000"/>
          <w:u w:val="single"/>
        </w:rPr>
        <w:t>El Banco Central Europeo logró tranquilizar a los mercados con su promesa de compras ilimitadas de bonos de gobiernos de la eurozona, porque efectivamente aseguró a los tenedores de bonos que los contribuyentes y los pensionados de las economías todavía sólidas de la eurozona asumirían la carga del reembolso si fuera necesario</w:t>
      </w:r>
      <w:r>
        <w:t xml:space="preserve">. </w:t>
      </w:r>
      <w:r>
        <w:rPr>
          <w:u w:val="single"/>
        </w:rPr>
        <w:t>Aunque el BCE no especificó cómo es que esto se llevaría a cabo, su compromiso despertó el apetito de los inversores, redujo los diferenciales de las tasas de interés en la eurozona y permitió reducir el financiamiento de las economías afectadas por la crisis a través de la imprenta.</w:t>
      </w:r>
      <w:r>
        <w:t xml:space="preserve">  </w:t>
      </w:r>
    </w:p>
    <w:p w:rsidR="00DA27AD" w:rsidRDefault="00DA27AD" w:rsidP="00DA27AD">
      <w:pPr>
        <w:pStyle w:val="NormalWeb"/>
        <w:jc w:val="both"/>
      </w:pPr>
      <w:r>
        <w:rPr>
          <w:color w:val="FF0000"/>
          <w:u w:val="single"/>
        </w:rPr>
        <w:t>Este respiro ofrece una oportunidad ideal para impulsar las reformas</w:t>
      </w:r>
      <w:r>
        <w:t xml:space="preserve">. El primer ministro griego, Antonis Samaras, debe convencer a sus compatriotas de que tiene serias intenciones de ponerlas en práctica. El primer ministro español, Mariano Rajoy, y el ministro de Finanzas portugués, Vitor Gaspar, merecen más respaldo para sus planes. Y es de esperarse que el primer ministro interino de Italia, Mario Monti, dispute la próxima elección general. Todos estos líderes entienden qué es lo que se debe hacer. </w:t>
      </w:r>
    </w:p>
    <w:p w:rsidR="00DA27AD" w:rsidRDefault="00DA27AD" w:rsidP="00DA27AD">
      <w:pPr>
        <w:pStyle w:val="NormalWeb"/>
        <w:jc w:val="both"/>
      </w:pPr>
      <w:r>
        <w:t xml:space="preserve">Francia, en cambio, no parece haber entendido lo que sucede. El presidente François Hollande quiere resolver los problemas de su país con programas de crecimiento. Pero cuando los políticos dicen “crecimiento” están hablando de “endeudamiento”. Eso es lo último que necesita Francia. </w:t>
      </w:r>
    </w:p>
    <w:p w:rsidR="00DA27AD" w:rsidRDefault="00DA27AD" w:rsidP="00DA27AD">
      <w:pPr>
        <w:pStyle w:val="NormalWeb"/>
        <w:jc w:val="both"/>
      </w:pPr>
      <w:r>
        <w:t xml:space="preserve">El ratio deuda/PBI de Francia ya está cerca del 90%; aún si su déficit presupuestario de 2013 no supera el 3,5% del PBI, su ratio deuda/PBI habrá trepado al 93% para fin del año. La participación del gobierno en el PBI, 56%, es la más alta en la eurozona y la segunda más alta entre todos los países desarrollados. </w:t>
      </w:r>
    </w:p>
    <w:p w:rsidR="00DA27AD" w:rsidRDefault="00DA27AD" w:rsidP="00DA27AD">
      <w:pPr>
        <w:pStyle w:val="NormalWeb"/>
        <w:jc w:val="both"/>
      </w:pPr>
      <w:r>
        <w:t>No son sólo los actores cinematográficos como Gérard Depardieu los que se van del país para huir de sus impuestos elevados; la industria también se va. Los fabricantes de autos alguna vez orgullosos de Francia luchan por sobrevivir.</w:t>
      </w:r>
    </w:p>
    <w:p w:rsidR="00DA27AD" w:rsidRDefault="00DA27AD" w:rsidP="00DA27AD">
      <w:pPr>
        <w:pStyle w:val="NormalWeb"/>
        <w:jc w:val="both"/>
      </w:pPr>
      <w:r>
        <w:t xml:space="preserve">De hecho, la industria manufacturera de Francia se ha reducido a apenas el 9% del PBI, por debajo que en Gran Bretaña (10%) y menos de la mitad que en Alemania (20%). Su cuenta corriente está cayendo en un agujero de déficit cada vez más profundo. El desempleo está alcanzando niveles sin precedentes.  </w:t>
      </w:r>
    </w:p>
    <w:p w:rsidR="00DA27AD" w:rsidRDefault="00DA27AD" w:rsidP="00DA27AD">
      <w:pPr>
        <w:pStyle w:val="NormalWeb"/>
        <w:jc w:val="both"/>
        <w:rPr>
          <w:color w:val="FF0000"/>
          <w:u w:val="single"/>
        </w:rPr>
      </w:pPr>
      <w:r>
        <w:rPr>
          <w:color w:val="FF0000"/>
          <w:u w:val="single"/>
        </w:rPr>
        <w:t>El problema esencial de Francia, como el de los países más afectados por la crisis, es que la ola de crédito barato que hizo posible la introducción del euro alimentó una burbuja inflacionaria que la privó de su competitividad. Goldman Sachs ha calculado que Francia debe volverse 20% más barata para cumplir con su deuda sobre una base sustentable.</w:t>
      </w:r>
    </w:p>
    <w:p w:rsidR="00DA27AD" w:rsidRDefault="00DA27AD" w:rsidP="00DA27AD">
      <w:pPr>
        <w:pStyle w:val="NormalWeb"/>
        <w:jc w:val="both"/>
        <w:rPr>
          <w:color w:val="FF0000"/>
          <w:u w:val="single"/>
        </w:rPr>
      </w:pPr>
      <w:r>
        <w:rPr>
          <w:color w:val="FF0000"/>
          <w:u w:val="single"/>
        </w:rPr>
        <w:t xml:space="preserve">Lo mismo es válido para España, mientras que Italia tendría que volverse entre 10% y 15% más barata, y Grecia y Portugal necesitarían que los precios domésticos cayeran 30% y 35%, respectivamente. Las estadísticas de poder adquisitivo de la OCDE pintan un panorama similar, en el que Grecia necesita una depreciación del 39% y Portugal del 32%, sólo para </w:t>
      </w:r>
      <w:r>
        <w:rPr>
          <w:b/>
          <w:color w:val="FF0000"/>
          <w:u w:val="single"/>
        </w:rPr>
        <w:t>alcanzar el nivel de precios que prevalece en Turquía</w:t>
      </w:r>
      <w:r>
        <w:rPr>
          <w:color w:val="FF0000"/>
          <w:u w:val="single"/>
        </w:rPr>
        <w:t xml:space="preserve">. Pero, hasta el momento, prácticamente no se hizo nada al respecto. Peor aún, las tasas de inflación de algunos de los países en problemas todavía son superiores a las de sus socios comerciales. </w:t>
      </w:r>
    </w:p>
    <w:p w:rsidR="00DA27AD" w:rsidRDefault="00DA27AD" w:rsidP="00DA27AD">
      <w:pPr>
        <w:pStyle w:val="NormalWeb"/>
        <w:jc w:val="both"/>
        <w:rPr>
          <w:b/>
          <w:color w:val="FF0000"/>
          <w:u w:val="single"/>
        </w:rPr>
      </w:pPr>
      <w:r>
        <w:rPr>
          <w:b/>
          <w:color w:val="FF0000"/>
          <w:u w:val="single"/>
        </w:rPr>
        <w:t xml:space="preserve">Los políticos de la eurozona tienden a creer que es posible recuperar la competitividad si se llevan a cabo reformas, si se emprenden proyectos de infraestructura y si se mejora la productividad, pero sin reducir los precios domésticos. Esa es una falacia, porque </w:t>
      </w:r>
      <w:r>
        <w:rPr>
          <w:b/>
          <w:color w:val="FF0000"/>
          <w:u w:val="single"/>
        </w:rPr>
        <w:lastRenderedPageBreak/>
        <w:t>estas medidas mejoran la competitividad sólo en la medida que reducen los precios internos con respecto a los competidores de la eurozona. Es imposible que haya una reducción en los precios domésticos relativos mientras estos países permanezcan en la unión monetaria: o deflacionan, o sus socios comerciales inflacionan más rápido.</w:t>
      </w:r>
    </w:p>
    <w:p w:rsidR="00DA27AD" w:rsidRDefault="00DA27AD" w:rsidP="00DA27AD">
      <w:pPr>
        <w:pStyle w:val="NormalWeb"/>
        <w:jc w:val="both"/>
        <w:rPr>
          <w:u w:val="single"/>
        </w:rPr>
      </w:pPr>
      <w:r>
        <w:rPr>
          <w:u w:val="single"/>
        </w:rPr>
        <w:t xml:space="preserve">No existe una manera fácil o socialmente agradable de lograrlo. En algunos casos, este tipo de acción puede ser tan peligrosa que no se la debería desear a ninguna sociedad. La brecha es decididamente demasiado grande entre lo que se necesita para restablecer la competitividad y lo que los ciudadanos pueden tolerar si siguen formando parte de la unión monetaria.   </w:t>
      </w:r>
    </w:p>
    <w:p w:rsidR="00DA27AD" w:rsidRDefault="00DA27AD" w:rsidP="00DA27AD">
      <w:pPr>
        <w:pStyle w:val="NormalWeb"/>
        <w:jc w:val="both"/>
        <w:rPr>
          <w:b/>
          <w:color w:val="FF0000"/>
          <w:u w:val="single"/>
        </w:rPr>
      </w:pPr>
      <w:r>
        <w:rPr>
          <w:b/>
          <w:color w:val="FF0000"/>
          <w:u w:val="single"/>
        </w:rPr>
        <w:t xml:space="preserve">Para volverse más barato, la tasa de inflación de un país debe permanecer por debajo de la de sus competidores, pero eso sólo se puede lograr mediante un desplome económico. Cuanto más defienden los sindicatos las estructuras salariales existentes, y cuanto menor es el crecimiento de la productividad, mayor será la caída económica. España y Francia necesitarían un desplome de diez años, con una inflación anual 2% por debajo de la de sus competidores, para recuperar su competitividad. En el caso de Italia, el camino hacia la competitividad es más corto, pero para Portugal y Grecia es sustancialmente más largo -tal vez demasiado largo.  </w:t>
      </w:r>
    </w:p>
    <w:p w:rsidR="00DA27AD" w:rsidRDefault="00DA27AD" w:rsidP="00DA27AD">
      <w:pPr>
        <w:pStyle w:val="NormalWeb"/>
        <w:jc w:val="both"/>
        <w:rPr>
          <w:color w:val="FF0000"/>
          <w:u w:val="single"/>
        </w:rPr>
      </w:pPr>
      <w:r>
        <w:rPr>
          <w:color w:val="FF0000"/>
          <w:u w:val="single"/>
        </w:rPr>
        <w:t>Italia, Francia y España deberían poder recuperar la competitividad en la eurozona en un período predecible de tiempo. Después de todo, Alemania recortó sus precios en relación a sus socios comerciales de la eurozona un 22% entre 1995, cuando se anunció definitivamente el euro, y 2008, cuando estalló la crisis financiera global.</w:t>
      </w:r>
    </w:p>
    <w:p w:rsidR="00DA27AD" w:rsidRDefault="00DA27AD" w:rsidP="00DA27AD">
      <w:pPr>
        <w:pStyle w:val="NormalWeb"/>
        <w:jc w:val="both"/>
        <w:rPr>
          <w:b/>
          <w:color w:val="FF0000"/>
          <w:u w:val="single"/>
        </w:rPr>
      </w:pPr>
      <w:r>
        <w:t xml:space="preserve"> </w:t>
      </w:r>
      <w:r>
        <w:rPr>
          <w:b/>
          <w:color w:val="FF0000"/>
          <w:u w:val="single"/>
        </w:rPr>
        <w:t xml:space="preserve">Hace diez años, Alemania era como Francia hoy -el enfermo de Europa-. Sufría un creciente desempleo y una falta de inversión. La mayor parte de sus ahorros se invertían en el extranjero y su porcentaje de inversión doméstica neta estaba entre los más bajos de todos los países de la OCDE. Bajo una presión cada vez más fuerte, el gobierno socialdemócrata de Gerhard Schroeder en 2003 decidió privar a millones de alemanes de su seguro de desempleo, abriendo así el camino para la creación de un sector de bajos salarios, reduciendo a su vez la tasa de inflación. </w:t>
      </w:r>
    </w:p>
    <w:p w:rsidR="00DA27AD" w:rsidRDefault="00DA27AD" w:rsidP="00DA27AD">
      <w:pPr>
        <w:pStyle w:val="NormalWeb"/>
        <w:jc w:val="both"/>
        <w:rPr>
          <w:u w:val="single"/>
        </w:rPr>
      </w:pPr>
      <w:r>
        <w:rPr>
          <w:u w:val="single"/>
        </w:rPr>
        <w:t>Desafortunadamente, hasta el momento, no existe ninguna señal de que los países en crisis, sobre todo Francia, estén dispuestos a morder el polvo. Cuanto más tiempo sigan creyendo obstinadamente en fórmulas mágicas, más tiempo la crisis del euro se quedará entre nosotros.</w:t>
      </w:r>
    </w:p>
    <w:p w:rsidR="00DA27AD" w:rsidRDefault="00DA27AD" w:rsidP="00DA27AD">
      <w:pPr>
        <w:pStyle w:val="NormalWeb"/>
        <w:jc w:val="both"/>
        <w:rPr>
          <w:lang w:val="en-US"/>
        </w:rPr>
      </w:pPr>
      <w:r>
        <w:rPr>
          <w:lang w:val="en-US"/>
        </w:rPr>
        <w:t>(Hans-Werner Sinn, Professor of Economics at the University of Munich, is President of the Ifo Institute for Economic Research and serves on the German economy ministry’s Advisory Council…)</w:t>
      </w:r>
    </w:p>
    <w:p w:rsidR="00DA27AD" w:rsidRDefault="00DA27AD" w:rsidP="00DA27AD">
      <w:pPr>
        <w:spacing w:line="240" w:lineRule="auto"/>
        <w:jc w:val="both"/>
        <w:textAlignment w:val="baseline"/>
        <w:rPr>
          <w:rFonts w:ascii="Times New Roman" w:hAnsi="Times New Roman"/>
          <w:b/>
          <w:sz w:val="24"/>
          <w:szCs w:val="24"/>
        </w:rPr>
      </w:pPr>
      <w:r>
        <w:rPr>
          <w:rFonts w:ascii="Times New Roman" w:hAnsi="Times New Roman"/>
          <w:b/>
          <w:sz w:val="24"/>
          <w:szCs w:val="24"/>
        </w:rPr>
        <w:t>¿Quo vadis Europa?</w:t>
      </w:r>
    </w:p>
    <w:p w:rsidR="00DA27AD" w:rsidRDefault="00DA27AD" w:rsidP="00DA27A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confianza en la Unión Europea, sigue acosada por un crecimiento económico lento, un desempleo elevado, desafíos en materia de inmigración y una creciente incertidumbre política.</w:t>
      </w:r>
    </w:p>
    <w:p w:rsidR="00DA27AD" w:rsidRDefault="00DA27AD" w:rsidP="00DA27AD">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Después de haber gastado ingentes cantidades de dinero de los contribuyentes en el “rescate” de la banca, según el Fondo Monetario Internacional, aproximadamente una tercera parte del sector bancario de Europa, que representa activos por un valor de 8,5 billones de dólares, sigue siendo débil y no puede generar ganancias sustentables. Todo esto crea riesgos </w:t>
      </w:r>
      <w:r>
        <w:rPr>
          <w:rFonts w:ascii="Times New Roman" w:eastAsia="Times New Roman" w:hAnsi="Times New Roman"/>
          <w:sz w:val="24"/>
          <w:szCs w:val="24"/>
        </w:rPr>
        <w:lastRenderedPageBreak/>
        <w:t>negativos importantes para la economía de la UE y, en definitiva, para todo el experimento político europeo.</w:t>
      </w:r>
    </w:p>
    <w:p w:rsidR="00DA27AD" w:rsidRDefault="00DA27AD" w:rsidP="00DA27AD">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A pesar de representar alrededor del 20% del PIB mundial, la eurozona no tiene una representación “institucional” proporcional a su importancia global, como para restablecer la confianza y credibilidad política de la Unión Europea, tal vez lo más crucial para mantener vivo el sueño europeo. </w:t>
      </w:r>
    </w:p>
    <w:p w:rsidR="00DA27AD" w:rsidRDefault="00DA27AD" w:rsidP="00DA27AD">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Un liderazgo europeo efectivo, sería mucho más competitivo globalmente y le haría frente a la fuerza de las corporaciones dominantes de Estados Unidos. Esto les indicaría a los participantes del mercado y a los ciudadanos europeos por igual que los líderes políticos están comprometidos con la integración europea.</w:t>
      </w:r>
    </w:p>
    <w:p w:rsidR="00DA27AD" w:rsidRDefault="00DA27AD" w:rsidP="00DA27AD">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Aunque la cuota de voluntad política que requeriría no sea fácil de conseguir, para los ciudadanos comunes, cualquier indicio de que la UE no va a desmoronarse conllevaría beneficios importantes y ofrecería cierta apariencia de seguridad en un entorno sumamente incierto.</w:t>
      </w:r>
    </w:p>
    <w:p w:rsidR="00DA27AD" w:rsidRDefault="00DA27AD" w:rsidP="00DA27AD">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Pero ninguna jugada audaz es obvia. La verdad es que, sin una evidencia creíble y transparente de lazos más profundos -no sólo en cuestiones fiscales, sino también en los negocios y las finanzas (la columna vertebral de una economía moderna)-, la UE seguirá siendo una colección de países conectados sin firmeza y no particularmente creíbles.</w:t>
      </w:r>
    </w:p>
    <w:p w:rsidR="001749CC" w:rsidRDefault="001749CC" w:rsidP="00DA27AD">
      <w:pPr>
        <w:shd w:val="clear" w:color="auto" w:fill="FFFFFF"/>
        <w:spacing w:after="75" w:line="240" w:lineRule="auto"/>
        <w:jc w:val="both"/>
        <w:textAlignment w:val="baseline"/>
        <w:rPr>
          <w:rFonts w:ascii="Times New Roman" w:eastAsia="Times New Roman" w:hAnsi="Times New Roman"/>
          <w:sz w:val="24"/>
          <w:szCs w:val="24"/>
        </w:rPr>
      </w:pPr>
    </w:p>
    <w:p w:rsidR="00DA27AD" w:rsidRPr="001749CC" w:rsidRDefault="00DA27AD" w:rsidP="00DA27AD">
      <w:pPr>
        <w:shd w:val="clear" w:color="auto" w:fill="FFFFFF"/>
        <w:spacing w:after="75" w:line="240" w:lineRule="auto"/>
        <w:jc w:val="both"/>
        <w:textAlignment w:val="baseline"/>
        <w:rPr>
          <w:rFonts w:ascii="Times New Roman" w:eastAsia="Times New Roman" w:hAnsi="Times New Roman"/>
          <w:sz w:val="24"/>
          <w:szCs w:val="24"/>
        </w:rPr>
      </w:pPr>
      <w:r w:rsidRPr="001749CC">
        <w:rPr>
          <w:rFonts w:ascii="Times New Roman" w:eastAsia="Times New Roman" w:hAnsi="Times New Roman"/>
          <w:i/>
          <w:sz w:val="24"/>
          <w:szCs w:val="24"/>
        </w:rPr>
        <w:t xml:space="preserve">“Se podría decir que ahora no es el momento de presionar por una mayor integración. La situación es demasiado frágil y la oposición popular, demasiado fuerte. Si el crecimiento inclusive fuera regular, podrían decir los escépticos, el contexto político sería mucho más propicio. Pero la estructura desarticulada actual de la UE no resistirá. Si no se toman medidas sólidas pronto, las grietas no harán más que agrandarse, generando una discordancia política cada vez más poderosa y, en definitiva, condenando todo el proyecto europeo al fracaso”. </w:t>
      </w:r>
      <w:r w:rsidRPr="001749CC">
        <w:rPr>
          <w:rFonts w:ascii="Times New Roman" w:eastAsia="Times New Roman" w:hAnsi="Times New Roman"/>
          <w:sz w:val="24"/>
          <w:szCs w:val="24"/>
        </w:rPr>
        <w:t xml:space="preserve">(Dambisa Moyo - Project Syndicate - </w:t>
      </w:r>
      <w:r w:rsidRPr="001749CC">
        <w:rPr>
          <w:rFonts w:ascii="Times New Roman" w:eastAsia="Times New Roman" w:hAnsi="Times New Roman"/>
          <w:b/>
          <w:sz w:val="24"/>
          <w:szCs w:val="24"/>
        </w:rPr>
        <w:t>24/10/16</w:t>
      </w:r>
      <w:r w:rsidRPr="001749CC">
        <w:rPr>
          <w:rFonts w:ascii="Times New Roman" w:eastAsia="Times New Roman" w:hAnsi="Times New Roman"/>
          <w:sz w:val="24"/>
          <w:szCs w:val="24"/>
        </w:rPr>
        <w:t>)</w:t>
      </w:r>
    </w:p>
    <w:p w:rsidR="00DA27AD" w:rsidRDefault="00DA27AD" w:rsidP="00DA27AD">
      <w:pPr>
        <w:shd w:val="clear" w:color="auto" w:fill="FFFFFF"/>
        <w:spacing w:after="75" w:line="240" w:lineRule="auto"/>
        <w:jc w:val="both"/>
        <w:textAlignment w:val="baseline"/>
        <w:rPr>
          <w:rFonts w:ascii="Times New Roman" w:eastAsia="Times New Roman" w:hAnsi="Times New Roman"/>
          <w:sz w:val="20"/>
          <w:szCs w:val="20"/>
        </w:rPr>
      </w:pPr>
    </w:p>
    <w:p w:rsidR="00DA27AD" w:rsidRDefault="00DA27AD" w:rsidP="00DA27AD">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Nota (2018): “The EU paradox”: Del Estado del Bienestar al Estado del Malestar (la Europa “desagradable” de las cifras)</w:t>
      </w:r>
    </w:p>
    <w:p w:rsidR="00DA27AD" w:rsidRDefault="00DA27AD" w:rsidP="00DA27AD">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los índices de empleo, educación y pobreza, se puede certificar la “década perdida” de la Unión Europea. Vuelta al casillero de salida (año 2008). Resultan favorables los datos correspondientes a medio ambiente, justamente porque la depresión ha logrado que se reduzcan los consumos y emisiones. ¡Vaya paradoja! También mejoran algo los coeficientes de Investigación y Desarrollo. ¡Oremos! Al final, una “década perdida” y “vuelta a empezar”… ¡Oca, Oca, y tiro porque me toca!  </w:t>
      </w:r>
    </w:p>
    <w:p w:rsidR="00DA27AD" w:rsidRDefault="00DA27AD" w:rsidP="00DA27AD">
      <w:pPr>
        <w:pStyle w:val="NormalWeb"/>
        <w:jc w:val="both"/>
        <w:rPr>
          <w:b/>
        </w:rPr>
      </w:pPr>
      <w:r>
        <w:rPr>
          <w:b/>
        </w:rPr>
        <w:t>Miren, si aún lo permite vuestra generosa paciencia, los siguientes 4 cuadros y piensen si ha lugar a “purgatorios y perdones”, para los “payasos diabólicos”, que han llevado a la economía global a tal nivel de absurdo (ilógica, esperpento, surrealismo, vesania…), y a Europa a semejante estado de postración (encefalograma plano).</w:t>
      </w:r>
    </w:p>
    <w:p w:rsidR="00DA27AD" w:rsidRDefault="00DA27AD" w:rsidP="00DA27AD">
      <w:pPr>
        <w:pStyle w:val="NormalWeb"/>
        <w:jc w:val="both"/>
        <w:rPr>
          <w:b/>
        </w:rPr>
      </w:pPr>
      <w:r>
        <w:rPr>
          <w:b/>
        </w:rPr>
        <w:t xml:space="preserve">“Corpus delicti” (últimas fotos de la víctima y sus victimarios) </w:t>
      </w:r>
    </w:p>
    <w:p w:rsidR="00DA27AD" w:rsidRDefault="00DA27AD" w:rsidP="00DA27AD">
      <w:pPr>
        <w:pStyle w:val="NormalWeb"/>
        <w:jc w:val="both"/>
      </w:pPr>
      <w:r>
        <w:t>La OCDE ha publicado su informe </w:t>
      </w:r>
      <w:r>
        <w:rPr>
          <w:i/>
          <w:iCs/>
          <w:bdr w:val="none" w:sz="0" w:space="0" w:color="auto" w:frame="1"/>
        </w:rPr>
        <w:t>Entrepreneurship at a Glance 2016</w:t>
      </w:r>
      <w:r>
        <w:t>, en el que dedica un capítulo al nacimiento y cierre de empresas a lo largo de estos años de crisis.</w:t>
      </w:r>
    </w:p>
    <w:p w:rsidR="00DA27AD" w:rsidRDefault="00DA27AD" w:rsidP="00DA27AD">
      <w:pPr>
        <w:pStyle w:val="NormalWeb"/>
        <w:jc w:val="both"/>
      </w:pPr>
      <w:r>
        <w:rPr>
          <w:noProof/>
          <w:bdr w:val="none" w:sz="0" w:space="0" w:color="auto" w:frame="1"/>
        </w:rPr>
        <w:lastRenderedPageBreak/>
        <w:drawing>
          <wp:inline distT="0" distB="0" distL="0" distR="0" wp14:anchorId="4A99A676" wp14:editId="0393CA0C">
            <wp:extent cx="5391150" cy="2717800"/>
            <wp:effectExtent l="0" t="0" r="0" b="6350"/>
            <wp:docPr id="141" name="Imagen 141" descr="ratio_nuevas_empresas.jpg">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ratio_nuevas_empresas.jpg">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91150" cy="2717800"/>
                    </a:xfrm>
                    <a:prstGeom prst="rect">
                      <a:avLst/>
                    </a:prstGeom>
                    <a:noFill/>
                    <a:ln>
                      <a:noFill/>
                    </a:ln>
                  </pic:spPr>
                </pic:pic>
              </a:graphicData>
            </a:graphic>
          </wp:inline>
        </w:drawing>
      </w:r>
      <w:r w:rsidR="001749CC">
        <w:t xml:space="preserve">Fuente: OCDE </w:t>
      </w:r>
      <w:r>
        <w:t>(Ver diferencia entre el rombo negro con los datos de 2006-07 frente al rectángulo con las cifras de 2012-13).</w:t>
      </w:r>
    </w:p>
    <w:p w:rsidR="00DA27AD" w:rsidRDefault="00DA27AD" w:rsidP="00DA27AD">
      <w:pPr>
        <w:pStyle w:val="NormalWeb"/>
        <w:shd w:val="clear" w:color="auto" w:fill="FFFFFF"/>
        <w:spacing w:before="0" w:beforeAutospacing="0" w:after="0" w:afterAutospacing="0"/>
        <w:jc w:val="both"/>
        <w:textAlignment w:val="baseline"/>
      </w:pPr>
      <w:r>
        <w:t>Si tomamos los balances de los</w:t>
      </w:r>
      <w:r>
        <w:rPr>
          <w:rStyle w:val="apple-converted-space"/>
        </w:rPr>
        <w:t> </w:t>
      </w:r>
      <w:hyperlink r:id="rId152" w:tgtFrame="_self" w:history="1">
        <w:r w:rsidRPr="001749CC">
          <w:rPr>
            <w:rStyle w:val="Hipervnculo"/>
            <w:rFonts w:eastAsiaTheme="majorEastAsia"/>
            <w:color w:val="auto"/>
            <w:u w:val="none"/>
          </w:rPr>
          <w:t>bancos centrales</w:t>
        </w:r>
      </w:hyperlink>
      <w:r>
        <w:rPr>
          <w:rStyle w:val="apple-converted-space"/>
        </w:rPr>
        <w:t> </w:t>
      </w:r>
      <w:r>
        <w:t>de Europa, China, Japón y Estados Unidos, vemos cómo los niveles de expansión de los mismos han sido brutales en los últimos años, siendo especialmente significativo el incremento del presente año 2016 y más si pensamos que</w:t>
      </w:r>
      <w:r>
        <w:rPr>
          <w:rStyle w:val="apple-converted-space"/>
        </w:rPr>
        <w:t> </w:t>
      </w:r>
      <w:r w:rsidRPr="001749CC">
        <w:rPr>
          <w:rStyle w:val="Textoennegrita"/>
          <w:rFonts w:eastAsia="Calibri"/>
          <w:b w:val="0"/>
          <w:bdr w:val="none" w:sz="0" w:space="0" w:color="auto" w:frame="1"/>
        </w:rPr>
        <w:t>no son 4 los bancos centrales</w:t>
      </w:r>
      <w:r>
        <w:rPr>
          <w:rStyle w:val="apple-converted-space"/>
        </w:rPr>
        <w:t> </w:t>
      </w:r>
      <w:r>
        <w:t>comprando activos sino sólo el BCE y el Banco de Japón al estar los otros 2 en situación neutra. (Fuente Yardeni.com).</w:t>
      </w:r>
    </w:p>
    <w:p w:rsidR="00DA27AD" w:rsidRDefault="00DA27AD" w:rsidP="00DA27AD">
      <w:pPr>
        <w:pStyle w:val="NormalWeb"/>
        <w:shd w:val="clear" w:color="auto" w:fill="FFFFFF"/>
        <w:spacing w:before="0" w:beforeAutospacing="0" w:after="0" w:afterAutospacing="0"/>
        <w:jc w:val="both"/>
        <w:textAlignment w:val="baseline"/>
        <w:rPr>
          <w:color w:val="FF0000"/>
          <w:u w:val="single"/>
        </w:rPr>
      </w:pPr>
    </w:p>
    <w:p w:rsidR="00DA27AD" w:rsidRDefault="00DA27AD" w:rsidP="00DA27AD">
      <w:pPr>
        <w:shd w:val="clear" w:color="auto" w:fill="FFFFFF"/>
        <w:spacing w:line="240" w:lineRule="auto"/>
        <w:jc w:val="both"/>
        <w:textAlignment w:val="baseline"/>
        <w:rPr>
          <w:rFonts w:ascii="Times New Roman" w:hAnsi="Times New Roman"/>
          <w:color w:val="1A1A1A"/>
          <w:sz w:val="24"/>
          <w:szCs w:val="24"/>
        </w:rPr>
      </w:pPr>
      <w:r>
        <w:rPr>
          <w:rFonts w:ascii="Times New Roman" w:hAnsi="Times New Roman"/>
          <w:noProof/>
          <w:color w:val="1A1A1A"/>
          <w:sz w:val="24"/>
          <w:szCs w:val="24"/>
          <w:lang w:eastAsia="es-ES"/>
        </w:rPr>
        <w:drawing>
          <wp:inline distT="0" distB="0" distL="0" distR="0" wp14:anchorId="57BAE548" wp14:editId="37FADA77">
            <wp:extent cx="5480050" cy="2990850"/>
            <wp:effectExtent l="0" t="0" r="6350" b="0"/>
            <wp:docPr id="140" name="Imagen 140" descr="http://www.ecestaticos.com/image/clipping/654/45d374f2d838c7b763e59363edf41ee8/javiermol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ttp://www.ecestaticos.com/image/clipping/654/45d374f2d838c7b763e59363edf41ee8/javiermolina.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80050" cy="2990850"/>
                    </a:xfrm>
                    <a:prstGeom prst="rect">
                      <a:avLst/>
                    </a:prstGeom>
                    <a:noFill/>
                    <a:ln>
                      <a:noFill/>
                    </a:ln>
                  </pic:spPr>
                </pic:pic>
              </a:graphicData>
            </a:graphic>
          </wp:inline>
        </w:drawing>
      </w:r>
    </w:p>
    <w:p w:rsidR="00DA27AD" w:rsidRPr="007F7E89" w:rsidRDefault="00DA27AD" w:rsidP="00DA27AD">
      <w:pPr>
        <w:pStyle w:val="NormalWeb"/>
        <w:shd w:val="clear" w:color="auto" w:fill="FFFFFF"/>
        <w:spacing w:before="0" w:beforeAutospacing="0" w:after="0" w:afterAutospacing="0"/>
        <w:jc w:val="both"/>
        <w:textAlignment w:val="baseline"/>
        <w:rPr>
          <w:b/>
        </w:rPr>
      </w:pPr>
      <w:r>
        <w:t>Y en el caso Europeo, los dos últimos años son de</w:t>
      </w:r>
      <w:r>
        <w:rPr>
          <w:rStyle w:val="apple-converted-space"/>
        </w:rPr>
        <w:t> </w:t>
      </w:r>
      <w:r w:rsidRPr="007F7E89">
        <w:rPr>
          <w:rStyle w:val="Textoennegrita"/>
          <w:rFonts w:eastAsia="Calibri"/>
          <w:b w:val="0"/>
          <w:bdr w:val="none" w:sz="0" w:space="0" w:color="auto" w:frame="1"/>
        </w:rPr>
        <w:t>pura locura expansiva</w:t>
      </w:r>
      <w:r w:rsidRPr="007F7E89">
        <w:rPr>
          <w:b/>
        </w:rPr>
        <w:t>.</w:t>
      </w:r>
    </w:p>
    <w:p w:rsidR="00DA27AD" w:rsidRDefault="00DA27AD" w:rsidP="00DA27AD">
      <w:pPr>
        <w:pStyle w:val="NormalWeb"/>
        <w:shd w:val="clear" w:color="auto" w:fill="FFFFFF"/>
        <w:spacing w:before="0" w:beforeAutospacing="0" w:after="0" w:afterAutospacing="0"/>
        <w:jc w:val="both"/>
        <w:textAlignment w:val="baseline"/>
        <w:rPr>
          <w:color w:val="FF0000"/>
          <w:u w:val="single"/>
        </w:rPr>
      </w:pPr>
    </w:p>
    <w:p w:rsidR="00DA27AD" w:rsidRDefault="00DA27AD" w:rsidP="00DA27AD">
      <w:pPr>
        <w:shd w:val="clear" w:color="auto" w:fill="FFFFFF"/>
        <w:spacing w:line="240" w:lineRule="auto"/>
        <w:jc w:val="both"/>
        <w:textAlignment w:val="baseline"/>
        <w:rPr>
          <w:rFonts w:ascii="Times New Roman" w:hAnsi="Times New Roman"/>
          <w:color w:val="1A1A1A"/>
          <w:sz w:val="24"/>
          <w:szCs w:val="24"/>
        </w:rPr>
      </w:pPr>
      <w:r>
        <w:rPr>
          <w:rFonts w:ascii="Times New Roman" w:hAnsi="Times New Roman"/>
          <w:noProof/>
          <w:color w:val="1A1A1A"/>
          <w:sz w:val="24"/>
          <w:szCs w:val="24"/>
          <w:lang w:eastAsia="es-ES"/>
        </w:rPr>
        <w:lastRenderedPageBreak/>
        <w:drawing>
          <wp:inline distT="0" distB="0" distL="0" distR="0" wp14:anchorId="2D9BE2DF" wp14:editId="505B3E1B">
            <wp:extent cx="5632450" cy="2946400"/>
            <wp:effectExtent l="0" t="0" r="6350" b="6350"/>
            <wp:docPr id="139" name="Imagen 139" descr="http://www.ecestaticos.com/image/clipping/654/b32175c52b5aaa29b391c999f862dc37/javiermol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http://www.ecestaticos.com/image/clipping/654/b32175c52b5aaa29b391c999f862dc37/javiermolina.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32450" cy="2946400"/>
                    </a:xfrm>
                    <a:prstGeom prst="rect">
                      <a:avLst/>
                    </a:prstGeom>
                    <a:noFill/>
                    <a:ln>
                      <a:noFill/>
                    </a:ln>
                  </pic:spPr>
                </pic:pic>
              </a:graphicData>
            </a:graphic>
          </wp:inline>
        </w:drawing>
      </w:r>
    </w:p>
    <w:p w:rsidR="00DA27AD" w:rsidRDefault="00DA27AD" w:rsidP="00DA27AD">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¿Los helicópteros monetarios de los bancos centrales (lanzando billetes desde el aire) han servido a la economía real o solo han suministrado Metadona a los “yonquis” adictos al dinero (economía de casino)? Respondan ustedes mismos.</w:t>
      </w:r>
    </w:p>
    <w:p w:rsidR="00DA27AD" w:rsidRDefault="00DA27AD" w:rsidP="00DA27AD">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¿QE significa “quantitative easing”, o “qué esp</w:t>
      </w:r>
      <w:r w:rsidR="001749CC">
        <w:rPr>
          <w:rFonts w:ascii="Times New Roman" w:hAnsi="Times New Roman"/>
          <w:b/>
          <w:sz w:val="24"/>
          <w:szCs w:val="24"/>
          <w:shd w:val="clear" w:color="auto" w:fill="EEF0EF"/>
        </w:rPr>
        <w:t>erpento”? ¿Los bancos centrales,</w:t>
      </w:r>
      <w:r>
        <w:rPr>
          <w:rFonts w:ascii="Times New Roman" w:hAnsi="Times New Roman"/>
          <w:b/>
          <w:sz w:val="24"/>
          <w:szCs w:val="24"/>
          <w:shd w:val="clear" w:color="auto" w:fill="EEF0EF"/>
        </w:rPr>
        <w:t xml:space="preserve"> han sido “vigilantes” o “chambelanes”? Respondan ustedes mismos.</w:t>
      </w:r>
    </w:p>
    <w:p w:rsidR="00DA27AD" w:rsidRDefault="00DA27AD" w:rsidP="00DA27AD">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La distribución del Producto Interior Bruto en la Unión Europea (1995 y 2015)</w:t>
      </w:r>
    </w:p>
    <w:p w:rsidR="00DA27AD" w:rsidRDefault="00DA27AD" w:rsidP="00DA27AD">
      <w:pPr>
        <w:spacing w:line="240" w:lineRule="auto"/>
        <w:jc w:val="both"/>
        <w:textAlignment w:val="baseline"/>
        <w:rPr>
          <w:rFonts w:ascii="Times New Roman" w:hAnsi="Times New Roman"/>
          <w:sz w:val="24"/>
          <w:szCs w:val="24"/>
          <w:shd w:val="clear" w:color="auto" w:fill="EEF0EF"/>
        </w:rPr>
      </w:pPr>
      <w:r>
        <w:rPr>
          <w:rFonts w:ascii="Times New Roman" w:hAnsi="Times New Roman"/>
          <w:noProof/>
          <w:sz w:val="24"/>
          <w:szCs w:val="24"/>
          <w:shd w:val="clear" w:color="auto" w:fill="EEF0EF"/>
          <w:lang w:eastAsia="es-ES"/>
        </w:rPr>
        <w:drawing>
          <wp:inline distT="0" distB="0" distL="0" distR="0" wp14:anchorId="576A7B62" wp14:editId="2B0C35D2">
            <wp:extent cx="5219700" cy="660400"/>
            <wp:effectExtent l="0" t="0" r="0" b="635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19700" cy="660400"/>
                    </a:xfrm>
                    <a:prstGeom prst="rect">
                      <a:avLst/>
                    </a:prstGeom>
                    <a:noFill/>
                    <a:ln>
                      <a:noFill/>
                    </a:ln>
                  </pic:spPr>
                </pic:pic>
              </a:graphicData>
            </a:graphic>
          </wp:inline>
        </w:drawing>
      </w:r>
    </w:p>
    <w:p w:rsidR="00DA27AD" w:rsidRDefault="00DA27AD" w:rsidP="00DA27AD">
      <w:pPr>
        <w:spacing w:line="240" w:lineRule="auto"/>
        <w:jc w:val="both"/>
        <w:textAlignment w:val="baseline"/>
        <w:rPr>
          <w:rFonts w:ascii="Times New Roman" w:hAnsi="Times New Roman"/>
          <w:sz w:val="24"/>
          <w:szCs w:val="24"/>
          <w:shd w:val="clear" w:color="auto" w:fill="EEF0EF"/>
        </w:rPr>
      </w:pPr>
      <w:r>
        <w:rPr>
          <w:rFonts w:ascii="Times New Roman" w:hAnsi="Times New Roman"/>
          <w:noProof/>
          <w:sz w:val="24"/>
          <w:szCs w:val="24"/>
          <w:shd w:val="clear" w:color="auto" w:fill="EEF0EF"/>
          <w:lang w:eastAsia="es-ES"/>
        </w:rPr>
        <w:drawing>
          <wp:inline distT="0" distB="0" distL="0" distR="0" wp14:anchorId="0E797D41" wp14:editId="65C6D06C">
            <wp:extent cx="5391150" cy="1689100"/>
            <wp:effectExtent l="0" t="0" r="0" b="635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1150" cy="1689100"/>
                    </a:xfrm>
                    <a:prstGeom prst="rect">
                      <a:avLst/>
                    </a:prstGeom>
                    <a:noFill/>
                    <a:ln>
                      <a:noFill/>
                    </a:ln>
                  </pic:spPr>
                </pic:pic>
              </a:graphicData>
            </a:graphic>
          </wp:inline>
        </w:drawing>
      </w:r>
    </w:p>
    <w:p w:rsidR="00DA27AD" w:rsidRDefault="00DA27AD" w:rsidP="00DA27AD">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¿Cómo, cuándo, dónde y por qué, empezó ese movimiento que ha puesto a la Unión Europea al borde del abismo?</w:t>
      </w:r>
    </w:p>
    <w:p w:rsidR="00DA27AD" w:rsidRDefault="00DA27AD" w:rsidP="00DA27AD">
      <w:pPr>
        <w:pStyle w:val="NormalWeb"/>
        <w:jc w:val="both"/>
        <w:rPr>
          <w:b/>
        </w:rPr>
      </w:pPr>
      <w:r>
        <w:rPr>
          <w:b/>
        </w:rPr>
        <w:t>¿De verdad todo tenía que ocurrir así o también podría haber sido de otro modo?</w:t>
      </w:r>
    </w:p>
    <w:p w:rsidR="00DA27AD" w:rsidRDefault="00DA27AD" w:rsidP="00DA27AD">
      <w:pPr>
        <w:pStyle w:val="NormalWeb"/>
        <w:jc w:val="both"/>
        <w:rPr>
          <w:b/>
        </w:rPr>
      </w:pPr>
      <w:r>
        <w:rPr>
          <w:b/>
        </w:rPr>
        <w:t xml:space="preserve">¿Por este modelo neoliberal anglosajón (de especulaciones indemostrables) se abandonó el modelo renano (de economía social de mercado)? </w:t>
      </w:r>
    </w:p>
    <w:p w:rsidR="00DA27AD" w:rsidRDefault="00DA27AD" w:rsidP="00DA27AD">
      <w:pPr>
        <w:pStyle w:val="NormalWeb"/>
        <w:jc w:val="both"/>
        <w:rPr>
          <w:b/>
        </w:rPr>
      </w:pPr>
      <w:r>
        <w:rPr>
          <w:b/>
        </w:rPr>
        <w:t xml:space="preserve">Cuando constaten que lo han perdido todo, se pondrán a buscar al culpable. </w:t>
      </w:r>
    </w:p>
    <w:p w:rsidR="00DA27AD" w:rsidRDefault="00DA27AD" w:rsidP="00DA27AD">
      <w:pPr>
        <w:pStyle w:val="NormalWeb"/>
        <w:jc w:val="both"/>
        <w:rPr>
          <w:b/>
        </w:rPr>
      </w:pPr>
      <w:r>
        <w:rPr>
          <w:b/>
        </w:rPr>
        <w:lastRenderedPageBreak/>
        <w:t xml:space="preserve">Espero (y deseo) que los europeos no necesiten que a la “década perdida” la suceda una “década infame”, para dejar al descubierto las verdaderas limitaciones del modelo. Sin embargo, aunque los hechos han cambiado el balance, la reputación y las víctimas, las opiniones, no.  </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 animarán los europeos a vivir en la verdad, o seguirán siendo rehenes de  falsas elecciones? ¿Cuál es la base moral para negarles a todos los jóvenes (¡nuestros hijos y nietos!) un futuro mejor? </w:t>
      </w:r>
    </w:p>
    <w:p w:rsidR="00DA27AD" w:rsidRDefault="00DA27AD" w:rsidP="00DA27AD">
      <w:pPr>
        <w:spacing w:line="240" w:lineRule="auto"/>
        <w:jc w:val="both"/>
        <w:rPr>
          <w:rFonts w:ascii="Times New Roman" w:hAnsi="Times New Roman"/>
          <w:b/>
          <w:sz w:val="24"/>
          <w:szCs w:val="24"/>
        </w:rPr>
      </w:pPr>
      <w:r>
        <w:rPr>
          <w:rFonts w:ascii="Times New Roman" w:hAnsi="Times New Roman"/>
          <w:b/>
          <w:i/>
          <w:sz w:val="24"/>
          <w:szCs w:val="24"/>
        </w:rPr>
        <w:t>“Cuando los hechos cambian, cambio de opinión. ¿Usted qué hace, señor?”</w:t>
      </w:r>
      <w:r>
        <w:rPr>
          <w:rFonts w:ascii="Times New Roman" w:hAnsi="Times New Roman"/>
          <w:b/>
          <w:sz w:val="24"/>
          <w:szCs w:val="24"/>
        </w:rPr>
        <w:t xml:space="preserve"> Se dice que ésta es la manera en que Keynes respondió a las críticas de que había cambiado su posición respecto de las políticas para responder a la Gran Depresión. </w:t>
      </w:r>
    </w:p>
    <w:p w:rsidR="00DA27AD" w:rsidRPr="00CA3040" w:rsidRDefault="00DA27AD" w:rsidP="00DA27AD">
      <w:pPr>
        <w:spacing w:line="240" w:lineRule="auto"/>
        <w:rPr>
          <w:rFonts w:ascii="Times New Roman" w:hAnsi="Times New Roman" w:cs="Times New Roman"/>
          <w:b/>
          <w:color w:val="FF0000"/>
          <w:sz w:val="24"/>
          <w:szCs w:val="24"/>
        </w:rPr>
      </w:pPr>
      <w:r w:rsidRPr="00CA3040">
        <w:rPr>
          <w:rFonts w:ascii="Times New Roman" w:hAnsi="Times New Roman" w:cs="Times New Roman"/>
          <w:b/>
          <w:color w:val="FF0000"/>
          <w:sz w:val="24"/>
          <w:szCs w:val="24"/>
        </w:rPr>
        <w:t>Reflexiones económicas sobre la crisis sanitaria (Covid 19)</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pandemia del coronavirus ha afectado principalmente a las personas (contagio), y a la economía (empresas y trabajadores). Muchas personas infectadas han muerto (demasiadas), y muchas empresas no podrán continuar funcionando (baja rentabilidad o quiebra).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crisis sanitaria ha puesto en evidencia la imprevisión, incompetencia, soberbia, arrogancia, indiferencia, frivolidad, falta de capacidad de gestión… de muchos (casi todos) los gobiernos de los países (supuestamente) avanzados. Y ello provocó el colapso sanitario, el incremento de la mortalidad y la falta de respuesta inmediata a las graves consecuencias económicas. </w:t>
      </w:r>
    </w:p>
    <w:p w:rsidR="00DA27AD" w:rsidRDefault="00DA27AD" w:rsidP="00DA27AD">
      <w:pPr>
        <w:pStyle w:val="NormalWeb"/>
        <w:jc w:val="both"/>
        <w:textAlignment w:val="baseline"/>
        <w:rPr>
          <w:shd w:val="clear" w:color="auto" w:fill="EEF0EF"/>
        </w:rPr>
      </w:pPr>
      <w:r>
        <w:rPr>
          <w:shd w:val="clear" w:color="auto" w:fill="EEF0EF"/>
        </w:rPr>
        <w:t>En mitad de un incendio, no tiene sentido señalar con el dedo al incendiario principal. La prioridad debe ser poner a funcionar las mangueras y apagar el incendio. Pero saber de qué modo empezó la pandemia de COVID</w:t>
      </w:r>
      <w:r>
        <w:rPr>
          <w:rFonts w:ascii="Cambria Math" w:hAnsi="Cambria Math" w:cs="Cambria Math"/>
          <w:shd w:val="clear" w:color="auto" w:fill="EEF0EF"/>
        </w:rPr>
        <w:noBreakHyphen/>
      </w:r>
      <w:r>
        <w:rPr>
          <w:shd w:val="clear" w:color="auto" w:fill="EEF0EF"/>
        </w:rPr>
        <w:t>19 es esencial para aprender a prevenir desastres similares en el futuro.</w:t>
      </w:r>
    </w:p>
    <w:p w:rsidR="00DA27AD" w:rsidRDefault="00DA27AD" w:rsidP="00DA27AD">
      <w:pPr>
        <w:pStyle w:val="NormalWeb"/>
        <w:jc w:val="both"/>
        <w:textAlignment w:val="baseline"/>
        <w:rPr>
          <w:shd w:val="clear" w:color="auto" w:fill="EEF0EF"/>
        </w:rPr>
      </w:pPr>
      <w:r>
        <w:rPr>
          <w:shd w:val="clear" w:color="auto" w:fill="EEF0EF"/>
        </w:rPr>
        <w:t>En primer lugar, el brote (igual que el SARS en 2002) comenzó en China, probablemente en un “mercado húmedo” en Wuhan.</w:t>
      </w:r>
    </w:p>
    <w:p w:rsidR="00DA27AD" w:rsidRDefault="00DA27AD" w:rsidP="00DA27AD">
      <w:pPr>
        <w:pStyle w:val="NormalWeb"/>
        <w:jc w:val="both"/>
        <w:textAlignment w:val="baseline"/>
        <w:rPr>
          <w:shd w:val="clear" w:color="auto" w:fill="EEF0EF"/>
        </w:rPr>
      </w:pPr>
      <w:r>
        <w:rPr>
          <w:shd w:val="clear" w:color="auto" w:fill="EEF0EF"/>
        </w:rPr>
        <w:t>En segundo lugar, al principio el Partido Comunista de China (PCCh) no sólo no informó sobre el brote, sino tampoco sobre la facilidad con que el nuevo coronavirus podía transmitirse entre humanos.</w:t>
      </w:r>
    </w:p>
    <w:p w:rsidR="00DA27AD" w:rsidRDefault="00DA27AD" w:rsidP="00DA27AD">
      <w:pPr>
        <w:pStyle w:val="NormalWeb"/>
        <w:jc w:val="both"/>
        <w:textAlignment w:val="baseline"/>
        <w:rPr>
          <w:shd w:val="clear" w:color="auto" w:fill="EEF0EF"/>
        </w:rPr>
      </w:pPr>
      <w:r>
        <w:rPr>
          <w:shd w:val="clear" w:color="auto" w:fill="EEF0EF"/>
        </w:rPr>
        <w:t>En tercer lugar, algunos críticos creen que a la Organización Mundial de la Salud se le ocultó lo que estaba sucediendo en China. Sostienen que como mínimo, fue excesivamente indulgente con la posibilidad de que el secretismo del PCCh estuviera limitando la transparencia de China y su voluntad de cumplir con la obligación de informar.</w:t>
      </w:r>
    </w:p>
    <w:p w:rsidR="00DA27AD" w:rsidRDefault="00DA27AD" w:rsidP="00DA27AD">
      <w:pPr>
        <w:pStyle w:val="NormalWeb"/>
        <w:jc w:val="both"/>
        <w:textAlignment w:val="baseline"/>
        <w:rPr>
          <w:shd w:val="clear" w:color="auto" w:fill="EEF0EF"/>
        </w:rPr>
      </w:pPr>
      <w:r>
        <w:rPr>
          <w:shd w:val="clear" w:color="auto" w:fill="EEF0EF"/>
        </w:rPr>
        <w:t>En cuarto lugar, la vida en Wuhan siguió aparentemente como si nada en las primeras etapas del brote. Y durante los festejos del Año Nuevo Chino, miles de personas salieron de la provincia de Hubei (de la que Wuhan es la principal ciudad) hacia otras partes de China o el extranjero.</w:t>
      </w:r>
    </w:p>
    <w:p w:rsidR="00DA27AD" w:rsidRDefault="00DA27AD" w:rsidP="00DA27AD">
      <w:pPr>
        <w:pStyle w:val="NormalWeb"/>
        <w:jc w:val="both"/>
        <w:textAlignment w:val="baseline"/>
        <w:rPr>
          <w:shd w:val="clear" w:color="auto" w:fill="EEF0EF"/>
        </w:rPr>
      </w:pPr>
      <w:r>
        <w:rPr>
          <w:shd w:val="clear" w:color="auto" w:fill="EEF0EF"/>
        </w:rPr>
        <w:t>Pronto algunos de estos temas empezaron a dominar la agenda internacional, y el PCCh fue blanco de intensas críticas por las consecuencias letales de su secretismo. En respuesta, los funcionarios chinos atacaron a los críticos y atribuyeron el brote de COVID</w:t>
      </w:r>
      <w:r>
        <w:rPr>
          <w:rFonts w:ascii="Cambria Math" w:hAnsi="Cambria Math" w:cs="Cambria Math"/>
          <w:shd w:val="clear" w:color="auto" w:fill="EEF0EF"/>
        </w:rPr>
        <w:noBreakHyphen/>
      </w:r>
      <w:r>
        <w:rPr>
          <w:shd w:val="clear" w:color="auto" w:fill="EEF0EF"/>
        </w:rPr>
        <w:t>19 al ej</w:t>
      </w:r>
      <w:r>
        <w:rPr>
          <w:rFonts w:ascii="Calibri" w:hAnsi="Calibri" w:cs="Calibri"/>
          <w:shd w:val="clear" w:color="auto" w:fill="EEF0EF"/>
        </w:rPr>
        <w:t>é</w:t>
      </w:r>
      <w:r>
        <w:rPr>
          <w:shd w:val="clear" w:color="auto" w:fill="EEF0EF"/>
        </w:rPr>
        <w:t>rcito estadounidense e incluso a Italia.</w:t>
      </w:r>
    </w:p>
    <w:p w:rsidR="00DA27AD" w:rsidRDefault="00DA27AD" w:rsidP="00DA27AD">
      <w:pPr>
        <w:pStyle w:val="NormalWeb"/>
        <w:jc w:val="both"/>
        <w:textAlignment w:val="baseline"/>
        <w:rPr>
          <w:shd w:val="clear" w:color="auto" w:fill="EEF0EF"/>
        </w:rPr>
      </w:pPr>
      <w:r>
        <w:rPr>
          <w:shd w:val="clear" w:color="auto" w:fill="EEF0EF"/>
        </w:rPr>
        <w:lastRenderedPageBreak/>
        <w:t>Todo esto tendrá un efecto inevitable sobre las actitudes de otros países hacia China (o más bien, hacia el comunismo chino) y las futuras prácticas para la prevención de catástrofes globales similares. Pero los hechos recientes no pueden ni deben ser los únicos factores que determinen la postura del mundo exterior.</w:t>
      </w:r>
    </w:p>
    <w:p w:rsidR="00DA27AD" w:rsidRDefault="00DA27AD" w:rsidP="00DA27AD">
      <w:pPr>
        <w:pStyle w:val="NormalWeb"/>
        <w:jc w:val="both"/>
        <w:textAlignment w:val="baseline"/>
        <w:rPr>
          <w:shd w:val="clear" w:color="auto" w:fill="EEF0EF"/>
        </w:rPr>
      </w:pPr>
      <w:r>
        <w:rPr>
          <w:shd w:val="clear" w:color="auto" w:fill="EEF0EF"/>
        </w:rPr>
        <w:t>Esto es así porque ahora mismo China es el país más poblado del mundo y una importante potencia económica, más allá de la naturaleza inmoral y peligrosa de su régimen. Para recuperarnos de estos horrores y de sus consecuencias, debemos conseguir la colaboración de China y fortalecer las instituciones esenciales para una cooperación internacional efectiva.</w:t>
      </w:r>
    </w:p>
    <w:p w:rsidR="00DA27AD" w:rsidRDefault="00DA27AD" w:rsidP="00DA27AD">
      <w:pPr>
        <w:pStyle w:val="NormalWeb"/>
        <w:jc w:val="both"/>
        <w:textAlignment w:val="baseline"/>
        <w:rPr>
          <w:shd w:val="clear" w:color="auto" w:fill="EEF0EF"/>
        </w:rPr>
      </w:pPr>
      <w:r>
        <w:rPr>
          <w:shd w:val="clear" w:color="auto" w:fill="EEF0EF"/>
        </w:rPr>
        <w:t>Es verdad que las democracias liberales occidentales deben pedir a China honestidad y apertura en lo referido al combate a la pandemia y su aporte a la prevención de episodios similares. Y bajo ninguna circunstancia deben las sociedades abiertas renunciar a sus valores para congraciarse con China. Ni tampoco ceder a las lisonjas de la dirigencia china, cuya agenda es hostil a lo que la mayor parte del mundo defiende.</w:t>
      </w:r>
    </w:p>
    <w:p w:rsidR="00DA27AD" w:rsidRDefault="00DA27AD" w:rsidP="00DA27AD">
      <w:pPr>
        <w:pStyle w:val="NormalWeb"/>
        <w:jc w:val="both"/>
        <w:textAlignment w:val="baseline"/>
        <w:rPr>
          <w:shd w:val="clear" w:color="auto" w:fill="EEF0EF"/>
        </w:rPr>
      </w:pPr>
      <w:r>
        <w:rPr>
          <w:shd w:val="clear" w:color="auto" w:fill="EEF0EF"/>
        </w:rPr>
        <w:t>Pero las acciones de Trump (que no ha perdido ocasión de atacar a China y ahora anunció la suspensión de la financiación estadounidense a la OMS) parecen poner a Estados Unidos del lado equivocado a ojos de muchos que deberían ser sus amigos. Al fin y al cabo, necesitamos una OMS mejor y más eficaz, no en bancarrota e inerme.</w:t>
      </w:r>
    </w:p>
    <w:p w:rsidR="00DA27AD" w:rsidRDefault="00DA27AD" w:rsidP="00DA27AD">
      <w:pPr>
        <w:pStyle w:val="NormalWeb"/>
        <w:jc w:val="both"/>
        <w:textAlignment w:val="baseline"/>
        <w:rPr>
          <w:shd w:val="clear" w:color="auto" w:fill="EEF0EF"/>
        </w:rPr>
      </w:pPr>
      <w:r>
        <w:rPr>
          <w:shd w:val="clear" w:color="auto" w:fill="EEF0EF"/>
        </w:rPr>
        <w:t>Por ejemplo, el liderazgo de la OMS será esencial para evitar que la resistencia a antibióticos provoque hasta diez millones de muertes al año de aquí a 2050, como advirtió en 2016 un estudio encargado por el gobierno del Reino Unido que fue dirigido por el prestigioso economista Jim O’Neill. Además, China es uno de los mayores productores y usuarios de antibióticos en el mundo, de modo que para responder a esta amenaza habrá que seguir trabajando con el presidente Xi Jinping mientras siga en el poder.</w:t>
      </w:r>
    </w:p>
    <w:p w:rsidR="00DA27AD" w:rsidRDefault="00DA27AD" w:rsidP="00DA27AD">
      <w:pPr>
        <w:pStyle w:val="NormalWeb"/>
        <w:jc w:val="both"/>
        <w:textAlignment w:val="baseline"/>
        <w:rPr>
          <w:shd w:val="clear" w:color="auto" w:fill="EEF0EF"/>
        </w:rPr>
      </w:pPr>
      <w:r>
        <w:rPr>
          <w:shd w:val="clear" w:color="auto" w:fill="EEF0EF"/>
        </w:rPr>
        <w:t>“Pero cooperar con China no quiere decir servilismo. Más bien, es algo que exige criterio y determinación. Por el momento, el comunismo chino es una realidad y un desafío, y la construcción que el régimen está haciendo de un estado de vigilancia sumamente eficaz puede afirmarlo todavía más en el poder. Pero como cualquier otra forma de ideología autoritaria a lo largo de la historia, en algún momento dará paso a algo mejor, tanto para el pueblo chino (que se merece un sistema político que encarne lo mejor de la gran civilización china”, sostiene Chris Patten (the last British governor of Hong Kong and a former EU commissioner for external affairs, is Chancellor of the University of Oxford), en su artículo: “Cómo tratar con China después de la COVID</w:t>
      </w:r>
      <w:r>
        <w:rPr>
          <w:rFonts w:ascii="Cambria Math" w:hAnsi="Cambria Math" w:cs="Cambria Math"/>
          <w:shd w:val="clear" w:color="auto" w:fill="EEF0EF"/>
        </w:rPr>
        <w:noBreakHyphen/>
      </w:r>
      <w:r>
        <w:rPr>
          <w:shd w:val="clear" w:color="auto" w:fill="EEF0EF"/>
        </w:rPr>
        <w:t>19”, publicado en (Project Syndicate (</w:t>
      </w:r>
      <w:r>
        <w:rPr>
          <w:b/>
          <w:shd w:val="clear" w:color="auto" w:fill="EEF0EF"/>
        </w:rPr>
        <w:t>21/4/20</w:t>
      </w:r>
      <w:r>
        <w:rPr>
          <w:shd w:val="clear" w:color="auto" w:fill="EEF0EF"/>
        </w:rPr>
        <w:t xml:space="preserve">) </w:t>
      </w:r>
    </w:p>
    <w:p w:rsidR="00DA27AD" w:rsidRDefault="00DA27AD" w:rsidP="00DA27AD">
      <w:pPr>
        <w:pStyle w:val="NormalWeb"/>
        <w:jc w:val="both"/>
        <w:textAlignment w:val="baseline"/>
        <w:rPr>
          <w:shd w:val="clear" w:color="auto" w:fill="FFFFFF"/>
        </w:rPr>
      </w:pPr>
      <w:r>
        <w:rPr>
          <w:shd w:val="clear" w:color="auto" w:fill="FFFFFF"/>
        </w:rPr>
        <w:t xml:space="preserve">Ahora dominan sensaciones urgentes de incertidumbre, ansiedad y preocupación tanto por el presente como por el futuro. </w:t>
      </w:r>
      <w:r>
        <w:t>Las noticias son trágicas a diario: centenares de muertos y miles de contagiados. Un enorme número de familias ha perdido a sus seres queridos sin el consuelo de la cercanía en sus últimos momentos; son incontables las personas que están sumidas en la angustia por familiares hospitalizados y aislados; los que no han contraído la enfermedad experimentan miedo a infectarse, y ni siquiera los que se han recuperado están seguros del alcance de la inmunidad.</w:t>
      </w:r>
    </w:p>
    <w:p w:rsidR="00DA27AD" w:rsidRDefault="00DA27AD" w:rsidP="00DA27AD">
      <w:pPr>
        <w:pStyle w:val="NormalWeb"/>
        <w:jc w:val="both"/>
        <w:textAlignment w:val="baseline"/>
      </w:pPr>
      <w:r>
        <w:t>La inmensa mayoría de la ciudadanía está preocupada por su futuro laboral y económico, y observa desalentada la resistencia de la pandemia y el diferimiento de la llamada desescalada, que sitúa lejos en el tiempo la nueva normalidad a la que deberemos acostumbrarnos.</w:t>
      </w:r>
    </w:p>
    <w:p w:rsidR="00DA27AD" w:rsidRDefault="00DA27AD" w:rsidP="00DA27AD">
      <w:pPr>
        <w:pStyle w:val="NormalWeb"/>
        <w:jc w:val="both"/>
        <w:textAlignment w:val="baseline"/>
      </w:pPr>
      <w:r>
        <w:lastRenderedPageBreak/>
        <w:t>En estos complicados momentos, los economistas, con humildad y espíritu de enmienda, podemos colaborar intentando descodificar la situación con claves diferentes a las utilizadas durante la crisis financiera del año 2008, con argumentos solventes, evitando las hipérboles, desenganchándonos de histrionismos… para ver si logramos frenar antes del abismo, y mejorar las perspectivas de recuperación. Ayudar a perder el miedo a volver a la normalidad.</w:t>
      </w:r>
    </w:p>
    <w:p w:rsidR="00DA27AD" w:rsidRDefault="00DA27AD" w:rsidP="00DA27AD">
      <w:pPr>
        <w:pStyle w:val="NormalWeb"/>
        <w:jc w:val="both"/>
        <w:textAlignment w:val="baseline"/>
        <w:rPr>
          <w:b/>
        </w:rPr>
      </w:pPr>
      <w:r>
        <w:rPr>
          <w:b/>
        </w:rPr>
        <w:t xml:space="preserve">¿Hasta dónde puede llegar la resiliencia de la economía después de la crisis sanitaria? </w:t>
      </w:r>
    </w:p>
    <w:p w:rsidR="00DA27AD" w:rsidRDefault="00DA27AD" w:rsidP="00DA27AD">
      <w:pPr>
        <w:pStyle w:val="NormalWeb"/>
        <w:jc w:val="both"/>
        <w:textAlignment w:val="baseline"/>
      </w:pPr>
      <w:r>
        <w:t>¿Cómo será el mundo después de la gran disrupción?</w:t>
      </w:r>
    </w:p>
    <w:p w:rsidR="00DA27AD" w:rsidRDefault="00DA27AD" w:rsidP="00DA27AD">
      <w:pPr>
        <w:pStyle w:val="NormalWeb"/>
        <w:jc w:val="both"/>
        <w:textAlignment w:val="baseline"/>
      </w:pPr>
      <w:r>
        <w:t>¿Habremos aprendiendo algunas lecciones de la pandemia del Covid 19?</w:t>
      </w:r>
    </w:p>
    <w:p w:rsidR="00DA27AD" w:rsidRDefault="00DA27AD" w:rsidP="00DA27AD">
      <w:pPr>
        <w:pStyle w:val="NormalWeb"/>
        <w:jc w:val="both"/>
        <w:textAlignment w:val="baseline"/>
      </w:pPr>
      <w:r>
        <w:t>¿Funcionará alguna estrategia económica?</w:t>
      </w:r>
    </w:p>
    <w:p w:rsidR="00DA27AD" w:rsidRDefault="00DA27AD" w:rsidP="00DA27AD">
      <w:pPr>
        <w:pStyle w:val="NormalWeb"/>
        <w:jc w:val="both"/>
        <w:textAlignment w:val="baseline"/>
      </w:pPr>
      <w:r>
        <w:t>¿Podrán fabricarse “respiradores” económicos?</w:t>
      </w:r>
    </w:p>
    <w:p w:rsidR="00DA27AD" w:rsidRDefault="00DA27AD" w:rsidP="00DA27AD">
      <w:pPr>
        <w:pStyle w:val="NormalWeb"/>
        <w:jc w:val="both"/>
        <w:textAlignment w:val="baseline"/>
      </w:pPr>
      <w:r>
        <w:t>¿Se podrá resetear la economía?</w:t>
      </w:r>
    </w:p>
    <w:p w:rsidR="00DA27AD" w:rsidRDefault="00DA27AD" w:rsidP="00DA27AD">
      <w:pPr>
        <w:pStyle w:val="NormalWeb"/>
        <w:jc w:val="both"/>
        <w:textAlignment w:val="baseline"/>
      </w:pPr>
      <w:r>
        <w:t>¿Se podrá recuperar la economía de la peste?</w:t>
      </w:r>
    </w:p>
    <w:p w:rsidR="00DA27AD" w:rsidRDefault="00DA27AD" w:rsidP="00DA27AD">
      <w:pPr>
        <w:pStyle w:val="NormalWeb"/>
        <w:jc w:val="both"/>
        <w:textAlignment w:val="baseline"/>
      </w:pPr>
      <w:r>
        <w:t>¿Podrá sobrevivir la globalización al coronavirus?</w:t>
      </w:r>
    </w:p>
    <w:p w:rsidR="00DA27AD" w:rsidRDefault="00DA27AD" w:rsidP="00DA27AD">
      <w:pPr>
        <w:pStyle w:val="NormalWeb"/>
        <w:jc w:val="both"/>
        <w:textAlignment w:val="baseline"/>
      </w:pPr>
      <w:r>
        <w:t>¿Cuántos parados provocará la crisis sanitaria?</w:t>
      </w:r>
    </w:p>
    <w:p w:rsidR="00DA27AD" w:rsidRDefault="00DA27AD" w:rsidP="00DA27AD">
      <w:pPr>
        <w:pStyle w:val="NormalWeb"/>
        <w:jc w:val="both"/>
        <w:textAlignment w:val="baseline"/>
      </w:pPr>
      <w:r>
        <w:t>¿Cuántas empresas desaparecerán por la crisis sanitaria?</w:t>
      </w:r>
    </w:p>
    <w:p w:rsidR="00DA27AD" w:rsidRDefault="00DA27AD" w:rsidP="00DA27AD">
      <w:pPr>
        <w:pStyle w:val="NormalWeb"/>
        <w:jc w:val="both"/>
        <w:textAlignment w:val="baseline"/>
      </w:pPr>
      <w:r>
        <w:t>¿Servirá esta vez el “helicóptero” monetario para resolver los problemas de oferta o demanda?</w:t>
      </w:r>
    </w:p>
    <w:p w:rsidR="00DA27AD" w:rsidRDefault="00DA27AD" w:rsidP="00DA27AD">
      <w:pPr>
        <w:pStyle w:val="NormalWeb"/>
        <w:jc w:val="both"/>
        <w:textAlignment w:val="baseline"/>
      </w:pPr>
      <w:r>
        <w:t>¿Saldrá reforzada la democracia (libertad relativa) o el totalitarismo (falsa seguridad)?</w:t>
      </w:r>
    </w:p>
    <w:p w:rsidR="00DA27AD" w:rsidRDefault="00DA27AD" w:rsidP="00DA27AD">
      <w:pPr>
        <w:pStyle w:val="NormalWeb"/>
        <w:jc w:val="both"/>
        <w:textAlignment w:val="baseline"/>
      </w:pPr>
      <w:r>
        <w:t>¿En la “vuelta a la normalidad” tendremos que aceptar vivir en un estado de vigilancia permanente?</w:t>
      </w:r>
    </w:p>
    <w:p w:rsidR="00DA27AD" w:rsidRDefault="00DA27AD" w:rsidP="00DA27AD">
      <w:pPr>
        <w:pStyle w:val="NormalWeb"/>
        <w:jc w:val="both"/>
        <w:textAlignment w:val="baseline"/>
      </w:pPr>
      <w:r>
        <w:t>¿Será esta la mayor crisis sanitaria/económica padecida por el mundo hasta el presente?</w:t>
      </w:r>
    </w:p>
    <w:p w:rsidR="00DA27AD" w:rsidRDefault="00DA27AD" w:rsidP="00DA27AD">
      <w:pPr>
        <w:pStyle w:val="NormalWeb"/>
        <w:jc w:val="both"/>
        <w:textAlignment w:val="baseline"/>
      </w:pPr>
      <w:r>
        <w:t>¿Nada volverá a ser como antes?</w:t>
      </w:r>
    </w:p>
    <w:p w:rsidR="00DA27AD" w:rsidRDefault="00CA3040" w:rsidP="00DA27AD">
      <w:pPr>
        <w:spacing w:line="240" w:lineRule="auto"/>
        <w:jc w:val="both"/>
        <w:rPr>
          <w:rFonts w:ascii="Times New Roman" w:eastAsia="Times New Roman" w:hAnsi="Times New Roman" w:cs="Times New Roman"/>
          <w:sz w:val="24"/>
          <w:szCs w:val="24"/>
        </w:rPr>
      </w:pPr>
      <w:r>
        <w:rPr>
          <w:rFonts w:ascii="Times New Roman" w:hAnsi="Times New Roman" w:cs="Times New Roman"/>
          <w:b/>
          <w:sz w:val="24"/>
          <w:szCs w:val="24"/>
        </w:rPr>
        <w:t xml:space="preserve">Nota </w:t>
      </w:r>
      <w:r w:rsidR="00DA27AD">
        <w:rPr>
          <w:rFonts w:ascii="Times New Roman" w:hAnsi="Times New Roman" w:cs="Times New Roman"/>
          <w:b/>
          <w:sz w:val="24"/>
          <w:szCs w:val="24"/>
        </w:rPr>
        <w:t>(Abril 2020)</w:t>
      </w:r>
      <w:r>
        <w:rPr>
          <w:rFonts w:ascii="Times New Roman" w:hAnsi="Times New Roman" w:cs="Times New Roman"/>
          <w:b/>
          <w:sz w:val="24"/>
          <w:szCs w:val="24"/>
        </w:rPr>
        <w:t>:</w:t>
      </w:r>
      <w:r w:rsidR="00DA27AD">
        <w:t xml:space="preserve"> </w:t>
      </w:r>
      <w:r w:rsidR="00DA27AD">
        <w:rPr>
          <w:rFonts w:ascii="Times New Roman" w:eastAsia="Times New Roman" w:hAnsi="Times New Roman" w:cs="Times New Roman"/>
          <w:sz w:val="24"/>
          <w:szCs w:val="24"/>
        </w:rPr>
        <w:t>Con mucho retraso, pereza y sentido exagerado de la invulnerabilidad (en definitiva, de manera muy irresponsable) los gobiernos de todo el mundo han ido asumiendo que había llegado una catástrofe y que no tenían más remedio que hacerle frente. Si se exceptúan unos pocos casos como Taiwán, Singapur y, quizá, Corea del Sur, la anomia moral frente a la pandemia ha afectado a todos: mercados financieros, bancos centrales y gobiernos.</w:t>
      </w:r>
    </w:p>
    <w:p w:rsidR="00DA27AD" w:rsidRDefault="00DA27AD" w:rsidP="00DA27AD">
      <w:pPr>
        <w:pStyle w:val="NormalWeb"/>
        <w:jc w:val="both"/>
        <w:textAlignment w:val="baseline"/>
      </w:pPr>
      <w:r>
        <w:t>La primera reacción oficial, lenta como todas, fue la de los bancos centrales que, desde comienzos de marzo han ido tomando decisiones drásticas pero insuficientes, lo que les obligaba pocos días más tarde a redoblar la apuesta. Finalmente, su respuesta estuvo a la altura del desafío, pero tuvieron que hundirse las bolsas un 40% (con tres semanas de retraso también) para que esa toma de conciencia completa tuviera lugar.</w:t>
      </w:r>
    </w:p>
    <w:p w:rsidR="00DA27AD" w:rsidRDefault="00DA27AD" w:rsidP="00DA27AD">
      <w:pPr>
        <w:pStyle w:val="NormalWeb"/>
        <w:jc w:val="both"/>
        <w:textAlignment w:val="baseline"/>
      </w:pPr>
      <w:r>
        <w:lastRenderedPageBreak/>
        <w:t>Después los gobiernos se pusieron manos a la obra para intentar contener los efectos deletéreos de una recesión sobre la que no cabía, como en otras ocasiones, ninguna incertidumbre, ya que la iban a provocar ellos mismos con las medidas de confinamiento necesarias para detener la pandemia.</w:t>
      </w:r>
    </w:p>
    <w:p w:rsidR="00DA27AD" w:rsidRDefault="00DA27AD" w:rsidP="00DA27AD">
      <w:pPr>
        <w:pStyle w:val="NormalWeb"/>
        <w:jc w:val="both"/>
        <w:textAlignment w:val="baseline"/>
      </w:pPr>
      <w:r>
        <w:t xml:space="preserve">El dilema es asumir la inevitabilidad de la catástrofe o el regodeo morboso en la profecía autocumplida, a lo crepúsculo de los dioses, y esperar a que toda la economía se derrumbe, con la seguridad de que los (falsos) líderes, queden sepultados bajo sus cascotes, o intentar mantener la economía en pie, aunque eso otorgue a los (falsos) </w:t>
      </w:r>
      <w:r w:rsidR="003F2346">
        <w:t>líderes</w:t>
      </w:r>
      <w:r>
        <w:t xml:space="preserve"> un espacio vital provisional, a la espera de que llegue la hora de pasarle todas las facturas...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Reinhart: “La crisis creada por el coronavirus será la mayor desde la Gran Depresión</w:t>
      </w:r>
      <w:r>
        <w:rPr>
          <w:rFonts w:ascii="Times New Roman" w:hAnsi="Times New Roman" w:cs="Times New Roman"/>
          <w:sz w:val="24"/>
          <w:szCs w:val="24"/>
        </w:rPr>
        <w:t xml:space="preserve">” (El Economista - </w:t>
      </w:r>
      <w:r>
        <w:rPr>
          <w:rFonts w:ascii="Times New Roman" w:hAnsi="Times New Roman" w:cs="Times New Roman"/>
          <w:b/>
          <w:sz w:val="24"/>
          <w:szCs w:val="24"/>
        </w:rPr>
        <w:t>30/3/20</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probabilidad de una recuperación con forma de V es muy baja”</w:t>
      </w:r>
    </w:p>
    <w:p w:rsidR="00DA27AD" w:rsidRDefault="00DA27AD" w:rsidP="00DA27A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“Existe un claro riesgo en Europa de que esto se convierta en una crisis financiera y de deuda”</w:t>
      </w:r>
    </w:p>
    <w:p w:rsidR="00DA27AD" w:rsidRDefault="00DA27AD" w:rsidP="00DA27A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“Restaurar el comercio global tal cual lo conocíamos antes del virus no va a ocurrir”</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Carmen Reinhart, actual profesora de Sistema Financiero Internacional en la Escuela Kennedy de la Universidad de Harvard, es junto a Kenneth Rogoff, una de las economistas que ha dedicado su vida a estudiar y entender las crisis económicas a lo largo de la historia, tanto en economías desarrolladas como países emergentes. Además de su bagaje académico fue subdirectora gerente del Fondo Monetario Internacional y economista jefa del perecido banco de inversión Bear Stearns. Actualmente es consejera de la Reserva Federal de Nueva York y miembro del panel de economistas de la Oficina Presupuestaria del Congreso (CBO, por sus siglas en inglés).</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El Fondo Monetario Internacional habla ya de una recesión económica global mayor a la vista durante la crisis financiera, </w:t>
      </w:r>
      <w:r>
        <w:rPr>
          <w:rFonts w:ascii="Times New Roman" w:hAnsi="Times New Roman" w:cs="Times New Roman"/>
          <w:sz w:val="24"/>
          <w:szCs w:val="24"/>
          <w:u w:val="single"/>
        </w:rPr>
        <w:t>¿será la crisis económica provocada por el COVID-19 la más profunda desde la Gran Depresión?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Así lo creo por distintos motivos. La crisis global del 2008 fue una crisis de 11 países avanzados, incluyendo España, Estados Unidos o Reino Unido. Los países emergentes se recuperaron muy fuerte dado que los precios de las commodities ayudaron mucho. La crisis de los años 80 fue más una crisis de emergentes. La crisis actual es global, como en los años 30, y está dividida entre avanzados y emergentes casi por igual. Otro factor muy parecido es el desplome del comercio internacional</w:t>
      </w:r>
      <w:r>
        <w:rPr>
          <w:rFonts w:ascii="Times New Roman" w:hAnsi="Times New Roman" w:cs="Times New Roman"/>
          <w:sz w:val="24"/>
          <w:szCs w:val="24"/>
          <w:u w:val="single"/>
        </w:rPr>
        <w:t>.</w:t>
      </w:r>
      <w:r>
        <w:rPr>
          <w:rFonts w:ascii="Times New Roman" w:hAnsi="Times New Roman" w:cs="Times New Roman"/>
          <w:sz w:val="24"/>
          <w:szCs w:val="24"/>
        </w:rPr>
        <w:t xml:space="preserve"> Obviamente en 2008 también hubo una fuerte caída del comercio, pero esta vez venimos de </w:t>
      </w:r>
      <w:r>
        <w:rPr>
          <w:rFonts w:ascii="Times New Roman" w:hAnsi="Times New Roman" w:cs="Times New Roman"/>
          <w:sz w:val="24"/>
          <w:szCs w:val="24"/>
          <w:u w:val="single"/>
        </w:rPr>
        <w:t>una base más debilitada por el Brexit y la guerra comercial de Trump con China.</w:t>
      </w:r>
      <w:r>
        <w:rPr>
          <w:rFonts w:ascii="Times New Roman" w:hAnsi="Times New Roman" w:cs="Times New Roman"/>
          <w:sz w:val="24"/>
          <w:szCs w:val="24"/>
        </w:rPr>
        <w:t xml:space="preserve"> Si miramos el crecimiento del comercio internacional, el volumen en los 10 años antes de la crisis era alrededor del 6%. Durante los 10 últimos años ha sido más cerca de 2,5%. La depresión del comercio global se parece mucho también a los 30. El último factor que quiero mencionar es </w:t>
      </w:r>
      <w:r>
        <w:rPr>
          <w:rFonts w:ascii="Times New Roman" w:hAnsi="Times New Roman" w:cs="Times New Roman"/>
          <w:sz w:val="24"/>
          <w:szCs w:val="24"/>
          <w:u w:val="single"/>
        </w:rPr>
        <w:t>el shock de la guerra de precios entre Rusia y Arabia Saudita y el desplome de las materias primas</w:t>
      </w:r>
      <w:r>
        <w:rPr>
          <w:rFonts w:ascii="Times New Roman" w:hAnsi="Times New Roman" w:cs="Times New Roman"/>
          <w:sz w:val="24"/>
          <w:szCs w:val="24"/>
        </w:rPr>
        <w:t>. Ecuador, Angola y Argelia están al punto del default.</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¿Supondrá entonces esto un desencadenante para los productores de crudo de países emergentes?</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Sí, será el beso de la muerte y llevo preocupada por los emergentes hace ya más de un año.</w:t>
      </w:r>
      <w:r>
        <w:rPr>
          <w:rFonts w:ascii="Times New Roman" w:hAnsi="Times New Roman" w:cs="Times New Roman"/>
          <w:sz w:val="24"/>
          <w:szCs w:val="24"/>
        </w:rPr>
        <w:t xml:space="preserve"> En Ecuador, por ejemplo, el precio del petróleo que ellos asumían en su programa fiscal era de 48 dólares el barril. Ahora estamos a menos de la mitad. </w:t>
      </w:r>
      <w:r>
        <w:rPr>
          <w:rFonts w:ascii="Times New Roman" w:hAnsi="Times New Roman" w:cs="Times New Roman"/>
          <w:sz w:val="24"/>
          <w:szCs w:val="24"/>
          <w:u w:val="single"/>
        </w:rPr>
        <w:t>En este ambiente, a no ser que todo repunte con una fuerza bárbara muy pronto, no aguantarán</w:t>
      </w:r>
      <w:r>
        <w:rPr>
          <w:rFonts w:ascii="Times New Roman" w:hAnsi="Times New Roman" w:cs="Times New Roman"/>
          <w:sz w:val="24"/>
          <w:szCs w:val="24"/>
        </w:rPr>
        <w:t xml:space="preserve">. </w:t>
      </w:r>
      <w:r>
        <w:rPr>
          <w:rFonts w:ascii="Times New Roman" w:hAnsi="Times New Roman" w:cs="Times New Roman"/>
          <w:sz w:val="24"/>
          <w:szCs w:val="24"/>
          <w:u w:val="single"/>
        </w:rPr>
        <w:t>La incidencia de los default soberanos va a ir aumentando</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Tanto Kenneth Rogoff como yo abogamos en estos momentos por una moratoria temporal en el pago de las deudas, dado que si se paraliza la capacidad de tener ingresos, también es justo que se paralice el pago de éstas</w:t>
      </w:r>
      <w:r>
        <w:rPr>
          <w:rFonts w:ascii="Times New Roman" w:hAnsi="Times New Roman" w:cs="Times New Roman"/>
          <w:sz w:val="24"/>
          <w:szCs w:val="24"/>
        </w:rPr>
        <w:t xml:space="preserve">. Esto es posible a nivel corporativo, de los hogares, pero no soluciona el problema a nivel soberano. Las deudas de muchos países emergentes a China son enormes, más grandes que el FMI y el Banco Mundial combinados. Tanto China como estas instituciones deben conceder una moratoria. </w:t>
      </w:r>
      <w:r>
        <w:rPr>
          <w:rFonts w:ascii="Times New Roman" w:hAnsi="Times New Roman" w:cs="Times New Roman"/>
          <w:sz w:val="24"/>
          <w:szCs w:val="24"/>
          <w:u w:val="single"/>
        </w:rPr>
        <w:t>En los años 30 también hubo una oleada de defaults global y algunos tardaron hasta dos décadas en solucionarse.</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¿Cree entonces que la pandemia y el shock en los precios del crudo acabarán por generar una década perdida?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No quiero adelantar si es una década o no, pero la idea de que esto va a ser una recuperación con forma de V, lo veo con muy baja probabilidad</w:t>
      </w:r>
      <w:r>
        <w:rPr>
          <w:rFonts w:ascii="Times New Roman" w:hAnsi="Times New Roman" w:cs="Times New Roman"/>
          <w:sz w:val="24"/>
          <w:szCs w:val="24"/>
        </w:rPr>
        <w:t xml:space="preserve">. Los bancos se van a encontrar con consumidores y hogares que han perdido el empleo, empresas que han tenido que cerrar, por lo que su cartera lucirá muy distinta pese a las mejoras registradas por estas entidades, tanto en Europa como EEUU desde la crisis. Pese a la ayuda del Banco Central Europeo y la Reserva Federal, especialmente ésta última a través de las distintas facilidades creadas para ayudar a los pequeños negocios y los hogares, es inevitable dada la severidad de este shock que terminemos con un sistema financiero mucho más débil. </w:t>
      </w:r>
      <w:r>
        <w:rPr>
          <w:rFonts w:ascii="Times New Roman" w:hAnsi="Times New Roman" w:cs="Times New Roman"/>
          <w:color w:val="FF0000"/>
          <w:sz w:val="24"/>
          <w:szCs w:val="24"/>
          <w:u w:val="single"/>
        </w:rPr>
        <w:t>Pongo en duda que muchas empresas puedan aguantar más de uno o dos meses en esta situación. Las caídas para el PIB van a ser mucho más profundas que las registradas durante la crisis del 2008.</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Países como España o Italia se han convertido en el epicentro de la pandemia en Europa. ¿Se corre el riesgo de que esta situación tenga consecuencias más allá de una crisis económica severa?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Se corre claramente el riesgo de que esto se convierta no solamente en una crisis económica sino también en una crisis financiera y una crisis de deuda</w:t>
      </w:r>
      <w:r>
        <w:rPr>
          <w:rFonts w:ascii="Times New Roman" w:hAnsi="Times New Roman" w:cs="Times New Roman"/>
          <w:sz w:val="24"/>
          <w:szCs w:val="24"/>
        </w:rPr>
        <w:t xml:space="preserve">. Es por ello que el Banco Central Europeo y las instituciones deben jugar un rol enorme para aliviar las disrupciones y el contagio económico. </w:t>
      </w:r>
      <w:r>
        <w:rPr>
          <w:rFonts w:ascii="Times New Roman" w:hAnsi="Times New Roman" w:cs="Times New Roman"/>
          <w:color w:val="FF0000"/>
          <w:sz w:val="24"/>
          <w:szCs w:val="24"/>
          <w:u w:val="single"/>
        </w:rPr>
        <w:t>Una moratoria de la deuda es muy atractivo para muchos países emergentes, pero no es una opción para Europa</w:t>
      </w:r>
      <w:r>
        <w:rPr>
          <w:rFonts w:ascii="Times New Roman" w:hAnsi="Times New Roman" w:cs="Times New Roman"/>
          <w:sz w:val="24"/>
          <w:szCs w:val="24"/>
        </w:rPr>
        <w:t>. Por ejemplo, en Italia que es el caso más extremo, los hogares son tenedores importantes de esa deuda, es decir, que si hay una suspensión de pago, hay que compensar a esos hogares por la suspensión de pago, que es distinto a los países emergentes donde generalmente la deuda externa está en manos de extranjeros.</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Entonces, ¿aboga usted por la creación de coronabonos o eurobonos, que mutualicen la deuda?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Hace mucho tiempo que veo con ojos muy favorables el tema de tratar de unificar un mercado de deuda</w:t>
      </w:r>
      <w:r>
        <w:rPr>
          <w:rFonts w:ascii="Times New Roman" w:hAnsi="Times New Roman" w:cs="Times New Roman"/>
          <w:sz w:val="24"/>
          <w:szCs w:val="24"/>
        </w:rPr>
        <w:t xml:space="preserve">. Desde la crisis financiera global, el uso del dólar internacional ha aumentado y el euro, que había ganado espacio en los primeros años, ha retrocedido bárbaramente. Parte de eso se debe a no tener un mercado de bonos unificado, porque los inversores no compran euro, compran la deuda. Un bund alemán no es lo mismo que un bono irlandés o un bono portugués y así sucesivamente. </w:t>
      </w:r>
      <w:r>
        <w:rPr>
          <w:rFonts w:ascii="Times New Roman" w:hAnsi="Times New Roman" w:cs="Times New Roman"/>
          <w:color w:val="FF0000"/>
          <w:sz w:val="24"/>
          <w:szCs w:val="24"/>
          <w:u w:val="single"/>
        </w:rPr>
        <w:t>Este es un momento de emergencia donde un punto clave podría ser la unificación del mercado de deuda, que es uno de los elementos que haría al euro más sostenible como moneda.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¿Será la crisis desatada por el coronavirus un factor más que invite a la desglobalización?</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Restaurar el comercio global tal cual lo conocíamos antes del virus no va a ocurrir. Cuanto más dure el brote, más se cuestionarán las empresas sus modelos y cadenas de producción.</w:t>
      </w:r>
      <w:r>
        <w:rPr>
          <w:rFonts w:ascii="Times New Roman" w:hAnsi="Times New Roman" w:cs="Times New Roman"/>
          <w:color w:val="FF0000"/>
          <w:sz w:val="24"/>
          <w:szCs w:val="24"/>
        </w:rPr>
        <w:t xml:space="preserve"> </w:t>
      </w:r>
      <w:r>
        <w:rPr>
          <w:rFonts w:ascii="Times New Roman" w:hAnsi="Times New Roman" w:cs="Times New Roman"/>
          <w:sz w:val="24"/>
          <w:szCs w:val="24"/>
          <w:u w:val="single"/>
        </w:rPr>
        <w:t>Además, la gente no volverá a viajar tanto como antes por lo que el turismo también va a estar paralizado durante mucho tiempo</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El punto máximo de la globalización lo dejamos atrás hace más de una década.</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Además, la crisis financiera de 2008, el Brexit, las tensiones de Trump con China han sido olas que nos han ido llevando a la desglobalización</w:t>
      </w:r>
      <w:r>
        <w:rPr>
          <w:rFonts w:ascii="Times New Roman" w:hAnsi="Times New Roman" w:cs="Times New Roman"/>
          <w:sz w:val="24"/>
          <w:szCs w:val="24"/>
        </w:rPr>
        <w:t xml:space="preserve">. En EEUU donde hay opinión común entre los demócratas y los republicanos es en el problema con el comercio de China. </w:t>
      </w:r>
      <w:r>
        <w:rPr>
          <w:rFonts w:ascii="Times New Roman" w:hAnsi="Times New Roman" w:cs="Times New Roman"/>
          <w:color w:val="FF0000"/>
          <w:sz w:val="24"/>
          <w:szCs w:val="24"/>
          <w:u w:val="single"/>
        </w:rPr>
        <w:t>El problema en que se encuentra China ahora es que quiere ser tratado como un país emergente pero también como una potencia global y no puede ser ambas. Esto está generando una desconfianza en la interacción entre China y el resto del mundo.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3/4/20</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directora gerente del Fondo Monetario Internacional, Kristalina Georgieva, movilizará hasta un billón de dólares para combatir los efectos de la pandemia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directora gerente del Fondo Monetario Internacional (FMI), Kristalina Georgieva, subrayó este vier</w:t>
      </w:r>
      <w:r w:rsidR="00CA3040">
        <w:rPr>
          <w:rFonts w:ascii="Times New Roman" w:hAnsi="Times New Roman" w:cs="Times New Roman"/>
          <w:color w:val="FF0000"/>
          <w:sz w:val="24"/>
          <w:szCs w:val="24"/>
          <w:u w:val="single"/>
        </w:rPr>
        <w:t>nes que el mundo se enfrenta a “</w:t>
      </w:r>
      <w:r>
        <w:rPr>
          <w:rFonts w:ascii="Times New Roman" w:hAnsi="Times New Roman" w:cs="Times New Roman"/>
          <w:color w:val="FF0000"/>
          <w:sz w:val="24"/>
          <w:szCs w:val="24"/>
          <w:u w:val="single"/>
        </w:rPr>
        <w:t>una crisis nunca ant</w:t>
      </w:r>
      <w:r w:rsidR="00CA3040">
        <w:rPr>
          <w:rFonts w:ascii="Times New Roman" w:hAnsi="Times New Roman" w:cs="Times New Roman"/>
          <w:color w:val="FF0000"/>
          <w:sz w:val="24"/>
          <w:szCs w:val="24"/>
          <w:u w:val="single"/>
        </w:rPr>
        <w:t>es vista en la historia”</w:t>
      </w:r>
      <w:r>
        <w:rPr>
          <w:rFonts w:ascii="Times New Roman" w:hAnsi="Times New Roman" w:cs="Times New Roman"/>
          <w:color w:val="FF0000"/>
          <w:sz w:val="24"/>
          <w:szCs w:val="24"/>
          <w:u w:val="single"/>
        </w:rPr>
        <w:t>, y destacó que su organización movilizará su reserva de emergencias para préstamos, de un billón de dólares, para afrontarla.</w:t>
      </w:r>
    </w:p>
    <w:p w:rsidR="00DA27AD" w:rsidRDefault="00CA3040"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DA27AD">
        <w:rPr>
          <w:rFonts w:ascii="Times New Roman" w:hAnsi="Times New Roman" w:cs="Times New Roman"/>
          <w:color w:val="FF0000"/>
          <w:sz w:val="24"/>
          <w:szCs w:val="24"/>
          <w:u w:val="single"/>
        </w:rPr>
        <w:t>Tenemos una reserva para emergencias de un billón de dólares y estamos decididos a usar toda la que haga falta para proteger de las cic</w:t>
      </w:r>
      <w:r>
        <w:rPr>
          <w:rFonts w:ascii="Times New Roman" w:hAnsi="Times New Roman" w:cs="Times New Roman"/>
          <w:color w:val="FF0000"/>
          <w:sz w:val="24"/>
          <w:szCs w:val="24"/>
          <w:u w:val="single"/>
        </w:rPr>
        <w:t>atrices que causará esta crisis”</w:t>
      </w:r>
      <w:r w:rsidR="00DA27AD">
        <w:rPr>
          <w:rFonts w:ascii="Times New Roman" w:hAnsi="Times New Roman" w:cs="Times New Roman"/>
          <w:color w:val="FF0000"/>
          <w:sz w:val="24"/>
          <w:szCs w:val="24"/>
          <w:u w:val="single"/>
        </w:rPr>
        <w:t>, destacó la economista búlgara en una rueda de prensa junto al director general de la Organización Mundial de la Salud (OMS), Tedros Adhanom Ghebreyesus.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directora gerente anunció en videoconferencia que más de 90 países han pedido ya ayuda financiera de emergencia al FMI a causa de la actual crisis por el coronavirus.</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También aseguró que la pandemia de COVID-19 ha provocado “una paralización de la economía mundial” que ya ha sumido al plane</w:t>
      </w:r>
      <w:r w:rsidR="00CA3040">
        <w:rPr>
          <w:rFonts w:ascii="Times New Roman" w:hAnsi="Times New Roman" w:cs="Times New Roman"/>
          <w:color w:val="FF0000"/>
          <w:sz w:val="24"/>
          <w:szCs w:val="24"/>
          <w:u w:val="single"/>
        </w:rPr>
        <w:t>ta en “</w:t>
      </w:r>
      <w:r>
        <w:rPr>
          <w:rFonts w:ascii="Times New Roman" w:hAnsi="Times New Roman" w:cs="Times New Roman"/>
          <w:color w:val="FF0000"/>
          <w:sz w:val="24"/>
          <w:szCs w:val="24"/>
          <w:u w:val="single"/>
        </w:rPr>
        <w:t>una recesión much</w:t>
      </w:r>
      <w:r w:rsidR="00CA3040">
        <w:rPr>
          <w:rFonts w:ascii="Times New Roman" w:hAnsi="Times New Roman" w:cs="Times New Roman"/>
          <w:color w:val="FF0000"/>
          <w:sz w:val="24"/>
          <w:szCs w:val="24"/>
          <w:u w:val="single"/>
        </w:rPr>
        <w:t>o peor que la crisis financiera”</w:t>
      </w:r>
      <w:r>
        <w:rPr>
          <w:rFonts w:ascii="Times New Roman" w:hAnsi="Times New Roman" w:cs="Times New Roman"/>
          <w:color w:val="FF0000"/>
          <w:sz w:val="24"/>
          <w:szCs w:val="24"/>
          <w:u w:val="single"/>
        </w:rPr>
        <w:t xml:space="preserve"> iniciada en 2008.</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OMS está aquí para proteger la salud de la gente, el FMI para proteger el estado de la economía mundial, ambas cosas están siendo asediadas y sólo unidos podemos conseguirlo”, señaló.</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Georgieva indicó que de la misma manera que el coronavirus daña especialmente a los pacientes más vulnerables, la crisis golpeará sobre todo a los países en desarrollo y emergentes, de los que ya han salido en los últimos meses inversiones por valor de 90.000 millones de dólares, más que en la crisis de 2008.</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Concluyó subrayando que la actual crisis es “la hora más oscura para la humanidad, una gran amenaza ante la que debemos estar unidos para proteger a los más vulnerables”.</w:t>
      </w:r>
    </w:p>
    <w:p w:rsidR="00DA27AD" w:rsidRDefault="00DA27AD" w:rsidP="00DA27AD">
      <w:pPr>
        <w:shd w:val="clear" w:color="auto" w:fill="FFFFFF"/>
        <w:spacing w:line="240" w:lineRule="auto"/>
        <w:jc w:val="both"/>
        <w:rPr>
          <w:rFonts w:ascii="Times New Roman" w:hAnsi="Times New Roman" w:cs="Times New Roman"/>
          <w:sz w:val="24"/>
          <w:szCs w:val="24"/>
        </w:rPr>
      </w:pPr>
      <w:r>
        <w:rPr>
          <w:noProof/>
          <w:lang w:eastAsia="es-ES"/>
        </w:rPr>
        <w:lastRenderedPageBreak/>
        <w:drawing>
          <wp:inline distT="0" distB="0" distL="0" distR="0" wp14:anchorId="1736A6B7" wp14:editId="26A6680A">
            <wp:extent cx="5731510" cy="3999865"/>
            <wp:effectExtent l="0" t="0" r="2540" b="635"/>
            <wp:docPr id="142" name="Imagen 142" descr="Déficit"/>
            <wp:cNvGraphicFramePr/>
            <a:graphic xmlns:a="http://schemas.openxmlformats.org/drawingml/2006/main">
              <a:graphicData uri="http://schemas.openxmlformats.org/drawingml/2006/picture">
                <pic:pic xmlns:pic="http://schemas.openxmlformats.org/drawingml/2006/picture">
                  <pic:nvPicPr>
                    <pic:cNvPr id="37" name="Imagen 37" descr="Déficit"/>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31510" cy="3999865"/>
                    </a:xfrm>
                    <a:prstGeom prst="rect">
                      <a:avLst/>
                    </a:prstGeom>
                    <a:noFill/>
                    <a:ln>
                      <a:noFill/>
                    </a:ln>
                  </pic:spPr>
                </pic:pic>
              </a:graphicData>
            </a:graphic>
          </wp:inline>
        </w:drawing>
      </w:r>
    </w:p>
    <w:p w:rsidR="00DA27AD" w:rsidRDefault="00DA27AD" w:rsidP="00DA27AD">
      <w:pPr>
        <w:pStyle w:val="NormalWeb"/>
        <w:jc w:val="both"/>
        <w:textAlignment w:val="baseline"/>
      </w:pPr>
      <w:r>
        <w:t xml:space="preserve">- </w:t>
      </w:r>
      <w:r>
        <w:rPr>
          <w:u w:val="single"/>
        </w:rPr>
        <w:t>El Fondo calcula que el Gran Confinamiento provocará la mayor crisis desde la Gran Depresión</w:t>
      </w:r>
      <w:r>
        <w:t xml:space="preserve"> (Cinco Días - </w:t>
      </w:r>
      <w:r>
        <w:rPr>
          <w:b/>
        </w:rPr>
        <w:t>15/4/20</w:t>
      </w:r>
      <w:r>
        <w:t>)</w:t>
      </w:r>
    </w:p>
    <w:p w:rsidR="00DA27AD" w:rsidRDefault="00DA27AD" w:rsidP="00DA27AD">
      <w:pPr>
        <w:pStyle w:val="NormalWeb"/>
        <w:jc w:val="both"/>
        <w:textAlignment w:val="baseline"/>
      </w:pPr>
      <w:r>
        <w:t>La caída del PIB global será del 3%, mucho mayor que en 2009, con casi todo el mundo en recesión</w:t>
      </w:r>
    </w:p>
    <w:p w:rsidR="00DA27AD" w:rsidRDefault="00DA27AD" w:rsidP="00DA27AD">
      <w:pPr>
        <w:pStyle w:val="NormalWeb"/>
        <w:jc w:val="both"/>
        <w:textAlignment w:val="baseline"/>
      </w:pPr>
      <w:r>
        <w:rPr>
          <w:noProof/>
        </w:rPr>
        <w:drawing>
          <wp:inline distT="0" distB="0" distL="0" distR="0" wp14:anchorId="58F20BE4" wp14:editId="58BF15E0">
            <wp:extent cx="5727700" cy="3124200"/>
            <wp:effectExtent l="0" t="0" r="6350" b="0"/>
            <wp:docPr id="143" name="Imagen 143"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ttps://d500.epimg.net/descargables/2020/04/14/ff01e199920c7fac77e235f22a51a460.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27700" cy="3124200"/>
                    </a:xfrm>
                    <a:prstGeom prst="rect">
                      <a:avLst/>
                    </a:prstGeom>
                    <a:noFill/>
                    <a:ln>
                      <a:noFill/>
                    </a:ln>
                  </pic:spPr>
                </pic:pic>
              </a:graphicData>
            </a:graphic>
          </wp:inline>
        </w:drawing>
      </w:r>
    </w:p>
    <w:p w:rsidR="00DA27AD" w:rsidRDefault="00DA27AD" w:rsidP="00DA27AD">
      <w:pPr>
        <w:pStyle w:val="NormalWeb"/>
        <w:jc w:val="both"/>
        <w:textAlignment w:val="baseline"/>
        <w:rPr>
          <w:b/>
          <w:color w:val="FF0000"/>
          <w:u w:val="single"/>
        </w:rPr>
      </w:pPr>
      <w:r>
        <w:rPr>
          <w:color w:val="FF0000"/>
          <w:u w:val="single"/>
        </w:rPr>
        <w:lastRenderedPageBreak/>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 impacto en la economía mundial”.</w:t>
      </w:r>
      <w:r>
        <w:rPr>
          <w:color w:val="FF0000"/>
        </w:rPr>
        <w:t xml:space="preserve"> </w:t>
      </w:r>
      <w:r>
        <w:rPr>
          <w:b/>
          <w:color w:val="FF0000"/>
          <w:u w:val="single"/>
        </w:rPr>
        <w:t>Así arranca el último informe de Perspectivas económicas mundiales (WEO en sus siglas en inglés) del Fondo Monetario Internacional (FMI) hecho hoy público con un título que evidencia la situación que atraviesa el planeta: El Gran confinamiento.</w:t>
      </w:r>
    </w:p>
    <w:p w:rsidR="00DA27AD" w:rsidRDefault="00DA27AD" w:rsidP="00DA27AD">
      <w:pPr>
        <w:pStyle w:val="NormalWeb"/>
        <w:jc w:val="both"/>
        <w:textAlignment w:val="baseline"/>
      </w:pPr>
      <w:r>
        <w:rPr>
          <w:b/>
        </w:rPr>
        <w:t>Nota:</w:t>
      </w:r>
      <w:r>
        <w:t xml:space="preserve"> Ni un Plan Marshall ni nada parecido. El virus va a dejar todas las economías maltrechas durante mucho tiempo. También aquellas que en los últimos años han tirado de la actividad, y que tenderán a mirar hacia dentro para restañar heridas. También por razones de política interna. La amenaza populista es tan real que nadie está dispuesto a jugar con fuego.</w:t>
      </w:r>
    </w:p>
    <w:p w:rsidR="00DA27AD" w:rsidRDefault="00DA27AD" w:rsidP="00DA27AD">
      <w:pPr>
        <w:pStyle w:val="NormalWeb"/>
        <w:jc w:val="both"/>
        <w:textAlignment w:val="baseline"/>
      </w:pPr>
      <w:r>
        <w:t>La consecuencia es obvia. Ni EEUU está en condiciones de salvar Europa, como sucedió en 1945, entre otros motivos, porque ya no necesita al viejo continente para frenar a la URSS, ni China -con una tasa de crecimiento raquítico este año equivalente al 1,2%- volverá a ser la misma. El turismo chino, de alto poder adquisitivo y que compra coches europeos, tardará en volver al mundo. Se imponen las restricciones y la propia China deberá atender las demandas de una clase media creciente que desde finales de los años setenta ha visto que todo era crecimiento y prosperidad.</w:t>
      </w:r>
    </w:p>
    <w:p w:rsidR="00DA27AD" w:rsidRDefault="00DA27AD" w:rsidP="00DA27AD">
      <w:pPr>
        <w:pStyle w:val="NormalWeb"/>
        <w:jc w:val="both"/>
        <w:textAlignment w:val="baseline"/>
      </w:pPr>
      <w:r>
        <w:t>La economía global, efectivamente, está ahora más sincronizada que nunca, pero en esta ocasión no está en condiciones de compartir la fase robusta del ciclo, sino la más sombría. Algo que ni siquiera había sucedido durante la Gran Recesión, cuando las economías anglosajonas, más flexibles, salieron de la crisis mucho antes que la mayor parte de los países europeos.</w:t>
      </w:r>
    </w:p>
    <w:p w:rsidR="00DA27AD" w:rsidRDefault="00DA27AD" w:rsidP="00DA27AD">
      <w:pPr>
        <w:pStyle w:val="NormalWeb"/>
        <w:jc w:val="both"/>
        <w:textAlignment w:val="baseline"/>
      </w:pPr>
      <w:r>
        <w:t>Toca, por lo tanto, mirar hacia dentro. Como aseguró este martes Gita Gopinath, la economista jefa del FMI, Europa sufrirá más porque es más vulnerable al comercio exterior, y eso significa que hay que volver a mirar hacia la demanda interna y sus tres componentes: consumo privado, público e inversiones. Ahí estará la clave de la recuperación. En la medida en que España sea capaz de regenerar su maltrecho sector industrial, las probabilidades de salir del agujero serán mayores. La industria, de hecho, es la única salvación a medio plazo para la España despoblada, aunque se trate de bienes de tecnología media o baja. Los nuevos mercados están dentro. No solo fuera.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w:t>
      </w:r>
      <w:r w:rsidR="00CA3040">
        <w:rPr>
          <w:rFonts w:ascii="Times New Roman" w:hAnsi="Times New Roman" w:cs="Times New Roman"/>
          <w:b/>
          <w:sz w:val="24"/>
          <w:szCs w:val="24"/>
        </w:rPr>
        <w:t xml:space="preserve">Abril </w:t>
      </w:r>
      <w:r>
        <w:rPr>
          <w:rFonts w:ascii="Times New Roman" w:hAnsi="Times New Roman" w:cs="Times New Roman"/>
          <w:b/>
          <w:sz w:val="24"/>
          <w:szCs w:val="24"/>
        </w:rPr>
        <w:t>2020): Con la crisis del Covid 19, nos vamos todos a la mierda (económicamente hablando), pero lo peor, es que la mierda no va a alcanzar para todos (socialmente hablando). O sea.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 avestruces y agujeros: que una mala noticia, no arruine una buena encuesta  </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Por qué los políticos no hicieron caso al científico que alertó de la pandemia</w:t>
      </w:r>
      <w:r>
        <w:rPr>
          <w:rFonts w:ascii="Times New Roman" w:eastAsia="Times New Roman" w:hAnsi="Times New Roman" w:cs="Times New Roman"/>
          <w:sz w:val="24"/>
          <w:szCs w:val="24"/>
        </w:rPr>
        <w:t xml:space="preserve"> (El Confidencial - </w:t>
      </w:r>
      <w:r>
        <w:rPr>
          <w:rFonts w:ascii="Times New Roman" w:eastAsia="Times New Roman" w:hAnsi="Times New Roman" w:cs="Times New Roman"/>
          <w:b/>
          <w:sz w:val="24"/>
          <w:szCs w:val="24"/>
        </w:rPr>
        <w:t>11/4/20</w:t>
      </w:r>
      <w:r>
        <w:rPr>
          <w:rFonts w:ascii="Times New Roman" w:eastAsia="Times New Roman" w:hAnsi="Times New Roman" w:cs="Times New Roman"/>
          <w:sz w:val="24"/>
          <w:szCs w:val="24"/>
        </w:rPr>
        <w:t>)</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Martin Rees no es ningún apocalíptico. Ni siquiera es pesimista, aunque pueda parecerlo por haber fundado un Centro para el Estudio de los Riesgos Catastróficos y Existenciales en Cambridge</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Marta García Aller)</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lastRenderedPageBreak/>
        <w:t xml:space="preserve">Cuando en julio entrevisté al astrónomo Martin Rees ya me avisó de que uno de los mayores riesgos que enfrentaba la humanidad es que pronto “podría haber una pandemia que matara a muchos millones de personas en todo el mundo”. No fue ese el titular que me pareció más relevante, lo reconozco. Era, sin yo saberlo, mi manera de darle la razón indirectamente a otra de las advertencias que hizo Rees durante nuestra charla veraniega: “En la sociedad hay una falta de conciencia de la gravedad de muchos de los riesgos globales a los que nos enfrentamos”. </w:t>
      </w:r>
      <w:r>
        <w:rPr>
          <w:rFonts w:ascii="Times New Roman" w:eastAsia="Times New Roman" w:hAnsi="Times New Roman" w:cs="Times New Roman"/>
          <w:sz w:val="24"/>
          <w:szCs w:val="24"/>
        </w:rPr>
        <w:t>En julio se cumplía medio siglo de la llegada de los humanos a la luna y creí que interesarían más al lector sus pronósticos sobre lo frecuentes que pronto serán los viajes a Marte. Una pandemia entonces sí que sonaba marciana. Eso era, claro, antes de que llegara el coronavirus.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Martin Rees no es ningún apocalíptico. Ni siquiera es pesimista, aunque pueda parecerlo por haber fundado un Centro para el Estudio de los Riesgos Catastróficos y Existenciales en la Universidad de Cambridge en el que básicamente se dedican a estudiar las amenazas que podrían acabar con la humanidad. En el fondo, hay que ser muy optimista para ponerse a analizar cómo prevenir el fin del mundo, ya que si estudia a fondo los riesgos es porque cree que la ciencia puede ayudar a prevenirlos.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Este prestigioso grupo de científicos, tecnólogos y filósofos de Cambridge impulsado por Rees estudia los riesgos extremos a los que se enfrenta la humanidad y los clasifica entre los que pueden llevar a la extinción total (los existenciales) y los que no llegarían tan lejos pero sí que serían lo suficientemente devastadores para un colapso civilizatorio (los catastróficos). Su misión es identificar la gravedad de las amenazas y la probabilidad de que sucedan para investigar el modo de combatirlas. Y el primer paso para prevenir esos riesgos es identificarlos: en primer lugar están los riesgos biológicos (ahí incluían las pandemias naturales como el Covid-19, pero también alertan de los riesgos de la manipulación genética y las armas biológicas); además, las catástrofes medioambientales (de los meteoritos al cambio climático); y por último, las amenazas de un mal uso de la inteligencia artificial y otros riesgos tecnológicos.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Optimista tecnológico, pesimista político</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u w:val="single"/>
        </w:rPr>
        <w:t>He vuelto a llamar a Rees después de que se declarase la pandemia de coronavirus simplemente para decirle que tenía razón y preguntarle de paso su visión sobre el Covid-19.</w:t>
      </w:r>
      <w:r>
        <w:rPr>
          <w:rFonts w:ascii="Times New Roman" w:eastAsia="Times New Roman" w:hAnsi="Times New Roman" w:cs="Times New Roman"/>
          <w:sz w:val="24"/>
          <w:szCs w:val="24"/>
        </w:rPr>
        <w:t xml:space="preserve"> No parecía muy sorprendido de que la humanidad no haya sido capaz de evitar esta tragedia que en lo que va de año ya ha costado más de 100.000 muertos. </w:t>
      </w:r>
      <w:r>
        <w:rPr>
          <w:rFonts w:ascii="Times New Roman" w:eastAsia="Times New Roman" w:hAnsi="Times New Roman" w:cs="Times New Roman"/>
          <w:color w:val="FF0000"/>
          <w:sz w:val="24"/>
          <w:szCs w:val="24"/>
          <w:u w:val="single"/>
        </w:rPr>
        <w:t>“Sabíamos que una pandemia global era una posibilidad y los gobiernos también lo sabían”, dice Rees, a sus 77 años, desde la casa de Cambridge en la que permanece confinado indefinidamente sin poder dar clases hasta que remita el coronavirus.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“El gobierno británico tenía en sus análisis de riesgos globales que las pandemias eran una posibilidad, pero los políticos no estaban preparados para invertir lo necesario en prevenirlo porque era un riesgo poco familiar”, añade el científico que fuera presidente de la Royal Society de Londres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Ese es el error más habitual</w:t>
      </w:r>
      <w:r>
        <w:rPr>
          <w:rFonts w:ascii="Times New Roman" w:eastAsia="Times New Roman" w:hAnsi="Times New Roman" w:cs="Times New Roman"/>
          <w:sz w:val="24"/>
          <w:szCs w:val="24"/>
        </w:rPr>
        <w:t xml:space="preserve"> sobre el que el Centro de Estudios Existenciales trata de concienciar: </w:t>
      </w:r>
      <w:r>
        <w:rPr>
          <w:rFonts w:ascii="Times New Roman" w:eastAsia="Times New Roman" w:hAnsi="Times New Roman" w:cs="Times New Roman"/>
          <w:sz w:val="24"/>
          <w:szCs w:val="24"/>
          <w:u w:val="single"/>
        </w:rPr>
        <w:t>no debemos confundir un riesgo poco familiar, algo que nunca ha sucedido, con algo improbable</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Ni tampoco la baja probabilidad de que algo suceda es la única variable que hay que tener en cuenta para tomarse algo en serio, porque hay amenazas tan catastróficas potencialmente como para que no compense ignorarlas.</w:t>
      </w:r>
      <w:r>
        <w:rPr>
          <w:rFonts w:ascii="Times New Roman" w:eastAsia="Times New Roman" w:hAnsi="Times New Roman" w:cs="Times New Roman"/>
          <w:sz w:val="24"/>
          <w:szCs w:val="24"/>
        </w:rPr>
        <w:t xml:space="preserve"> “Es importante que los gobiernos y la sociedad entiendan que cuando una amenaza de catástrofe </w:t>
      </w:r>
      <w:r>
        <w:rPr>
          <w:rFonts w:ascii="Times New Roman" w:eastAsia="Times New Roman" w:hAnsi="Times New Roman" w:cs="Times New Roman"/>
          <w:sz w:val="24"/>
          <w:szCs w:val="24"/>
        </w:rPr>
        <w:lastRenderedPageBreak/>
        <w:t>global es lo suficientemente seria, merece la pena hacer la inversión necesaria para reducir su riesgo”.</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rPr>
      </w:pPr>
      <w:r>
        <w:rPr>
          <w:rFonts w:ascii="Times New Roman" w:eastAsia="Times New Roman" w:hAnsi="Times New Roman" w:cs="Times New Roman"/>
          <w:b/>
          <w:color w:val="FF0000"/>
          <w:sz w:val="24"/>
          <w:szCs w:val="24"/>
          <w:u w:val="single"/>
        </w:rPr>
        <w:t>En su libro “En el futuro. Perspectivas para la humanidad” (Crítica, 2019), Rees advertía de que entre los riesgos de vivir en un mundo tan global es que somos más vulnerables a las pandemias, porque pueden extenderse muy deprisa, y reivindicaba más mecanismos de planificación a escala internacional, para evitar un descontrol como el que efectivamente se está viendo en la gestión internacional del coronavirus.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color w:val="FF0000"/>
          <w:sz w:val="24"/>
          <w:szCs w:val="24"/>
          <w:u w:val="single"/>
        </w:rPr>
        <w:t>Así que Rees es optimista en lo científico, pero pesimista en lo político. “Si los gobiernos no actuaron antes, es porque la política no está preparada para pensar en el largo plazo ni a escala global”, insiste.</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Varios informes, no solo el de Cambridge, advertían que las pandemias eran uno de los mayores riesgos inminentes que podían suceder en los próximos 10 o 20 años. Racionalmente, puede parecer que lo normal habría sido gastar más dinero preparándose para reducir este riesgo. Pero cuando los gobernantes han hecho grandes inversiones para prepararse ante posibles amenazas que luego no llegan a producirse o no en la gravedad esperada (como pasó con el acopio de antivirales en 2009 por parte de varios gobiernos europeos con el H1N1), la opinión pública les critica por haber derrochado ese dinero público. El riesgo de no calibrar la importancia de prepararse para algunos “por si acasos” es que a los políticos no les compense el riesgo si creen que al correrlo se arriesgan demasiado.</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b/>
          <w:color w:val="FF0000"/>
          <w:sz w:val="24"/>
          <w:szCs w:val="24"/>
          <w:u w:val="single"/>
        </w:rPr>
        <w:t>Si los gobernantes demasiado a menudo se centran en el corto plazo y las amenazas locales es porque habitualmente es la estrategia que mejor les ha funcionado para salir reelegidos. Si los riesgos globales y a largo plazo, al menos hasta ahora, no han sido un buen reclamo electoral es también una responsabilidad de los ciudadanos que no les exigen un mayor compromiso con esas otras amenazas</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u w:val="single"/>
        </w:rPr>
        <w:t>Por eso no solo es importante que los políticos tengan en cuenta las alertas de los científicos, también es crucial que haya una mayor percepción pública de cuáles son estos riesgos.</w:t>
      </w:r>
      <w:r>
        <w:rPr>
          <w:rFonts w:ascii="Times New Roman" w:eastAsia="Times New Roman" w:hAnsi="Times New Roman" w:cs="Times New Roman"/>
          <w:sz w:val="24"/>
          <w:szCs w:val="24"/>
        </w:rPr>
        <w:t xml:space="preserve"> Ahora son las pandemias, pero hay otros riesgos potencialmente catastróficos como los medioambientales y los de la gobernanza responsable de la inteligencia artificial que no se pueden olvidar.</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Pr="0062696E"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“Estamos acostumbrados a negar la importancia de los acontecimientos que tienen una baja probabilidad, pero cuya consecuencia sería devastadora y deberían preocuparnos más”,</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concluye Rees. Y me despido al teléfono dándole las gracias por haberme atendido de nuevo sin atreverme a confesar que, cuando me advirtió de ello la primera vez, a mí tampoco me preocuparon las pandemias para llevarlas al titular.</w:t>
      </w:r>
    </w:p>
    <w:p w:rsidR="00DA27AD" w:rsidRDefault="00DA27AD" w:rsidP="00DA27AD">
      <w:pPr>
        <w:pStyle w:val="NormalWeb"/>
        <w:jc w:val="both"/>
        <w:textAlignment w:val="baseline"/>
        <w:rPr>
          <w:b/>
        </w:rPr>
      </w:pPr>
      <w:r>
        <w:rPr>
          <w:b/>
        </w:rPr>
        <w:t>Nota (</w:t>
      </w:r>
      <w:r w:rsidR="00CA3040">
        <w:rPr>
          <w:b/>
        </w:rPr>
        <w:t xml:space="preserve">Abril </w:t>
      </w:r>
      <w:r>
        <w:rPr>
          <w:b/>
        </w:rPr>
        <w:t>2020): Para hacerla corta (la verdad de la milanesa): el único rebaño hemos sido los enfermos. La única inmunidad del rebaño resulto ser la impunidad de los machos alfa con la que actuaron los desaprensivos dirigentes (arrogantes, fatuos, indiferentes, frívolos, indocumentados, irresponsables, falaces, cínicos, hipócritas…) de los países avanzados, ahora en vías de subdesarrollo, que minimizaron el riesgo y alentaron el “no pasa nada”… “es una gripecita”… “pueden seguir yendo al fútbol”… “pueden seguir yendo a festivales, conciertos o reuniones masivas”… “pueden hacer manifestaciones políticas de alto contenido ideológico y sectario” (en intereses del gobierno de turno)… “pueden seguir yendo a los colegios y universidades”… “pueden seguir saliendo de compras”… “pueden seguir socializando”… “solo hay que lavarse bien las manos” (varias veces)…</w:t>
      </w:r>
    </w:p>
    <w:p w:rsidR="00DA27AD" w:rsidRDefault="00DA27AD" w:rsidP="00DA27AD">
      <w:pPr>
        <w:pStyle w:val="NormalWeb"/>
        <w:jc w:val="both"/>
        <w:textAlignment w:val="baseline"/>
        <w:rPr>
          <w:b/>
        </w:rPr>
      </w:pPr>
      <w:r>
        <w:rPr>
          <w:b/>
        </w:rPr>
        <w:lastRenderedPageBreak/>
        <w:t>Luego, llegaron las “mentiras que matan”: “es un problema global”… “nadie podía prever el alcance de la epidemia” (que luego fue pandemia)… “nadie se quedará atrás”… “compraremos todo el material necesario”… “haremos todos los análisis preventivos necesarios”…  “las mascarillas no son imprescindibles”… “las mascarillas son obligatorias”… “los guantes no son imprescindibles”… “los guantes son obligatorios” “estado de alarma”… “arresto domiciliario”… “desescalamiento programado”… en tanto los Hamelin de la política llevan a la tumba a los ratones (nos).</w:t>
      </w:r>
    </w:p>
    <w:p w:rsidR="00DA27AD" w:rsidRDefault="00DA27AD" w:rsidP="00DA27AD">
      <w:pPr>
        <w:pStyle w:val="NormalWeb"/>
        <w:jc w:val="both"/>
        <w:textAlignment w:val="baseline"/>
        <w:rPr>
          <w:b/>
        </w:rPr>
      </w:pPr>
      <w:r>
        <w:rPr>
          <w:b/>
        </w:rPr>
        <w:t>Campeones de sanitarios infectados, primeros en el ranking de cantidad de muertos por millón de habitantes, masivo exterminio de ancianos en las residencias de mayores, cribado de pacientes en las Unidades de Cuidados Intensivos, desinformación, demora en el balance de daños, cambios de metodología estadística, manipulación de los datos, trucos estadísticos, información falsa a los organismos internacionales sobre la cantidad de contagiados (civiles, sanitarios, seguridad), internados, pruebas, altas, muertes…</w:t>
      </w:r>
    </w:p>
    <w:p w:rsidR="00DA27AD" w:rsidRDefault="00DA27AD" w:rsidP="00DA27AD">
      <w:pPr>
        <w:pStyle w:val="NormalWeb"/>
        <w:jc w:val="both"/>
        <w:textAlignment w:val="baseline"/>
        <w:rPr>
          <w:b/>
        </w:rPr>
      </w:pPr>
      <w:r>
        <w:rPr>
          <w:b/>
        </w:rPr>
        <w:t xml:space="preserve">Espero y deseo que la justicia (primero), y la historia (después), condenen tanto crimen. </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El daño puede ser mayor</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meritocracia nunca ha sido el mejor sistema para elegir a los líderes de un Gobierno, aunque distinto es para muchas otras actividades.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Igualmente, tampoco la ignorancia es una buena compañera de viaje a la hora de hacer política que, como se sabe, no es solo ganar elecciones, sino dejar huella a las siguientes generaciones.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puede tener pobre historial académico, y, por el contrario, se puede enriquecer la política. Pero no es el caso de muchos (casi todos) de los líderes (perdón por el sarcasmo), que dirigen el destino de muchos (caso todos) de los países avanzados, ahora muchos de ellos (casi todos) en vías de subdesarrollo. </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Han transformado la política en espectáculo, la comunicación en propaganda, la acción de gobierno en una rectificación permanente (al golpe de encuestas de opinión), el nepotismo en rutina, la corrupción en mal menor, la burocracia en clientelismo, los lugares comunes en tuits, las puertas giratorias en rutina, los paracaídas de oro en carta de despido, el tráfico de influencias en espacio constructivo, las ruedas de prensa en actos demenciales de indecencia política, argumentos facilones, soflamas sectarias, relativismo moral, sin decir nunca la verdad. Pura política de marketing que busca el efecto inmediato, a corto plazo, primando el interés político del momento por encima de los modelos de sociedad.   </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“nueva normalidad” es el tradicional caos… (infectados, muertos, parados y quebrados)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Algunas preguntas desde el arresto domiciliario: ¿el estado (de un país, supuestamente, avanzado) no tiene previsto un plan de actuación para situaciones de emergencia? Ahora hablamos de una pandemia, pero podríamos hablar de un terremoto, de un tsunami o de un conflicto bélico. ¿No hay protocolos elaborados para hacer frente a una situación excepcional? ¿no hay acopio de materiales para afrontar estas situaciones excepcionales? Tenemos que llegar a la triste conclusión (en muchos casos, más de los imaginables) que el estado no nos ampara, ni nos protege, como correspondería a un estado moderno (de un país, supuestamente, avanzado). La prueba es que (en muchos casos, más de los imaginables)  ha </w:t>
      </w:r>
      <w:r>
        <w:rPr>
          <w:rFonts w:ascii="Times New Roman" w:eastAsia="Times New Roman" w:hAnsi="Times New Roman" w:cs="Times New Roman"/>
          <w:sz w:val="24"/>
          <w:szCs w:val="24"/>
        </w:rPr>
        <w:lastRenderedPageBreak/>
        <w:t>funcionado mucho mejor la empresa privada a la hora de abastecer de material necesario, que el propio estado.</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Pero tengo más preguntas, sobre estado de alarma permanente, el confinamiento indefinido y el abuso de autoridad manifiesto… ¿Un gobierno está para ayudar a los ciudadanos o éstos para servir al gobierno? ¿el derecho a la libertad, la propiedad y la igualdad ante la Ley, están por encima de las decisiones políticas de un gobierno, que por definición está de paso? ¿debe la propiedad, base de la economía supeditarse a la política, con el apoyo plebiscitario de una mayoría durante tiempo indefinido o bajo la dictadura perpetua de un partido político, que puede expropiarlo todo y se arroga el derecho a decidir el derecho a vivir o morir de todos, si son opositores? ¿se puede intentar gestionar una crisis sanitaria y económica de gran envergadura, con ideas de nivel de asamblea escolar o sencillamente ridículas u obsoletas?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Durante las semanas que ha durado el confinamiento, hemos asistido a un titánico pulso entre la propaganda gubernamental y la realidad de los hechos. Los enfermos, los muertos y los desempleados, resultan una evidencia que no puede negarse. La ruina es omnipresente.</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pStyle w:val="NormalWeb"/>
        <w:shd w:val="clear" w:color="auto" w:fill="FAFAFA"/>
        <w:spacing w:before="0" w:beforeAutospacing="0" w:after="420" w:afterAutospacing="0"/>
        <w:jc w:val="both"/>
        <w:textAlignment w:val="baseline"/>
      </w:pPr>
      <w:r>
        <w:t>Los ciudadanos ya saben que los gobernantes que más ha hablado de la guerra contra la pandemia, son los que menos ha hecho para ganarla. Que con ellos al frente, se perdió la batalla del calendario, la batalla de los respiradores, la batalla de las mascarillas y la batalla del cómputo de muertos. Con ellos al frente, se está perdiendo la batalla de los test, la batalla de las series estadísticas y la batalla de las aplicaciones telefónicas como requisito para la desescalada.</w:t>
      </w:r>
    </w:p>
    <w:p w:rsidR="00DA27AD" w:rsidRDefault="00DA27AD" w:rsidP="00DA27AD">
      <w:pPr>
        <w:pStyle w:val="NormalWeb"/>
        <w:shd w:val="clear" w:color="auto" w:fill="FAFAFA"/>
        <w:spacing w:before="0" w:beforeAutospacing="0" w:after="420" w:afterAutospacing="0"/>
        <w:jc w:val="both"/>
        <w:textAlignment w:val="baseline"/>
      </w:pPr>
      <w:r>
        <w:rPr>
          <w:b/>
        </w:rPr>
        <w:t>No es culpa de cada gobierno (salvo en el caso de China, por activa y por pasiva) la catástrofe sanitaria del coronavirus ni lo es la repercusión de la pandemia en su economía (según su estructura), pero sí es responsabilidad de cada gobierno la gestión (eficiente o negligente) de la crisis, y el menor, o mayor, colapso económico.</w:t>
      </w:r>
    </w:p>
    <w:p w:rsidR="00DA27AD" w:rsidRPr="00CA3040"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r w:rsidRPr="00CA3040">
        <w:rPr>
          <w:rStyle w:val="Textoennegrita"/>
          <w:rFonts w:ascii="Times New Roman" w:hAnsi="Times New Roman" w:cs="Times New Roman"/>
          <w:color w:val="1A1A1A"/>
          <w:sz w:val="24"/>
          <w:szCs w:val="24"/>
          <w:bdr w:val="none" w:sz="0" w:space="0" w:color="auto" w:frame="1"/>
          <w:shd w:val="clear" w:color="auto" w:fill="FFFFFF"/>
        </w:rPr>
        <w:t>Mientras el coronavirus recorre Europa: (el balance de gestión -preliminar- demuestra) subestimación</w:t>
      </w:r>
      <w:r w:rsidRPr="00CA3040">
        <w:rPr>
          <w:rFonts w:ascii="Times New Roman" w:hAnsi="Times New Roman" w:cs="Times New Roman"/>
          <w:color w:val="1A1A1A"/>
          <w:sz w:val="24"/>
          <w:szCs w:val="24"/>
          <w:shd w:val="clear" w:color="auto" w:fill="FFFFFF"/>
        </w:rPr>
        <w:t xml:space="preserve">, </w:t>
      </w:r>
      <w:r w:rsidRPr="00CA3040">
        <w:rPr>
          <w:rFonts w:ascii="Times New Roman" w:hAnsi="Times New Roman" w:cs="Times New Roman"/>
          <w:b/>
          <w:color w:val="1A1A1A"/>
          <w:sz w:val="24"/>
          <w:szCs w:val="24"/>
          <w:shd w:val="clear" w:color="auto" w:fill="FFFFFF"/>
        </w:rPr>
        <w:t>reacción tardía</w:t>
      </w:r>
      <w:r w:rsidRPr="00CA3040">
        <w:rPr>
          <w:rFonts w:ascii="Times New Roman" w:hAnsi="Times New Roman" w:cs="Times New Roman"/>
          <w:color w:val="1A1A1A"/>
          <w:sz w:val="24"/>
          <w:szCs w:val="24"/>
          <w:shd w:val="clear" w:color="auto" w:fill="FFFFFF"/>
        </w:rPr>
        <w:t xml:space="preserve">, </w:t>
      </w:r>
      <w:r w:rsidRPr="00CA3040">
        <w:rPr>
          <w:rStyle w:val="Textoennegrita"/>
          <w:rFonts w:ascii="Times New Roman" w:hAnsi="Times New Roman" w:cs="Times New Roman"/>
          <w:color w:val="1A1A1A"/>
          <w:sz w:val="24"/>
          <w:szCs w:val="24"/>
          <w:bdr w:val="none" w:sz="0" w:space="0" w:color="auto" w:frame="1"/>
          <w:shd w:val="clear" w:color="auto" w:fill="FFFFFF"/>
        </w:rPr>
        <w:t>improvisación</w:t>
      </w:r>
      <w:r w:rsidRPr="00CA3040">
        <w:rPr>
          <w:rFonts w:ascii="Times New Roman" w:hAnsi="Times New Roman" w:cs="Times New Roman"/>
          <w:color w:val="1A1A1A"/>
          <w:sz w:val="24"/>
          <w:szCs w:val="24"/>
          <w:shd w:val="clear" w:color="auto" w:fill="FFFFFF"/>
        </w:rPr>
        <w:t xml:space="preserve">, </w:t>
      </w:r>
      <w:r w:rsidRPr="00CA3040">
        <w:rPr>
          <w:rStyle w:val="Textoennegrita"/>
          <w:rFonts w:ascii="Times New Roman" w:hAnsi="Times New Roman" w:cs="Times New Roman"/>
          <w:color w:val="1A1A1A"/>
          <w:sz w:val="24"/>
          <w:szCs w:val="24"/>
          <w:bdr w:val="none" w:sz="0" w:space="0" w:color="auto" w:frame="1"/>
          <w:shd w:val="clear" w:color="auto" w:fill="FFFFFF"/>
        </w:rPr>
        <w:t>desabastecimiento, aislamiento político</w:t>
      </w:r>
      <w:r w:rsidRPr="00CA3040">
        <w:rPr>
          <w:rFonts w:ascii="Times New Roman" w:hAnsi="Times New Roman" w:cs="Times New Roman"/>
          <w:color w:val="1A1A1A"/>
          <w:sz w:val="24"/>
          <w:szCs w:val="24"/>
          <w:shd w:val="clear" w:color="auto" w:fill="FFFFFF"/>
        </w:rPr>
        <w:t>, d</w:t>
      </w:r>
      <w:r w:rsidRPr="00CA3040">
        <w:rPr>
          <w:rStyle w:val="Textoennegrita"/>
          <w:rFonts w:ascii="Times New Roman" w:hAnsi="Times New Roman" w:cs="Times New Roman"/>
          <w:color w:val="1A1A1A"/>
          <w:sz w:val="24"/>
          <w:szCs w:val="24"/>
          <w:bdr w:val="none" w:sz="0" w:space="0" w:color="auto" w:frame="1"/>
          <w:shd w:val="clear" w:color="auto" w:fill="FFFFFF"/>
        </w:rPr>
        <w:t>ogmatismo económico</w:t>
      </w:r>
      <w:r w:rsidRPr="00CA3040">
        <w:rPr>
          <w:rFonts w:ascii="Times New Roman" w:hAnsi="Times New Roman" w:cs="Times New Roman"/>
          <w:color w:val="1A1A1A"/>
          <w:sz w:val="24"/>
          <w:szCs w:val="24"/>
          <w:shd w:val="clear" w:color="auto" w:fill="FFFFFF"/>
        </w:rPr>
        <w:t xml:space="preserve">, </w:t>
      </w:r>
      <w:r w:rsidRPr="00CA3040">
        <w:rPr>
          <w:rStyle w:val="Textoennegrita"/>
          <w:rFonts w:ascii="Times New Roman" w:hAnsi="Times New Roman" w:cs="Times New Roman"/>
          <w:color w:val="1A1A1A"/>
          <w:sz w:val="24"/>
          <w:szCs w:val="24"/>
          <w:bdr w:val="none" w:sz="0" w:space="0" w:color="auto" w:frame="1"/>
          <w:shd w:val="clear" w:color="auto" w:fill="FFFFFF"/>
        </w:rPr>
        <w:t>paternalismo-narcisismo</w:t>
      </w:r>
      <w:r w:rsidRPr="00CA3040">
        <w:rPr>
          <w:rFonts w:ascii="Times New Roman" w:hAnsi="Times New Roman" w:cs="Times New Roman"/>
          <w:color w:val="1A1A1A"/>
          <w:sz w:val="24"/>
          <w:szCs w:val="24"/>
          <w:shd w:val="clear" w:color="auto" w:fill="FFFFFF"/>
        </w:rPr>
        <w:t xml:space="preserve">, </w:t>
      </w:r>
      <w:r w:rsidRPr="00CA3040">
        <w:rPr>
          <w:rStyle w:val="Textoennegrita"/>
          <w:rFonts w:ascii="Times New Roman" w:hAnsi="Times New Roman" w:cs="Times New Roman"/>
          <w:color w:val="1A1A1A"/>
          <w:sz w:val="24"/>
          <w:szCs w:val="24"/>
          <w:bdr w:val="none" w:sz="0" w:space="0" w:color="auto" w:frame="1"/>
          <w:shd w:val="clear" w:color="auto" w:fill="FFFFFF"/>
        </w:rPr>
        <w:t>confusión</w:t>
      </w:r>
      <w:r w:rsidRPr="00CA3040">
        <w:rPr>
          <w:rFonts w:ascii="Times New Roman" w:hAnsi="Times New Roman" w:cs="Times New Roman"/>
          <w:color w:val="1A1A1A"/>
          <w:sz w:val="24"/>
          <w:szCs w:val="24"/>
          <w:shd w:val="clear" w:color="auto" w:fill="FFFFFF"/>
        </w:rPr>
        <w:t xml:space="preserve">, </w:t>
      </w:r>
      <w:r w:rsidRPr="00CA3040">
        <w:rPr>
          <w:rFonts w:ascii="Times New Roman" w:hAnsi="Times New Roman" w:cs="Times New Roman"/>
          <w:b/>
          <w:color w:val="1A1A1A"/>
          <w:sz w:val="24"/>
          <w:szCs w:val="24"/>
          <w:shd w:val="clear" w:color="auto" w:fill="FFFFFF"/>
        </w:rPr>
        <w:t>manipulación de los datos, trucos estadísticos,</w:t>
      </w:r>
      <w:r w:rsidRPr="00CA3040">
        <w:rPr>
          <w:rFonts w:ascii="Times New Roman" w:hAnsi="Times New Roman" w:cs="Times New Roman"/>
          <w:color w:val="1A1A1A"/>
          <w:sz w:val="24"/>
          <w:szCs w:val="24"/>
          <w:shd w:val="clear" w:color="auto" w:fill="FFFFFF"/>
        </w:rPr>
        <w:t xml:space="preserve"> </w:t>
      </w:r>
      <w:r w:rsidRPr="00CA3040">
        <w:rPr>
          <w:rFonts w:ascii="Times New Roman" w:hAnsi="Times New Roman" w:cs="Times New Roman"/>
          <w:b/>
          <w:color w:val="1A1A1A"/>
          <w:sz w:val="24"/>
          <w:szCs w:val="24"/>
          <w:shd w:val="clear" w:color="auto" w:fill="FFFFFF"/>
        </w:rPr>
        <w:t>ineptitud informativa,</w:t>
      </w:r>
      <w:r w:rsidRPr="00CA3040">
        <w:rPr>
          <w:rFonts w:ascii="Times New Roman" w:hAnsi="Times New Roman" w:cs="Times New Roman"/>
          <w:color w:val="1A1A1A"/>
          <w:sz w:val="24"/>
          <w:szCs w:val="24"/>
          <w:shd w:val="clear" w:color="auto" w:fill="FFFFFF"/>
        </w:rPr>
        <w:t xml:space="preserve"> </w:t>
      </w:r>
      <w:r w:rsidRPr="00CA3040">
        <w:rPr>
          <w:rStyle w:val="Textoennegrita"/>
          <w:rFonts w:ascii="Times New Roman" w:hAnsi="Times New Roman" w:cs="Times New Roman"/>
          <w:color w:val="1A1A1A"/>
          <w:sz w:val="24"/>
          <w:szCs w:val="24"/>
          <w:bdr w:val="none" w:sz="0" w:space="0" w:color="auto" w:frame="1"/>
          <w:shd w:val="clear" w:color="auto" w:fill="FFFFFF"/>
        </w:rPr>
        <w:t>propaganda</w:t>
      </w:r>
      <w:r w:rsidRPr="00CA3040">
        <w:rPr>
          <w:rFonts w:ascii="Times New Roman" w:hAnsi="Times New Roman" w:cs="Times New Roman"/>
          <w:color w:val="1A1A1A"/>
          <w:sz w:val="24"/>
          <w:szCs w:val="24"/>
          <w:shd w:val="clear" w:color="auto" w:fill="FFFFFF"/>
        </w:rPr>
        <w:t xml:space="preserve">, </w:t>
      </w:r>
      <w:r w:rsidRPr="00CA3040">
        <w:rPr>
          <w:rStyle w:val="Textoennegrita"/>
          <w:rFonts w:ascii="Times New Roman" w:hAnsi="Times New Roman" w:cs="Times New Roman"/>
          <w:color w:val="1A1A1A"/>
          <w:sz w:val="24"/>
          <w:szCs w:val="24"/>
          <w:bdr w:val="none" w:sz="0" w:space="0" w:color="auto" w:frame="1"/>
          <w:shd w:val="clear" w:color="auto" w:fill="FFFFFF"/>
        </w:rPr>
        <w:t>autoritarismo</w:t>
      </w:r>
      <w:r w:rsidRPr="00CA3040">
        <w:rPr>
          <w:rFonts w:ascii="Times New Roman" w:hAnsi="Times New Roman" w:cs="Times New Roman"/>
          <w:color w:val="1A1A1A"/>
          <w:sz w:val="24"/>
          <w:szCs w:val="24"/>
          <w:shd w:val="clear" w:color="auto" w:fill="FFFFFF"/>
        </w:rPr>
        <w:t xml:space="preserve">. </w:t>
      </w:r>
      <w:r w:rsidRPr="00CA3040">
        <w:rPr>
          <w:rFonts w:ascii="Times New Roman" w:hAnsi="Times New Roman" w:cs="Times New Roman"/>
          <w:b/>
          <w:color w:val="1A1A1A"/>
          <w:sz w:val="24"/>
          <w:szCs w:val="24"/>
          <w:shd w:val="clear" w:color="auto" w:fill="FFFFFF"/>
        </w:rPr>
        <w:t>El pliego de cargos es inagotable. El destrozo sanitario y económico, tremendo</w:t>
      </w:r>
      <w:r w:rsidRPr="00CA3040">
        <w:rPr>
          <w:rFonts w:ascii="Times New Roman" w:eastAsia="Times New Roman" w:hAnsi="Times New Roman" w:cs="Times New Roman"/>
          <w:b/>
          <w:sz w:val="24"/>
          <w:szCs w:val="24"/>
        </w:rPr>
        <w:t xml:space="preserve">… y sus consecuencias sociales demoledoras. Un balance de gestión de EEUU, tiene un resultado igual, o peor. </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El recuerdo de los cadáveres hacinados en las residencias de ancianos, de las morgues de campaña, de las UCIS improvisadas en los pasillos, de los responsos en algunos cementerios a razón de uno cada siete minutos , de las muertes en soledad, y de tantas otras calamidades equivalentes, formarán parte de la cámara de los horrores de toda nuestra generación. No creo que los norteamericanos guarden mejor recuerdo.</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Y todo esto, con los ciudadanos como rehenes (en prisión domiciliaria), tratados con altivez y desprecio, por unos políticos soberbios y fatuos, sin atisbos de autocrítica.</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DA27AD" w:rsidRDefault="00DA27AD" w:rsidP="00DA27AD">
      <w:pPr>
        <w:pStyle w:val="NormalWeb"/>
        <w:shd w:val="clear" w:color="auto" w:fill="FAFAFA"/>
        <w:spacing w:before="0" w:beforeAutospacing="0" w:after="420" w:afterAutospacing="0"/>
        <w:jc w:val="both"/>
        <w:textAlignment w:val="baseline"/>
      </w:pPr>
      <w:r>
        <w:t>Pero eso no es nada para lo que presentimos y nos espera, cuando volvamos a la (puta) calle.</w:t>
      </w:r>
    </w:p>
    <w:p w:rsidR="00DA27AD" w:rsidRDefault="00DA27AD" w:rsidP="00DA27AD">
      <w:pPr>
        <w:pStyle w:val="NormalWeb"/>
        <w:shd w:val="clear" w:color="auto" w:fill="FAFAFA"/>
        <w:spacing w:before="0" w:beforeAutospacing="0" w:after="420" w:afterAutospacing="0"/>
        <w:jc w:val="both"/>
        <w:textAlignment w:val="baseline"/>
      </w:pPr>
      <w:r>
        <w:t>El incierto futuro después del confinamiento: para aquellos que no hayan sido “evaporados” por el Covid 19, la “nueva anormalidad” será tener un empleo…</w:t>
      </w:r>
    </w:p>
    <w:p w:rsidR="00DA27AD" w:rsidRDefault="00DA27AD" w:rsidP="00DA27AD">
      <w:pPr>
        <w:pStyle w:val="NormalWeb"/>
        <w:jc w:val="both"/>
        <w:textAlignment w:val="baseline"/>
      </w:pPr>
      <w:r>
        <w:lastRenderedPageBreak/>
        <w:t>¡Que alguien nos rescate!: las hormigas, las cigarras y el coronavirus…</w:t>
      </w:r>
    </w:p>
    <w:p w:rsidR="00DA27AD" w:rsidRDefault="00DA27AD" w:rsidP="00DA27AD">
      <w:pPr>
        <w:pStyle w:val="NormalWeb"/>
        <w:jc w:val="both"/>
        <w:textAlignment w:val="baseline"/>
      </w:pPr>
      <w:r>
        <w:t>Espero y deseo, que cuando las hormigas (UE), rescaten a las cigarras (mediterráneas), den por cubierta la cuota de charlatanes y videntes, exijan la pérdida del poder, y envíen camino del crematorio de la historia a tantos mangantes oficiales. Espero y deseo, que el sastre funerario de la opinión pública ya esté tomándole las medidas.</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“Necesitamos líderes que asuman responsabilidades y tomen decisiones, informados por los científicos, pero también por economistas, políticos y otras disciplinas. Así como la guerra es demasiado importante para dejarlas solo a los generales, las pandemias son demasiado importantes para dejarlas en manos de los científicos”, dice Fareed Zakaría en su artículo La pandemia es demasiado importante como para dejarla solo en manos de los científicos (WP - El Confidencial - </w:t>
      </w:r>
      <w:r>
        <w:rPr>
          <w:rFonts w:ascii="Times New Roman" w:eastAsia="Times New Roman" w:hAnsi="Times New Roman" w:cs="Times New Roman"/>
          <w:b/>
          <w:sz w:val="24"/>
          <w:szCs w:val="24"/>
        </w:rPr>
        <w:t>3/5/20</w:t>
      </w:r>
      <w:r>
        <w:rPr>
          <w:rFonts w:ascii="Times New Roman" w:eastAsia="Times New Roman" w:hAnsi="Times New Roman" w:cs="Times New Roman"/>
          <w:sz w:val="24"/>
          <w:szCs w:val="24"/>
        </w:rPr>
        <w:t>).</w:t>
      </w:r>
    </w:p>
    <w:p w:rsidR="00DA27AD" w:rsidRDefault="00DA27AD" w:rsidP="00DA27AD">
      <w:pPr>
        <w:shd w:val="clear" w:color="auto" w:fill="FFFFFF"/>
        <w:spacing w:after="0" w:line="240" w:lineRule="auto"/>
        <w:jc w:val="both"/>
        <w:textAlignment w:val="baseline"/>
        <w:rPr>
          <w:rFonts w:ascii="Times New Roman" w:eastAsia="Times New Roman" w:hAnsi="Times New Roman" w:cs="Times New Roman"/>
          <w:sz w:val="24"/>
          <w:szCs w:val="24"/>
        </w:rPr>
      </w:pP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reacción de los gobiernos (volver a subirse, al “helicóptero monetario”)</w:t>
      </w:r>
    </w:p>
    <w:p w:rsidR="00DA27AD" w:rsidRDefault="00DA27AD" w:rsidP="00DA27AD">
      <w:pPr>
        <w:shd w:val="clear" w:color="auto" w:fill="FFFFFF"/>
        <w:spacing w:line="240" w:lineRule="auto"/>
        <w:jc w:val="both"/>
        <w:rPr>
          <w:rFonts w:ascii="Times New Roman" w:hAnsi="Times New Roman" w:cs="Times New Roman"/>
          <w:sz w:val="24"/>
          <w:szCs w:val="24"/>
        </w:rPr>
      </w:pPr>
      <w:r>
        <w:rPr>
          <w:noProof/>
          <w:lang w:eastAsia="es-ES"/>
        </w:rPr>
        <w:drawing>
          <wp:inline distT="0" distB="0" distL="0" distR="0" wp14:anchorId="35B7095E" wp14:editId="49EF3091">
            <wp:extent cx="5731510" cy="2917190"/>
            <wp:effectExtent l="0" t="0" r="2540" b="0"/>
            <wp:docPr id="144" name="Imagen 144"/>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59"/>
                    <a:stretch>
                      <a:fillRect/>
                    </a:stretch>
                  </pic:blipFill>
                  <pic:spPr>
                    <a:xfrm>
                      <a:off x="0" y="0"/>
                      <a:ext cx="5731510" cy="2917190"/>
                    </a:xfrm>
                    <a:prstGeom prst="rect">
                      <a:avLst/>
                    </a:prstGeom>
                  </pic:spPr>
                </pic:pic>
              </a:graphicData>
            </a:graphic>
          </wp:inline>
        </w:drawing>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El Economista - </w:t>
      </w:r>
      <w:r>
        <w:rPr>
          <w:rFonts w:ascii="Times New Roman" w:hAnsi="Times New Roman" w:cs="Times New Roman"/>
          <w:b/>
          <w:sz w:val="24"/>
          <w:szCs w:val="24"/>
        </w:rPr>
        <w:t>20/3/20)</w:t>
      </w:r>
    </w:p>
    <w:p w:rsidR="00DA27AD" w:rsidRDefault="00DA27AD" w:rsidP="00DA27AD">
      <w:pPr>
        <w:pStyle w:val="NormalWeb"/>
        <w:jc w:val="both"/>
        <w:textAlignment w:val="baseline"/>
      </w:pPr>
      <w:r>
        <w:t xml:space="preserve">- </w:t>
      </w:r>
      <w:r>
        <w:rPr>
          <w:u w:val="single"/>
        </w:rPr>
        <w:t>El Eurogrupo alcanza un acuerdo y desbloquea más de 500.000 millones contra el coronavirus</w:t>
      </w:r>
      <w:r>
        <w:t xml:space="preserve"> (Cinco Días - </w:t>
      </w:r>
      <w:r>
        <w:rPr>
          <w:b/>
        </w:rPr>
        <w:t>9/4/20</w:t>
      </w:r>
      <w:r>
        <w:t xml:space="preserve">) </w:t>
      </w:r>
    </w:p>
    <w:p w:rsidR="00DA27AD" w:rsidRDefault="00DA27AD" w:rsidP="00DA27AD">
      <w:pPr>
        <w:pStyle w:val="NormalWeb"/>
        <w:jc w:val="both"/>
        <w:textAlignment w:val="baseline"/>
      </w:pPr>
      <w:r>
        <w:t xml:space="preserve">A la quinta va la vencida. </w:t>
      </w:r>
      <w:r>
        <w:rPr>
          <w:u w:val="single"/>
        </w:rPr>
        <w:t>El Eurogrupo, los ministros de Economía y Finanzas de la zona euro, ha alcanzado a última hora del jueves un acuerdo de mínimos para desbloquear más de 500.000 millones de euros en la lucha contra el coronavirus</w:t>
      </w:r>
      <w:r>
        <w:t xml:space="preserve">. El primero en anunciarlo ha sido el ministro francés de Finanzas, Bruno Le Maire, en un mensaje compartido en la red social Twitter. </w:t>
      </w:r>
      <w:r>
        <w:rPr>
          <w:u w:val="single"/>
        </w:rPr>
        <w:t xml:space="preserve">“Excelente acuerdo entre los ministros de Finanzas europeos: 500.000 millones de euros estarán disponibles inmediatamente. Un fondo de recuperación por venir. Europa decide y se muestra a la altura de la gravedad de la crisis”, </w:t>
      </w:r>
      <w:r>
        <w:t xml:space="preserve">ha escrito. Acto seguido lo ha hecho la vicepresidenta económica, Nadia Calviño: “Hemos alcanzado un buen acuerdo en el Eurogrupo, con una red de seguridad triple para trabajadores, empresas y estados en la lucha contra el Covid-19. Seguiremos trabajando en mecanismos comunes de financiación para la recuperación económica”. El plan de choque llega tras más de un mes de negociaciones y enfrentamientos entre norte y sur, con especial tensión entre Países Bajos e Italia, bien en el </w:t>
      </w:r>
      <w:r>
        <w:lastRenderedPageBreak/>
        <w:t>Eurogrupo, bien en el Consejo Europeo. También llega tras más de un mes en el que el Covid-19 se ha cebado con los socios del Mediterráneo.</w:t>
      </w:r>
    </w:p>
    <w:p w:rsidR="00DA27AD" w:rsidRDefault="00DA27AD" w:rsidP="00DA27AD">
      <w:pPr>
        <w:pStyle w:val="NormalWeb"/>
        <w:jc w:val="both"/>
        <w:textAlignment w:val="baseline"/>
        <w:rPr>
          <w:color w:val="FF0000"/>
          <w:u w:val="single"/>
        </w:rPr>
      </w:pPr>
      <w:r>
        <w:t xml:space="preserve">Este jueves, como había sucedido dos días antes, la reunión empezó con retraso. Esta vez, con casi cinco horas. Tras el largo receso, que sirvió para intentar acercar posturas, </w:t>
      </w:r>
      <w:r>
        <w:rPr>
          <w:u w:val="single"/>
        </w:rPr>
        <w:t>los ministros han evaluado un borrador de pacto que había sido previamente consensuado entre Alemania, Francia, España, Italia y Países Bajos, han confirmado a Europa Press varias fuentes comunitarias. Estos son los cinco países que marcan el ritmo de las negociaciones.</w:t>
      </w:r>
      <w:r>
        <w:t xml:space="preserve"> </w:t>
      </w:r>
      <w:r>
        <w:rPr>
          <w:color w:val="FF0000"/>
          <w:u w:val="single"/>
        </w:rPr>
        <w:t>Suponen el 80% del PIB de la eurozona, y más del 80% del fondo de rescate europeo, el MEDE. El acuerdo contempla la movilización de más de medio billón de euros: más de 200.000 del MEDE (con un debate que se centrado en las condiciones e intereses del préstamo), otros 200.000 del Banco Europeo de Inversiones (destinados a grandes empresas y pymes), y los últimos 100.000 de Sure, el fondo contra el paro propuesto por la Comisión…</w:t>
      </w:r>
    </w:p>
    <w:p w:rsidR="00DA27AD" w:rsidRDefault="00DA27AD" w:rsidP="00DA27AD">
      <w:pPr>
        <w:pStyle w:val="NormalWeb"/>
        <w:jc w:val="both"/>
        <w:textAlignment w:val="baseline"/>
      </w:pPr>
      <w:r>
        <w:t xml:space="preserve">- </w:t>
      </w:r>
      <w:r>
        <w:rPr>
          <w:u w:val="single"/>
        </w:rPr>
        <w:t>El FMI estima en 7,4 billones la respuesta fiscal mundial a la recesión global</w:t>
      </w:r>
      <w:r>
        <w:t xml:space="preserve"> (Cinco Días - </w:t>
      </w:r>
      <w:r>
        <w:rPr>
          <w:b/>
        </w:rPr>
        <w:t>9/4/20</w:t>
      </w:r>
      <w:r>
        <w:t>)</w:t>
      </w:r>
    </w:p>
    <w:p w:rsidR="00DA27AD" w:rsidRDefault="00DA27AD" w:rsidP="00DA27AD">
      <w:pPr>
        <w:pStyle w:val="NormalWeb"/>
        <w:jc w:val="both"/>
        <w:textAlignment w:val="baseline"/>
        <w:rPr>
          <w:color w:val="FF0000"/>
          <w:u w:val="single"/>
        </w:rPr>
      </w:pPr>
      <w:r>
        <w:rPr>
          <w:color w:val="FF0000"/>
          <w:u w:val="single"/>
        </w:rPr>
        <w:t>El mundo ha movilizado ya ocho billones de dólares (7,4 billones de euros) en ayudas fiscales y cuantiosos estímulos monetarios para afrontar la crisis económica que acompaña a la pandemia del coronavirus Covid-19, según ha estimado este viernes el Fondo Monetario Internacional (FMI) que alerta de que el planeta encara una recesión global, con las consecuencias más graves desde la Gran Depresión.</w:t>
      </w:r>
    </w:p>
    <w:p w:rsidR="00DA27AD" w:rsidRDefault="00DA27AD" w:rsidP="00DA27AD">
      <w:pPr>
        <w:pStyle w:val="NormalWeb"/>
        <w:jc w:val="both"/>
        <w:textAlignment w:val="baseline"/>
        <w:rPr>
          <w:u w:val="single"/>
        </w:rPr>
      </w:pPr>
      <w:r>
        <w:t xml:space="preserve">Así lo ha expuesto este viernes la directora gerente del FMI, Kristalina Georgieva, en un discurso titulado “Enfrentando la crisis: prioridades para la economía global” en el que ha recordado que </w:t>
      </w:r>
      <w:r>
        <w:rPr>
          <w:u w:val="single"/>
        </w:rPr>
        <w:t>el fondo dispone de un billón de dólares (0,92 billones de euros) en préstamos a disposición de los países afectados…</w:t>
      </w:r>
    </w:p>
    <w:p w:rsidR="00DA27AD" w:rsidRDefault="00DA27AD" w:rsidP="00DA27AD">
      <w:pPr>
        <w:pStyle w:val="NormalWeb"/>
        <w:jc w:val="both"/>
        <w:textAlignment w:val="baseline"/>
      </w:pPr>
      <w:r>
        <w:t xml:space="preserve">- </w:t>
      </w:r>
      <w:r>
        <w:rPr>
          <w:u w:val="single"/>
        </w:rPr>
        <w:t>La financiación monetaria ya está aquí</w:t>
      </w:r>
      <w:r>
        <w:t xml:space="preserve"> (Project Syndicate - </w:t>
      </w:r>
      <w:r>
        <w:rPr>
          <w:b/>
        </w:rPr>
        <w:t>20/4/20</w:t>
      </w:r>
      <w:r>
        <w:t>)</w:t>
      </w:r>
    </w:p>
    <w:p w:rsidR="00DA27AD" w:rsidRDefault="00DA27AD" w:rsidP="00DA27AD">
      <w:pPr>
        <w:pStyle w:val="NormalWeb"/>
        <w:jc w:val="both"/>
        <w:textAlignment w:val="baseline"/>
        <w:rPr>
          <w:b/>
          <w:color w:val="FF0000"/>
          <w:u w:val="single"/>
        </w:rPr>
      </w:pPr>
      <w:r>
        <w:t xml:space="preserve">Londres.- </w:t>
      </w:r>
      <w:r>
        <w:rPr>
          <w:b/>
          <w:color w:val="FF0000"/>
          <w:u w:val="single"/>
        </w:rPr>
        <w:t>En respuesta a la pandemia por el COVID-19, la Reserva Federal de Estados Unidos comprará cantidades ilimitadas de bonos del Tesoro, el Banco de Inglaterra comprará 200.000 millones de libras (250.000 millones de dólares) de bonos del Reino Unido y el Banco Central Europeo, hasta 750.000 millones de euros (815.000 millones de dólares) de bonos de la eurozona. Casi con certeza los bancos centrales terminarán ofreciendo financiación monetaria para financiar los déficits fiscales. El único interrogante es si deberían hacerlo de manera explícita.</w:t>
      </w:r>
    </w:p>
    <w:p w:rsidR="00DA27AD" w:rsidRDefault="00DA27AD" w:rsidP="00DA27AD">
      <w:pPr>
        <w:pStyle w:val="NormalWeb"/>
        <w:jc w:val="both"/>
        <w:textAlignment w:val="baseline"/>
        <w:rPr>
          <w:u w:val="single"/>
        </w:rPr>
      </w:pPr>
      <w:r>
        <w:rPr>
          <w:u w:val="single"/>
        </w:rPr>
        <w:t>La política monetaria, por sí sola, es claramente impotente en las circunstancias actuales</w:t>
      </w:r>
      <w:r>
        <w:t xml:space="preserve">. Los bancos centrales han recortado las tasas de interés políticas, y las compras de bonos están deprimiendo los rendimientos a largo plazo. Pero </w:t>
      </w:r>
      <w:r>
        <w:rPr>
          <w:u w:val="single"/>
        </w:rPr>
        <w:t>nadie piensa que las tasas de interés más bajas vayan a generar un mayor gasto de los consumidores o una mayor inversión de las empresas. Por el contrario, el crecimiento económico deprimido se verá compensado (de la mejor manera posible) por un mayor gasto del gobierno en atención médica, ayuda económica directa para los trabajadores despedidos y una recaudación fiscal reducida. Esto, inevitablemente, resultará en déficits fiscales sin precedentes.</w:t>
      </w:r>
    </w:p>
    <w:p w:rsidR="00DA27AD" w:rsidRDefault="00DA27AD" w:rsidP="00DA27AD">
      <w:pPr>
        <w:pStyle w:val="NormalWeb"/>
        <w:jc w:val="both"/>
        <w:textAlignment w:val="baseline"/>
        <w:rPr>
          <w:color w:val="FF0000"/>
          <w:u w:val="single"/>
        </w:rPr>
      </w:pPr>
      <w:r>
        <w:rPr>
          <w:color w:val="FF0000"/>
          <w:u w:val="single"/>
        </w:rPr>
        <w:t xml:space="preserve">En teoría, financiar esos déficits vendiendo bonos del gobierno podría hacer aumentar los rendimientos de los bonos, compensando potencialmente el efecto de estímulo. Pero si los </w:t>
      </w:r>
      <w:r>
        <w:rPr>
          <w:color w:val="FF0000"/>
          <w:u w:val="single"/>
        </w:rPr>
        <w:lastRenderedPageBreak/>
        <w:t>bancos centrales compran bonos y deprimen los rendimientos, los gobiernos pueden endeudarse hasta donde haga falta a tasas de interés mínimas…</w:t>
      </w:r>
    </w:p>
    <w:p w:rsidR="00DA27AD" w:rsidRDefault="00DA27AD" w:rsidP="00DA27AD">
      <w:pPr>
        <w:pStyle w:val="NormalWeb"/>
        <w:jc w:val="both"/>
        <w:textAlignment w:val="baseline"/>
        <w:rPr>
          <w:b/>
        </w:rPr>
      </w:pPr>
      <w:r>
        <w:rPr>
          <w:b/>
        </w:rPr>
        <w:t>Para hacerla corta (la verdad de la milanesa): la globalización no ha servido para evitar las “crisis de oferta” (como se demostró en el tsunami de Japón, y durante el tiempo que China cerró su economía por el Covid 19, con el corte de las líneas de abastecimiento de suministros y productos elaborados), no ha servido para evitar la “crisis financiara” (por el contrario expandió los efectos de la las hipotecas subprime de USA, al resto del mundo), y finalmente (por ahora), no ha servido para acotar el alcance de una “crisis sanitaria” que se inició en China y que por acción (tráfico de mercancías y personas), u omisión (ocultación de la información y negación de la evidencia) se extendió al mundo.</w:t>
      </w:r>
    </w:p>
    <w:p w:rsidR="00DA27AD" w:rsidRDefault="00DA27AD" w:rsidP="00DA27AD">
      <w:pPr>
        <w:pStyle w:val="NormalWeb"/>
        <w:jc w:val="both"/>
        <w:textAlignment w:val="baseline"/>
        <w:rPr>
          <w:b/>
        </w:rPr>
      </w:pPr>
      <w:r>
        <w:rPr>
          <w:b/>
        </w:rPr>
        <w:t>¿Alguna vez, esos grandes “think tank” que hacen lobby en los pasillos del Congreso de EEUU o del Parlamento Europeo, calcularán el costo de estos “desaguisados” a nivel mundial, para contraponerlo a los beneficios (supuestos) de la globalización?</w:t>
      </w:r>
    </w:p>
    <w:p w:rsidR="00DA27AD" w:rsidRDefault="00DA27AD" w:rsidP="00DA27AD">
      <w:pPr>
        <w:pStyle w:val="NormalWeb"/>
        <w:jc w:val="both"/>
        <w:textAlignment w:val="baseline"/>
        <w:rPr>
          <w:b/>
        </w:rPr>
      </w:pPr>
      <w:r>
        <w:rPr>
          <w:b/>
        </w:rPr>
        <w:t>¿Interesará en las prestigiosas universidades de la “Ivy leage”: Harvard, Yale, Cornell, Princeton, Darmouth College, Pensilvania, Columbia, Brown, Chicago, hacer balance? ¿Querrán los académicos de Oxford, Cambridge, London School of Economics, MIT, Stanford, Georgetown, presidir un equipo de investigación al respecto?</w:t>
      </w:r>
    </w:p>
    <w:p w:rsidR="00DA27AD" w:rsidRDefault="00DA27AD" w:rsidP="00DA27AD">
      <w:pPr>
        <w:pStyle w:val="NormalWeb"/>
        <w:jc w:val="both"/>
        <w:textAlignment w:val="baseline"/>
        <w:rPr>
          <w:b/>
        </w:rPr>
      </w:pPr>
      <w:r>
        <w:rPr>
          <w:b/>
        </w:rPr>
        <w:t xml:space="preserve">¿Leeremos alguna vez un “sesudo” informe de los Organismos Internacionales: Banco Mundial, Fondo Monetario Internacional, Banco de Pagos Internacionales, OCDE…,  de los centros de poder: World Economic Forum, Club Bilderberg, Council on Foreign Relations, Trilateral Commission…, o de los miembros del establishment: Cato Institute, Heritage Foundation… con el cálculo del costo/beneficio, a nivel macroeconómico, de la era de la globalización? ¿Todo el dinero que costó el “invento”? </w:t>
      </w:r>
    </w:p>
    <w:p w:rsidR="00DA27AD" w:rsidRDefault="00DA27AD" w:rsidP="00DA27AD">
      <w:pPr>
        <w:pStyle w:val="NormalWeb"/>
        <w:jc w:val="both"/>
        <w:textAlignment w:val="baseline"/>
        <w:rPr>
          <w:b/>
        </w:rPr>
      </w:pPr>
      <w:r>
        <w:rPr>
          <w:b/>
        </w:rPr>
        <w:t xml:space="preserve">¿Veremos -por fin- a la globalización… “hundida” (y no solo, “tocada”)? ¡Oremos!… </w:t>
      </w:r>
    </w:p>
    <w:p w:rsidR="00DA27AD" w:rsidRDefault="00DA27AD" w:rsidP="00DA27AD">
      <w:pPr>
        <w:pStyle w:val="NormalWeb"/>
        <w:jc w:val="both"/>
        <w:textAlignment w:val="baseline"/>
        <w:rPr>
          <w:b/>
        </w:rPr>
      </w:pPr>
      <w:r>
        <w:rPr>
          <w:b/>
        </w:rPr>
        <w:t>A modo de final: contra el tiempo que me toca vivir</w:t>
      </w:r>
    </w:p>
    <w:p w:rsidR="00DA27AD" w:rsidRDefault="00DA27AD" w:rsidP="00DA27AD">
      <w:pPr>
        <w:pStyle w:val="NormalWeb"/>
        <w:jc w:val="both"/>
        <w:textAlignment w:val="baseline"/>
        <w:rPr>
          <w:b/>
        </w:rPr>
      </w:pPr>
      <w:r>
        <w:rPr>
          <w:b/>
        </w:rPr>
        <w:t xml:space="preserve">Un mensaje dirigido, tal vez, a todos aquellos que peleábamos por un mundo mejor y diferente, hasta que descubrimos que ni era mejor ni menos aún diferente. </w:t>
      </w:r>
    </w:p>
    <w:p w:rsidR="00DA27AD" w:rsidRDefault="00DA27AD" w:rsidP="00DA27AD">
      <w:pPr>
        <w:pStyle w:val="NormalWeb"/>
        <w:jc w:val="both"/>
        <w:textAlignment w:val="baseline"/>
        <w:rPr>
          <w:b/>
        </w:rPr>
      </w:pPr>
      <w:r>
        <w:rPr>
          <w:b/>
        </w:rPr>
        <w:t>Resulta desalentador referirse a las consecuencias de la crisis sanitaria (irresuelta), que sumada a las consecuencias de la crisis financiera (que sigue coleando, desde el año 2008), dejan el lamentable balance de al menos, dos generaciones perdidas.</w:t>
      </w:r>
    </w:p>
    <w:p w:rsidR="00DA27AD" w:rsidRDefault="00DA27AD" w:rsidP="00DA27AD">
      <w:pPr>
        <w:pStyle w:val="NormalWeb"/>
        <w:jc w:val="both"/>
        <w:textAlignment w:val="baseline"/>
        <w:rPr>
          <w:b/>
        </w:rPr>
      </w:pPr>
      <w:r>
        <w:rPr>
          <w:b/>
        </w:rPr>
        <w:t>La crisis no se va a llevar por delante a los jóvenes, que ya vivían en un mundo peor y con menos oportunidades que el que sacrificó la crisis de 2008. Esa generación, que ahora transita entre los 35 y los 45 años, arrastra en la incertidumbre a la siguiente, los millennial, que se encuentran en muchos casos sobre formados y preparados para un mercado de trabajo que apenas tiene huecos para ellos.</w:t>
      </w:r>
    </w:p>
    <w:p w:rsidR="00DA27AD" w:rsidRDefault="00DA27AD" w:rsidP="00DA27AD">
      <w:pPr>
        <w:pStyle w:val="NormalWeb"/>
        <w:jc w:val="both"/>
        <w:textAlignment w:val="baseline"/>
        <w:rPr>
          <w:b/>
        </w:rPr>
      </w:pPr>
      <w:r>
        <w:rPr>
          <w:b/>
        </w:rPr>
        <w:t xml:space="preserve">Pero es que además de llevarse a los más jóvenes por delante, también ha alterado la vida de los jubilados. Si en la década que acaba de terminar muchos tuvieron que estirar sus pensiones y renunciar a su bienestar para rescatar a sus familiares, el horizonte inmediato nos hace ver que de nuevo van a tener que sacrificarse para evitar </w:t>
      </w:r>
      <w:r>
        <w:rPr>
          <w:b/>
        </w:rPr>
        <w:lastRenderedPageBreak/>
        <w:t>que la pobreza conquiste irremediablemente a quienes de nuevo se queden en la cuneta. La familia será refugio una vez más en los tiempos de penuria que se asoman.</w:t>
      </w:r>
    </w:p>
    <w:p w:rsidR="00DA27AD" w:rsidRDefault="00DA27AD" w:rsidP="00DA27AD">
      <w:pPr>
        <w:pStyle w:val="NormalWeb"/>
        <w:jc w:val="both"/>
        <w:textAlignment w:val="baseline"/>
        <w:rPr>
          <w:b/>
        </w:rPr>
      </w:pPr>
      <w:r>
        <w:rPr>
          <w:b/>
        </w:rPr>
        <w:t xml:space="preserve">Resulta patético tener que escribir a unos jóvenes ninguneados, tanto como su generación, a los que apenas nadie conoce. </w:t>
      </w:r>
    </w:p>
    <w:p w:rsidR="00DA27AD" w:rsidRDefault="00DA27AD" w:rsidP="00DA27AD">
      <w:pPr>
        <w:pStyle w:val="NormalWeb"/>
        <w:jc w:val="both"/>
        <w:textAlignment w:val="baseline"/>
        <w:rPr>
          <w:b/>
        </w:rPr>
      </w:pPr>
      <w:r>
        <w:rPr>
          <w:b/>
        </w:rPr>
        <w:t>Los que se animen a salir a la calle, a iniciar la lucha por la vida, tendrán, tal vez, que recorrer media Europa ejerciendo los oficios más variopintos, los de la supervivencia, para intentar entre unos y otros lograr lo (casi) imposible, ser menos pobres que sus padres. Tendrán que hacer enormes esfuerzos para escapar del patio de menesterosos.</w:t>
      </w:r>
    </w:p>
    <w:p w:rsidR="00DA27AD" w:rsidRDefault="00DA27AD" w:rsidP="00DA27AD">
      <w:pPr>
        <w:pStyle w:val="NormalWeb"/>
        <w:jc w:val="both"/>
        <w:textAlignment w:val="baseline"/>
        <w:rPr>
          <w:b/>
        </w:rPr>
      </w:pPr>
      <w:r>
        <w:rPr>
          <w:b/>
        </w:rPr>
        <w:t>Tienen todo en su contra, menos su preparación y su juventud. En ustedes está, seguir en el “pesebre”, esperando la sopa boba de la “paguita” gubernamental, para estómagos agradecidos, o “despertar”, con todo lo malo que ello acarrea.</w:t>
      </w:r>
    </w:p>
    <w:p w:rsidR="00DA27AD" w:rsidRDefault="00DA27AD" w:rsidP="00DA27AD">
      <w:pPr>
        <w:pStyle w:val="NormalWeb"/>
        <w:jc w:val="both"/>
        <w:textAlignment w:val="baseline"/>
        <w:rPr>
          <w:b/>
        </w:rPr>
      </w:pPr>
      <w:r>
        <w:rPr>
          <w:b/>
        </w:rPr>
        <w:t>Espero, y deseo, si los FAANG no los han “abducido” (anestesiado) demasiado, que puedan pensar y actuar, antes que sea demasiado tarde. No para las generaciones pasadas (perdidas, por activa y pasiva), sino para ustedes mismos (antes de perderse definitivamente). A pesar del hastío causado por una política que está por debajo de lo exigible, del oportunismo demagógico, la manipulación, intoxicación, o sectarismo…</w:t>
      </w:r>
    </w:p>
    <w:p w:rsidR="00DA27AD" w:rsidRDefault="00DA27AD" w:rsidP="00DA27AD">
      <w:pPr>
        <w:pStyle w:val="NormalWeb"/>
        <w:jc w:val="both"/>
        <w:textAlignment w:val="baseline"/>
        <w:rPr>
          <w:b/>
        </w:rPr>
      </w:pPr>
      <w:r>
        <w:rPr>
          <w:b/>
        </w:rPr>
        <w:t xml:space="preserve">Hay que volver a construir la escalera social, no se deben dejar robar el futuro, no deben aceptar (como un hecho de la naturaleza) ser más pobres que sus padres, no deben ser mendicantes de una “limosna” oficial, no deben aceptar el destino de ser esclavos felices, no deben tragarse la verdad oficial, no deben aplaudir al idiota político de turno para que les tire algunas migajas, no deben aceptar como irreversible el destino de ser trabajadores de usar y tirar (precarios, temporales, falsos autónomos…).    </w:t>
      </w:r>
    </w:p>
    <w:p w:rsidR="00DA27AD" w:rsidRPr="00CA3040" w:rsidRDefault="00DA27AD" w:rsidP="00DA27AD">
      <w:pPr>
        <w:spacing w:line="240" w:lineRule="auto"/>
        <w:jc w:val="both"/>
        <w:rPr>
          <w:rFonts w:ascii="Times New Roman" w:hAnsi="Times New Roman" w:cs="Times New Roman"/>
          <w:b/>
          <w:color w:val="FF0000"/>
          <w:sz w:val="24"/>
          <w:szCs w:val="24"/>
        </w:rPr>
      </w:pPr>
      <w:r w:rsidRPr="00CA3040">
        <w:rPr>
          <w:rFonts w:ascii="Times New Roman" w:hAnsi="Times New Roman" w:cs="Times New Roman"/>
          <w:b/>
          <w:color w:val="FF0000"/>
          <w:sz w:val="24"/>
          <w:szCs w:val="24"/>
        </w:rPr>
        <w:t xml:space="preserve">(Febrero 2022) La Unión Europea, atrapada entre la pandemia y la guerra </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 surgiendo un nuevo mundo. La esperanza de unas relaciones pacíficas se desvanece. Tal vez, haya llegado el momento en el que la Unión Europea deba resolver qué quiere ser de mayor (en la oscuridad puede que hayan pasado a verse mejor).</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gran paradoja de la guerra de Ucrania es que la Unión Europea y la OTAN vayan a salvarse y a resultar reforzadas gracias a las agresiones de Putin. La combinación de conflicto, crisis de suministros y alta inflación es inevitablemente desestabilizadora.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hay mayor villanía que ignorar el sufrimiento de la gente”, decía </w:t>
      </w:r>
      <w:r w:rsidRPr="00CA3040">
        <w:rPr>
          <w:rStyle w:val="Textoennegrita"/>
          <w:rFonts w:ascii="Times New Roman" w:hAnsi="Times New Roman" w:cs="Times New Roman"/>
          <w:b w:val="0"/>
          <w:sz w:val="24"/>
          <w:szCs w:val="24"/>
          <w:shd w:val="clear" w:color="auto" w:fill="FFFFFF"/>
        </w:rPr>
        <w:t>Pavese</w:t>
      </w:r>
      <w:r>
        <w:rPr>
          <w:rFonts w:ascii="Times New Roman" w:hAnsi="Times New Roman" w:cs="Times New Roman"/>
          <w:sz w:val="24"/>
          <w:szCs w:val="24"/>
          <w:shd w:val="clear" w:color="auto" w:fill="FFFFFF"/>
        </w:rPr>
        <w:t>. Ni mayor error. Los líderes europeos se muestran ajenos a la general penuria. “Nos trata(n) como bultos de un árbol hueco”, diría </w:t>
      </w:r>
      <w:r w:rsidRPr="00CA3040">
        <w:rPr>
          <w:rStyle w:val="Textoennegrita"/>
          <w:rFonts w:ascii="Times New Roman" w:hAnsi="Times New Roman" w:cs="Times New Roman"/>
          <w:b w:val="0"/>
          <w:sz w:val="24"/>
          <w:szCs w:val="24"/>
          <w:shd w:val="clear" w:color="auto" w:fill="FFFFFF"/>
        </w:rPr>
        <w:t>Turgeniev</w:t>
      </w:r>
      <w:r>
        <w:rPr>
          <w:rFonts w:ascii="Times New Roman" w:hAnsi="Times New Roman" w:cs="Times New Roman"/>
          <w:sz w:val="24"/>
          <w:szCs w:val="24"/>
          <w:shd w:val="clear" w:color="auto" w:fill="FFFFFF"/>
        </w:rPr>
        <w:t>. El estrépito de los precios todo lo eclipsa.  Tanta mentira, tanto engaño, tanta trola empieza a pasar factura.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Primero la pandemia del Covid y enseguida la invasión de Ucrania han impulsado avances en la Unión Europea de importancia decisiva, en áreas inexploradas como la sanidad o bloqueadas por la regla impuesta de la unanimidad para la adoptar decisiones, como en el caso de la política exterior, defensa, migraciones, y de últimas, energía, ecología y alimentos.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cuanto a la Alianza Atlántica, en muerte cerebral según diagnóstico del presidente francés, Emmanuel Macron, y sumida en la abominación por el anterior presidente norteamericano, Donald Trump, los blindados avanzando sobre los campos y los aviones bombardeando las </w:t>
      </w:r>
      <w:r>
        <w:rPr>
          <w:rFonts w:ascii="Times New Roman" w:hAnsi="Times New Roman" w:cs="Times New Roman"/>
          <w:sz w:val="24"/>
          <w:szCs w:val="24"/>
          <w:shd w:val="clear" w:color="auto" w:fill="FFFFFF"/>
        </w:rPr>
        <w:lastRenderedPageBreak/>
        <w:t>ciudades de Ucrania han logrado despertarla del coma y que dejara de cuestionarse la revisión de su concepto estratégico, al percibir el estímulo infalible de la agresión armada.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situación actual (febrero/marzo 2022) puede ser un buen punto de partida y una oportunidad para replantearse nuestro actual modelo energético y de alimentación. “Europa ha cambiado bajo el impacto de la pandemia. Cambiará más rápido y más fuerte bajo el impacto de la guerra”. Con estas palabras, Emmanuel Macron inició la cumbre informal de dos días de jefes de Estado y de Gobierno de la Unión Europea, en Versalles (10 y 11 de marzo 2022). No le falta razón, la invasión de Ucrania hace la transformación del modelo económico en Europa más urgente y más pertinente que nunca.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“montaña” de dinero, según los datos disponibles a mayo de 2022</w:t>
      </w:r>
    </w:p>
    <w:p w:rsidR="00DA27AD" w:rsidRDefault="00DA27AD" w:rsidP="00DA27AD">
      <w:pPr>
        <w:spacing w:line="240" w:lineRule="auto"/>
        <w:jc w:val="both"/>
        <w:rPr>
          <w:rFonts w:ascii="Times New Roman" w:hAnsi="Times New Roman" w:cs="Times New Roman"/>
          <w:sz w:val="24"/>
          <w:szCs w:val="24"/>
        </w:rPr>
      </w:pPr>
      <w:r>
        <w:rPr>
          <w:noProof/>
          <w:lang w:eastAsia="es-ES"/>
        </w:rPr>
        <w:drawing>
          <wp:inline distT="0" distB="0" distL="0" distR="0" wp14:anchorId="78270736" wp14:editId="0C4C88F9">
            <wp:extent cx="5734050" cy="2260600"/>
            <wp:effectExtent l="0" t="0" r="0" b="6350"/>
            <wp:docPr id="133" name="Imagen 133" descr="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Bancos centrales"/>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34050" cy="2260600"/>
                    </a:xfrm>
                    <a:prstGeom prst="rect">
                      <a:avLst/>
                    </a:prstGeom>
                    <a:noFill/>
                    <a:ln>
                      <a:noFill/>
                    </a:ln>
                  </pic:spPr>
                </pic:pic>
              </a:graphicData>
            </a:graphic>
          </wp:inline>
        </w:drawing>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¿Banqueros o magos?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Año 2020. Una pandemia como no se recuerda ha paralizado la vida tal y como la conocíamos. En medio de la tragedia que viven millones de personas en todo el mundo, la economía queda congelada a medida que se aplican unos hasta ese momento impensables confinamientos. Los bancos centrales dan un paso al frente y se comprometen a sostener la economía. El PIB se desploma, pero aumenta enormemente la cantidad de dinero.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porcentajes y las cifras varían, pero la historia se repite en casi todo el mundo. En el caso del Eurosistema, el balance de los bancos centrales europeos creció en 2,32 billones de euros, repuntando un 50% en 2020 hasta un total de 6,97 billones. En el de la Reserva Federal, el incremento del balance fue de 3,16 billones de dólares. Un alza del 76% en un año, hasta fijar el balance en los 7,33 billones de dólares.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histórico engorde del balance de los bancos centrales propició que 2020 fuera el año en el que más dinero se creó en cinco décadas. Según datos del FMI, la suma de las deudas de los hogares, de las empresas no financieras y de los Gobiernos a nivel mundial alcanzó los 28 billones de dólares, hasta dejar el total en 226 billones, o lo que era lo mismo, el 256% del PIB mundial. Pero hasta en esto hay clases. En concreto, según el FMI, el 90% del aumento de deuda de 2020 se produjo en las economías avanzadas y China. Aquellos que pudieron recurrir a sus bancos centrales.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Fuentes con conocimiento en cuestiones monetarias</w:t>
      </w:r>
      <w:r w:rsidR="00CA3040">
        <w:rPr>
          <w:rFonts w:ascii="Times New Roman" w:hAnsi="Times New Roman" w:cs="Times New Roman"/>
          <w:sz w:val="24"/>
          <w:szCs w:val="24"/>
        </w:rPr>
        <w:t xml:space="preserve"> </w:t>
      </w:r>
      <w:r>
        <w:rPr>
          <w:rFonts w:ascii="Times New Roman" w:hAnsi="Times New Roman" w:cs="Times New Roman"/>
          <w:sz w:val="24"/>
          <w:szCs w:val="24"/>
        </w:rPr>
        <w:t xml:space="preserve">recuerdan el alto precio que puede tener inyectar dinero en demasía. No se puede crear producción por decreto. El backup del dinero </w:t>
      </w:r>
      <w:r>
        <w:rPr>
          <w:rFonts w:ascii="Times New Roman" w:hAnsi="Times New Roman" w:cs="Times New Roman"/>
          <w:sz w:val="24"/>
          <w:szCs w:val="24"/>
        </w:rPr>
        <w:lastRenderedPageBreak/>
        <w:t>es la producción real de la economía Estrictamente hablando el valor de una moneda está respaldada por algo real, no somos magos. No basta con imprimir dinero para ser más ricos.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Bruselas suspende las reglas de déficit y deuda también en 2023 por la guerra en Ucrania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Pacto de Estabilidad, que obliga a los países de la eurozona a rebajar el déficit y la deuda pública, seguirá suspendido también en 2023 por cuarto año consecutivo. La Comisión Europea ha decidido por “consenso” mantener activada la denominada “cláusula de escape” debido al impacto económico de la guerra en Ucrania, según confirman a este periódico fuentes comunitarias”...</w:t>
      </w:r>
      <w:r w:rsidR="00CA3040">
        <w:rPr>
          <w:rFonts w:ascii="Times New Roman" w:hAnsi="Times New Roman" w:cs="Times New Roman"/>
          <w:sz w:val="24"/>
          <w:szCs w:val="24"/>
        </w:rPr>
        <w:t xml:space="preserve"> </w:t>
      </w:r>
      <w:r>
        <w:rPr>
          <w:rFonts w:ascii="Times New Roman" w:hAnsi="Times New Roman" w:cs="Times New Roman"/>
          <w:sz w:val="24"/>
          <w:szCs w:val="24"/>
        </w:rPr>
        <w:t xml:space="preserve">(El Español - </w:t>
      </w:r>
      <w:r>
        <w:rPr>
          <w:rFonts w:ascii="Times New Roman" w:hAnsi="Times New Roman" w:cs="Times New Roman"/>
          <w:b/>
          <w:sz w:val="24"/>
          <w:szCs w:val="24"/>
        </w:rPr>
        <w:t>19/5/22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objetivo es dejar margen de maniobra a los Gobiernos nacionales para que puedan recurrir al gasto público con el fin de salir al rescate de los hogares y las empresas más golpeadas por el conflicto. La prórroga de la “cláusula de escape” -que se activó por primera vez en la historia en marzo de 2020 en respuesta a la pandemia- había sido reclamada por el Gobierno de Pedro Sánchez. Pero también cuenta con el apoyo de los “frugales” como Holanda.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decisión de mantener en suspenso las reglas de déficit y deuda se adoptó en la reunión del colegio de comisarios de este miércoles y se formalizará el próximo lunes 23 de mayo. Ese día, Bruselas tiene previsto presentar además sus recomendaciones de política económica para España y el resto de Estados miembros en 2022-2023.</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Aunque se mantenga la “cláusula de escape”, el Ejecutivo comunitario reclamará a los países con alta deuda (como España, Italia o Grecia), que el aumento del gasto corriente sea inferior a su tasa de crecimiento potencial, según ha adelantado el periódico Financial Times.</w:t>
      </w:r>
    </w:p>
    <w:p w:rsidR="00DA27AD" w:rsidRDefault="00DA27AD" w:rsidP="00DA27AD">
      <w:pPr>
        <w:spacing w:after="36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Otra vez “la burra al trigo”: el BCE estudia cómo sorber y soplar a la vez</w:t>
      </w:r>
    </w:p>
    <w:p w:rsidR="00DA27AD" w:rsidRDefault="00DA27AD" w:rsidP="00DA27AD">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“El BCE continúa sin dar detalles de cómo será la nueva herramienta que prepara para prevenir futuras crisis de deuda y que previsiblemente presente en la reunión del 21 de julio. La única certeza es su compromiso en evitar que se desmanden las primas de riesgo y su propósito de que ese nuevo instrumento no interfiera en la lucha contra la inflación, según afirmó ayer el vicepresidente del BCE, Luis de Guindos. ¿Pero cómo sorber y soplar a la vez? ¿Cómo enfriar la economía subiendo tipos y a la vez inyectar más liquidez con nuevas compras de deuda?”… (Cinco Días - </w:t>
      </w:r>
      <w:r>
        <w:rPr>
          <w:rFonts w:ascii="Times New Roman" w:eastAsia="Times New Roman" w:hAnsi="Times New Roman" w:cs="Times New Roman"/>
          <w:b/>
          <w:sz w:val="24"/>
          <w:szCs w:val="24"/>
          <w:lang w:eastAsia="es-ES"/>
        </w:rPr>
        <w:t>23/6/22</w:t>
      </w:r>
      <w:r>
        <w:rPr>
          <w:rFonts w:ascii="Times New Roman" w:eastAsia="Times New Roman" w:hAnsi="Times New Roman" w:cs="Times New Roman"/>
          <w:sz w:val="24"/>
          <w:szCs w:val="24"/>
          <w:lang w:eastAsia="es-ES"/>
        </w:rPr>
        <w:t>)</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respuesta al dilema está en la esterilización de las compras de deuda, en el drenaje de la liquidez inyectada con esas adquisiciones, según señalan los expertos. Y el punto de partida no puede ser más desafiante: el exceso de liquidez de la banca europea ha alcanzado después de años de incesantes estímulos, y en especial a raíz de la pandemia, el récord de 4,62 billones de euros alcanzado este mes de junio. Según el último dato diario, ahora se sitúa en los 4,48 billones de euros.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Tan elevada cuantía es el sobrante de efectivo del que disponen las entidades financieras de la zona euro una vez cumplidas las reservas mínimas con las que garantizar la demanda de dinero de sus clientes. Una liquidez que está aparcada y que tendrá que empezar a descender dentro del proceso de normalización monetaria que va a iniciar el banco central.</w:t>
      </w:r>
    </w:p>
    <w:p w:rsidR="00DA27AD" w:rsidRDefault="00DA27AD" w:rsidP="00D65ABE">
      <w:pPr>
        <w:spacing w:line="240" w:lineRule="auto"/>
        <w:jc w:val="both"/>
        <w:rPr>
          <w:rFonts w:ascii="Times New Roman" w:hAnsi="Times New Roman"/>
          <w:b/>
          <w:sz w:val="24"/>
          <w:szCs w:val="24"/>
        </w:rPr>
      </w:pPr>
      <w:r>
        <w:rPr>
          <w:noProof/>
          <w:lang w:eastAsia="es-ES"/>
        </w:rPr>
        <w:lastRenderedPageBreak/>
        <w:drawing>
          <wp:inline distT="0" distB="0" distL="0" distR="0" wp14:anchorId="68C37B35" wp14:editId="2E5A89E7">
            <wp:extent cx="5731510" cy="3141858"/>
            <wp:effectExtent l="0" t="0" r="2540" b="1905"/>
            <wp:docPr id="145" name="Imagen 145" descr="Liquidez b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descr="Liquidez banca"/>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31510" cy="3141858"/>
                    </a:xfrm>
                    <a:prstGeom prst="rect">
                      <a:avLst/>
                    </a:prstGeom>
                    <a:noFill/>
                    <a:ln>
                      <a:noFill/>
                    </a:ln>
                  </pic:spPr>
                </pic:pic>
              </a:graphicData>
            </a:graphic>
          </wp:inline>
        </w:drawing>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lo pronto, los bancos han decidido devolver de forma anticipada 75.000 millones de euros de la liquidez de las rondas TLTRO en la ventana de la que disponen a finales de este mes. De hecho, hoy 23 de junio finalizan las condiciones especiales aplicables a estas líneas de financiación TLTRO III, activadas con la pandemia y que han concedido una bonificación del 1% a los bancos que destinaran esa liquidez a la concesión de crédito. Esa lluvia de financiación bonificada -con una petición récord de 1,3 billones en la subasta de junio de 2020- ha sido el germen imparable para llevar el exceso de liquidez del sistema a los actuales niveles.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explica José Manuel Amor, analista de AFI, “en el momento en que se acaban las líneas TLTRO III, lo lógico es que los bancos devuelvan de forma anticipada la liquidez que no van a utilizar y que con la subida de tipos les va a costar más”. Así, la tasa de la facilidad de depósito, donde en la actualidad hay aparcados 593.273 millones de euros, subirá ya en julio desde el -0,5% al -0,25% y en septiembre es muy probable que esté al 0,25%.</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amortización de las líneas de liquidez TLTRO será una de las vías del BCE para ir reduciendo su balance, según explica Amor. Una alternativa de drenar liquidez ante las eventuales compras que realice con la nueva herramienta antifragmentación. Para Frederick Ducrozet, director de análisis macroeconómico de Pictet WM, “es previsible la esterilización de compras de bonos, drenando liquidez de otras partes del sistema monetario en la misma cantidad. Esto último es “políticamente correcto”, aunque su aplicación real puede ser más difícil en un contexto de exceso de liquidez”.</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BCE ya recurrió en el pasado a la esterilización de sus compras de deuda. Fue con el programa SMP (Securities Markets Programme), lanzado en mayo de 2010 y diseñado como una fórmula con la que actuar de forma puntual en el mercado sin elevar los niveles agregados de liquidez. Así, las compras de deuda quedaban neutralizadas con la emisión por parte del BCE de depósitos a corto plazo suscritos por los bancos. “El BCE puede encontrar la manera de ofrecer préstamos a los bancos a tipos de interés mayores o incluso emitir los certificados de deuda que sus estatutos le permiten”, apunta Ducrozet.</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Otra fórmula de drenar liquidez sería vender deuda de países sin tensión en sus bonos soberanos, aunque se trata de una medida más polémica y podría plantear agravios </w:t>
      </w:r>
      <w:r>
        <w:rPr>
          <w:rFonts w:ascii="Times New Roman" w:eastAsia="Times New Roman" w:hAnsi="Times New Roman" w:cs="Times New Roman"/>
          <w:sz w:val="24"/>
          <w:szCs w:val="24"/>
          <w:lang w:eastAsia="es-ES"/>
        </w:rPr>
        <w:lastRenderedPageBreak/>
        <w:t>comparativos de difícil encaje político. “El BCE tiene que asustar, plantear algo que ni siquiera tenga que llegar a usar”, afirma Amor. Un instrumento que no tenga cuantía tope de entrada.</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Ducrozet calcula que el BCE podría disponer de 10.000 millones de euros al mes para la compra de bonos de países periféricos con la reinversión de activos del programa PEPP. Sin embargo, la refinanciación de deuda italiana del resto del año ya es el doble de tal cantidad, con lo que en caso de fragmentación severa de la deuda, la reinversión del PEPP no sería de ningún modo suficiente y exige al banco central ir más allá. “Si el BCE presenta una herramienta creíble contra la fragmentación, es posible que al final no tenga que gastar un solo euro”, añade.</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Algunos comentarios escritos en octubre 2021 (cuando</w:t>
      </w:r>
      <w:r w:rsidR="00CA3040">
        <w:rPr>
          <w:rFonts w:ascii="Times New Roman" w:hAnsi="Times New Roman" w:cs="Times New Roman"/>
          <w:b/>
          <w:sz w:val="24"/>
          <w:szCs w:val="24"/>
        </w:rPr>
        <w:t xml:space="preserve"> </w:t>
      </w:r>
      <w:r>
        <w:rPr>
          <w:rFonts w:ascii="Times New Roman" w:hAnsi="Times New Roman" w:cs="Times New Roman"/>
          <w:b/>
          <w:sz w:val="24"/>
          <w:szCs w:val="24"/>
        </w:rPr>
        <w:t>“estábamos mal, pero íbamos mejor” -sic-)</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“plañideras” de los bancos centrales (ofrecen sus lágrimas a cambio de -nuestro- dinero, acudiendo al funeral de una economía, que no conocen, ni padecen)</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responsables de la formulación de políticas no deberían haber sido tomados por sorpresa por el aumento de los precios y la escasez de bienes y mano de obra. Prácticamente toda la agenda pospandémica se basa en políticas que avivan la demanda y desalientan el trabajo, lo que hace que las limitaciones del lado de la oferta sean completamente predecibles.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Aumento de la inflación, aumento de los precios de la energía, cuellos de botella en la producción: la ortodoxia económica acaba de chocar contra una pared de la realidad llamada “oferta”.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demanda también importa, por supuesto. Si la gente quisiera comprar la mitad de lo que compra, los cuellos de botella y la escasez de hoy no se producirían. Pero la Reserva Federal y el Banco Central Europeo han impreso billones de dólares y euros nuevos, y han repartido fondos ¿“all over the world”?. La inflación no debería haber sido muy difícil de prever; y, sin embargo, ha tomado a la Fed y al BCE “aparentemente” por sorpresa.</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b/>
          <w:sz w:val="24"/>
          <w:szCs w:val="24"/>
        </w:rPr>
        <w:t xml:space="preserve">“La excusa de la Fed y el BCE es que los shocks de oferta son síntomas transitorios de demanda reprimida. Pero el trabajo de los bancos centrales es, o al menos debería ser, calibrar cuánta oferta puede ofrecer la economía y luego ajustar la demanda a ese nivel y nada más. Ser sorprendido por un problema de suministro es como si el ejército se sorprendiera por una invasión”… </w:t>
      </w:r>
      <w:r>
        <w:rPr>
          <w:rFonts w:ascii="Times New Roman" w:hAnsi="Times New Roman" w:cs="Times New Roman"/>
          <w:sz w:val="24"/>
          <w:szCs w:val="24"/>
        </w:rPr>
        <w:t xml:space="preserve">(John H. Cochrane, investigador principal de la Hoover Institution - Project Syndicate - </w:t>
      </w:r>
      <w:r>
        <w:rPr>
          <w:rFonts w:ascii="Times New Roman" w:hAnsi="Times New Roman" w:cs="Times New Roman"/>
          <w:b/>
          <w:sz w:val="24"/>
          <w:szCs w:val="24"/>
        </w:rPr>
        <w:t>22/10/21</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“sigue la fiesta” en la bolsa, y nadie “retira la ponchera”, la idea dominante en los bancos centrales hasta el momento (octubre 2021) es que la combinación de estrangulamientos productivos asociados con la pandemia y el intenso aumento de los precios energéticos, junto con el carácter fuertemente expansivo de las políticas monetarias y fiscales, está impulsando temporalmente la inflación. Según esta visión, la gradual desaparición de los cuellos de botella y de las alzas de precios de la energía y demás materias primas terminará reorientando el ritmo de crecimiento de los precios hacia las expectativas de inflación a largo plazo consistentes con los objetivos de inflación de los bancos centrales.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En mi humilde opinión, la visión de las autoridades monetarias, es excesivamente optimista. De todos modos, queda por saber cuál será el horizonte temporal, y cuándo el índice de inflación se considerará permanente, para que las autoridades monetarias actúen en consecuencia.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¿Durante cuánto tiempo tienen que registrarse cifras elevadas de inflación para que dichas cifras no se consideren pasajeras? Por otro lado, se ha de considerar la cuestión del valor o rango de valores de la inflación cuya persistencia provocaría un cambio significativo de la política monetaria. No es lo mismo, por ejemplo, que el ritmo de inflación se estabilice alrededor de un punto por encima de los objetivos de los bancos centrales a que lo haga dos o más puntos por encima. Esto es, una inflación permanente en el entorno del 3% es menos preocupante que otra alrededor del 5%. “Y más allá… la inundación” (como dice el tango).</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cuestión interesante a dirimir no es si la inflación es pasajera o permanente sino cuándo y, sobre todo, cuánto tendrán que subir los tipos de interés para reconducir la inflación hasta niveles cercanos a los objetivos de los bancos centrales.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¿Serán capaces de “retirar la ponchera” en la “fiesta de bolsa”? No lo hicieron en 1987, tampoco en  2008… ¿lo harán en 2022? Mirando por el “espejo retrovisor”, lo dudo.</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¿Sabrán los bancos centrales ayudar a la economía (real) a salir de la trampa, que ellos mismos le han montado? ¿Serán capaces de recuperar su independencia? ¿Harán bien su trabajo? ¿Podrán? ¿Querrán? ¿Les dejarán?... </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Hasta donde la vista alcanza, no se muestran muy dispuestos a “retirar la ponchera”…y avisar a los “ludópatas” de la “economía de casino”, que “se acabó la fiesta”.</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Nota (al 6/7/22), dirigida a los “países frugales” (en los que creo) y al BCE (en el que no creo), si quieren ayudar realmente a España, “no le presten más dinero”. No le sigan financiando el gasto improductivo, descontrolado, populista, demagógico, y clientelar. Exijan a España el pronto cumplimiento de los objetivos económicos del Tratado de Maastricht… “Que cada Santo aguante su vela”: es la única forma de acabar con los gobiernos “manirrotos”. Creo que el mismo “ruego” cabe, para el resto de los “pigs”.</w:t>
      </w:r>
    </w:p>
    <w:p w:rsidR="00DA27AD" w:rsidRPr="00CA3040" w:rsidRDefault="00DA27AD" w:rsidP="00DA27AD">
      <w:pPr>
        <w:spacing w:line="240" w:lineRule="auto"/>
        <w:jc w:val="both"/>
        <w:rPr>
          <w:rFonts w:ascii="Times New Roman" w:hAnsi="Times New Roman" w:cs="Times New Roman"/>
          <w:b/>
          <w:color w:val="FF0000"/>
          <w:sz w:val="24"/>
          <w:szCs w:val="24"/>
        </w:rPr>
      </w:pPr>
      <w:r w:rsidRPr="00CA3040">
        <w:rPr>
          <w:rFonts w:ascii="Times New Roman" w:hAnsi="Times New Roman" w:cs="Times New Roman"/>
          <w:b/>
          <w:color w:val="FF0000"/>
          <w:sz w:val="24"/>
          <w:szCs w:val="24"/>
        </w:rPr>
        <w:t>La Unión Europea se hace trampas en el solitario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“mensaje” de la Comisión Europea al Foro Económico Mundial (Davos), Greenpeace, Greta Thunberg, y otros “zumbados” de la “tierra plana”: “Europa acabará muerta, pero resiliente” (“la valentía es una virtud de subtenientes” - Conrad).</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“realpolitik” de la Unión Europea (gestada, parida, y arropada, por la Cancillería Federal Alemana), se demuestra absurda, tramposa y opaca, cual es norma de la casa.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 ni en el económico, ni en el social, ni en el diplomático,… Todo son titubeos y zigzagueos, manotazos de un zombi perdido en las tinieblas de un film de serie B.</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la guerra de Putin carente de razón alguna que justifique la sumisión de un país y la anexión de un territorio por la fuerza de las armas, levanta una polvareda cegadora, la Unión </w:t>
      </w:r>
      <w:r>
        <w:rPr>
          <w:rFonts w:ascii="Times New Roman" w:hAnsi="Times New Roman" w:cs="Times New Roman"/>
          <w:sz w:val="24"/>
          <w:szCs w:val="24"/>
        </w:rPr>
        <w:lastRenderedPageBreak/>
        <w:t>Europea permanece paralizada, conteniendo el aliento, incapacitada voluntariamente para enfrentarse a una multitud de acontecimientos desfavorables.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eficaz o sensata desde la Unión Europea. La Comisión eco-feminista, progre, globalista, multilateral, virtual, pragmática, pacifista, dialogante, consensual, resiliente… ha demostrado ser el artefacto más inservible de la reciente historia europea, una colección de pazguatos resentidos, gandules excelsos, ignorantes revenidos, incapaces de hilvanar una sola respuesta a la descomunal tormenta que todo lo arrasa.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Solo falta que la presidenta de la Comisión Europea Ursula von der Leyen (política, y médica alemana), en una constatación perfecta de la inutilidad, salga en “Euronews”, para anunciar que la Unión Europea: “está un peldaño más cerca de tocar fondo”.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mal del malvado siempre tiene un porqué que le beneficia a él y eso lo diferencia del mal del idiota, que es capaz de reventarlo todo sin beneficio para sí mismo. Y mientras, los europeos, continúan esperando que alguien les cuente una verdad incómoda.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 incongruente apostar por aprovisionamientos de países tan inestables (como Ucrania) o tan dictatoriales (como Rusia, o China), cuando la UE se niega a volver a la energía nuclear y los hidrocarburos, o a explotar mediante fracking unas reservas europeas que se suponen importantes, o cuando resuelve abandonar (o desalentar) las actividades agrícolas propias que le permitirían alcanzar la soberanía alimentaria? Por supuesto. Y por eso merecen el repudio.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¿Eso es realpolitik? La que no evita guerras, y reconoce un mundo que no nos conviene, pero que sí le interesa a terceros países. Los mercaderes europeos aceptan el camino de los otros.</w:t>
      </w:r>
    </w:p>
    <w:p w:rsidR="00DA27AD" w:rsidRDefault="00DA27AD" w:rsidP="00DA27AD">
      <w:pPr>
        <w:pStyle w:val="NormalWeb"/>
        <w:jc w:val="both"/>
        <w:textAlignment w:val="baseline"/>
        <w:rPr>
          <w:b/>
        </w:rPr>
      </w:pPr>
      <w:r>
        <w:rPr>
          <w:b/>
        </w:rPr>
        <w:t>El populismo pedante de unos burócratas que fingen guiarnos a través de la oscuridad</w:t>
      </w:r>
    </w:p>
    <w:p w:rsidR="00DA27AD" w:rsidRDefault="00DA27AD" w:rsidP="00DA27AD">
      <w:pPr>
        <w:pStyle w:val="NormalWeb"/>
        <w:jc w:val="both"/>
        <w:textAlignment w:val="baseline"/>
      </w:pPr>
      <w:r>
        <w:t>Complejo de inferioridad, cuando se trata de negociar (litigar, debatir, competir) con los EEUU o China… y fatua superioridad moral, cuando se trata de aplicar políticas (dogmas (paradigmas, mantras), que puedan afectar a los ciudadanos europeos. El oxímoron de los líderes europeos: ser buenos con los malos, y malos con los buenos. O sea.</w:t>
      </w:r>
    </w:p>
    <w:p w:rsidR="00DA27AD" w:rsidRPr="00CA3040" w:rsidRDefault="00DA27AD" w:rsidP="00DA27AD">
      <w:pPr>
        <w:pStyle w:val="NormalWeb"/>
        <w:jc w:val="both"/>
        <w:textAlignment w:val="baseline"/>
        <w:rPr>
          <w:b/>
          <w:shd w:val="clear" w:color="auto" w:fill="FFFFFF"/>
        </w:rPr>
      </w:pPr>
      <w:r w:rsidRPr="00CA3040">
        <w:rPr>
          <w:rStyle w:val="Textoennegrita"/>
          <w:rFonts w:eastAsiaTheme="majorEastAsia"/>
          <w:shd w:val="clear" w:color="auto" w:fill="FFFFFF"/>
        </w:rPr>
        <w:t>Nadie da un euro por la Comisión Europea. El ilusionismo barato suministrado estos años desde Bruselas ya no sirve. Esos eslóganes estúpidos, esas poses pretenciosas, esas comparecencias huecas funcionaban en tiempos apacibles</w:t>
      </w:r>
      <w:r w:rsidRPr="00CA3040">
        <w:rPr>
          <w:shd w:val="clear" w:color="auto" w:fill="FFFFFF"/>
        </w:rPr>
        <w:t>,</w:t>
      </w:r>
      <w:r w:rsidRPr="00CA3040">
        <w:rPr>
          <w:b/>
          <w:shd w:val="clear" w:color="auto" w:fill="FFFFFF"/>
        </w:rPr>
        <w:t xml:space="preserve"> cuando la ciudanía consumía, y no había crisis. Ahora Europa reclama seriedad, y </w:t>
      </w:r>
      <w:hyperlink r:id="rId162" w:tgtFrame="_blank" w:history="1">
        <w:r w:rsidRPr="00CA3040">
          <w:rPr>
            <w:rStyle w:val="Hipervnculo"/>
            <w:rFonts w:eastAsiaTheme="majorEastAsia"/>
            <w:b/>
            <w:color w:val="auto"/>
            <w:u w:val="none"/>
            <w:shd w:val="clear" w:color="auto" w:fill="FFFFFF"/>
          </w:rPr>
          <w:t>la población eleva la voz,</w:t>
        </w:r>
        <w:r w:rsidRPr="00CA3040">
          <w:rPr>
            <w:rStyle w:val="Hipervnculo"/>
            <w:rFonts w:eastAsiaTheme="majorEastAsia"/>
            <w:b/>
            <w:color w:val="auto"/>
            <w:shd w:val="clear" w:color="auto" w:fill="FFFFFF"/>
          </w:rPr>
          <w:t xml:space="preserve"> </w:t>
        </w:r>
      </w:hyperlink>
      <w:r w:rsidRPr="00CA3040">
        <w:rPr>
          <w:b/>
          <w:shd w:val="clear" w:color="auto" w:fill="FFFFFF"/>
        </w:rPr>
        <w:t>quizás esta vez con acierto. Y aunque así no sea. </w:t>
      </w:r>
      <w:r w:rsidRPr="00CA3040">
        <w:rPr>
          <w:rStyle w:val="Textoennegrita"/>
          <w:rFonts w:eastAsiaTheme="majorEastAsia"/>
          <w:shd w:val="clear" w:color="auto" w:fill="FFFFFF"/>
        </w:rPr>
        <w:t>Algo ha mudado en el tuétano de una sociedad harta</w:t>
      </w:r>
      <w:r w:rsidRPr="00CA3040">
        <w:rPr>
          <w:b/>
          <w:shd w:val="clear" w:color="auto" w:fill="FFFFFF"/>
        </w:rPr>
        <w:t> del catecismo woke, las tontadas de género (todas y todes), la cultura de la cancelación, la verborragia ecologista, el dispendio desaforado, el gasto interminable, el engaño persistente, la deuda impagable, esa profusa ineptitud que ha colocado a Europa en el lugar postrero de la fila de la recuperación post pandemia.</w:t>
      </w:r>
    </w:p>
    <w:p w:rsidR="00DA27AD" w:rsidRPr="00CA3040" w:rsidRDefault="00DA27AD" w:rsidP="00DA27AD">
      <w:pPr>
        <w:pStyle w:val="NormalWeb"/>
        <w:jc w:val="both"/>
        <w:textAlignment w:val="baseline"/>
        <w:rPr>
          <w:b/>
          <w:shd w:val="clear" w:color="auto" w:fill="FFFFFF"/>
        </w:rPr>
      </w:pPr>
      <w:r w:rsidRPr="00CA3040">
        <w:rPr>
          <w:b/>
          <w:shd w:val="clear" w:color="auto" w:fill="FFFFFF"/>
        </w:rPr>
        <w:lastRenderedPageBreak/>
        <w:t>A la ciudadanía europea se le acabó la paciencia y a la Comisión Europea las trampas. Ni los que los nombraron para tan “anodino” cargo, se fían de ellos para continuar medrando.</w:t>
      </w:r>
    </w:p>
    <w:p w:rsidR="00DA27AD" w:rsidRPr="00CA3040" w:rsidRDefault="00DA27AD" w:rsidP="00DA27AD">
      <w:pPr>
        <w:pStyle w:val="NormalWeb"/>
        <w:jc w:val="both"/>
        <w:textAlignment w:val="baseline"/>
        <w:rPr>
          <w:b/>
          <w:shd w:val="clear" w:color="auto" w:fill="FFFFFF"/>
        </w:rPr>
      </w:pPr>
      <w:r w:rsidRPr="00CA3040">
        <w:rPr>
          <w:b/>
          <w:shd w:val="clear" w:color="auto" w:fill="FFFFFF"/>
        </w:rPr>
        <w:t>Diseñaron una Europa dividida entre funcionarios y empleados precarios en el sector servicios (que en muchos casos, deben aceptar el humillante papel de “falsos autónomos”). Renunciaron a la autonomía industrial, abandonaron la soberanía alimentaria, cancelaron las opciones energéticas independientes, abdicaron de una fuerza militar europea… ¿and now?</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¿Cuán dependiente es la UE de la energía producida fuera de la región?</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tasa de dependencia muestra hasta qué punto una economía depende de las importaciones para satisfacer sus necesidades energéticas. Se mide por la participación de las importaciones netas (importaciones - exportaciones) en el consumo interior bruto de energía (es decir, la suma de la energía producida y las importaciones netas). En la UE en 2019, la tasa de dependencia era igual al 61 %, lo que significa que más de la mitad de las necesidades energéticas de la UE se cubrieron con importaciones netas. Esta tasa va desde más del 90 % en Malta, Luxemburgo y Chipre hasta el 5 % en Estonia. La tasa de dependencia de las importaciones de energía ha aumentado desde el año 2000, cuando era sólo del 56 %.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Como se mencionó en la parte que trata sobre las importaciones de energía, la UE depende principalmente de Rusia para las importaciones de petróleo crudo, gas natural y combustibles sólidos, seguida de Noruega para el p</w:t>
      </w:r>
      <w:r w:rsidR="00CA3040">
        <w:rPr>
          <w:rFonts w:ascii="Times New Roman" w:hAnsi="Times New Roman" w:cs="Times New Roman"/>
          <w:sz w:val="24"/>
          <w:szCs w:val="24"/>
          <w:shd w:val="clear" w:color="auto" w:fill="FFFFFF"/>
        </w:rPr>
        <w:t>etróleo crudo y el gas natural.</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¿Cuál es la fuente de la electricidad que consume la UE?</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Casi el 40 % de la electricidad consumida en la UE procede de centrales eléctricas que queman combustibles fósiles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Alrededor del 21 % de la energía final que consumimos es electricidad y proviene de diferentes fuentes. En la UE en 2019, el 39 % de la electricidad consumida procedían de centrales eléctricas que queman combustibles fósiles y el 35 % de Fuentes de energía renovable, mientras que el 26 % procedía de centrales nucleares. Entre las fuentes de energía renovables, la mayor parte de la electricidad consumida provino de turbinas de viento (13 %), plantas hidroeléctricas (12 %), biocombustibles (6 %) y energía solar (4 %).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fuentes de producción de electricidad varían entre los Estados miembros: alrededor del 90 % de la producción de electricidad provino de combustibles fósiles en Chipre y Malta, mientras que casi las tres cuartas partes (70 %) de la producción de electricidad provino de centrales nucleares en Francia, seguido del 54 % en Eslovaquia. En Dinamarca, más de la mitad de la producción de electricidad (55 %) provino de la energía eólica, mientras que alrededor del 60 % de la producción de electricidad en Austria provino de centrales hidroeléctricas.</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La política climática como principal condicionante de la política energética de la UE </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¿De qué tratan el Pacto Verde Europeo y la Unión de la Energía?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de transporte público y privado.</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Unión de la Energía  es el principal instrumento de política energética para lograr las transformaciones necesarias para descarbonizar nuestro sistema energético. El objetivo de la Unión de la Energía es proporcionar a los consumidores de la UE (hogares y empresas) energía segura, sostenible, competitiva y asequible.</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 integrados de energía y clima.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la política energética de la UE.</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p>
    <w:p w:rsidR="00DA27AD" w:rsidRDefault="00DA27AD" w:rsidP="00DA27AD">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Una transición energética limpia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producción y el uso de energía representan más del 75 % de las emisiones de gases de efecto invernadero de la UE. Por lo tanto, descarbonizar el sistema energético de la UE es fundamental para alcanzar nuestros objetivos climáticos para 2030 y la estrategia a largo plazo de la UE de lograr la neutralidad de carbono para 2050.</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Pacto Verde Europeo se centra en 3 principios clave para la transición hacia la energía limpia, que ayudarán a reducir las emisiones de gases de efecto invernadero y mejorarán la calidad de vida de nuestros ciudadanos:</w:t>
      </w:r>
    </w:p>
    <w:p w:rsidR="00DA27AD" w:rsidRDefault="00DA27AD" w:rsidP="00DA27AD">
      <w:pPr>
        <w:pStyle w:val="Prrafodelista"/>
        <w:numPr>
          <w:ilvl w:val="0"/>
          <w:numId w:val="1"/>
        </w:num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garantizar un suministro de energía seguro y asequible en la UE</w:t>
      </w:r>
    </w:p>
    <w:p w:rsidR="00DA27AD" w:rsidRDefault="00DA27AD" w:rsidP="00DA27AD">
      <w:pPr>
        <w:pStyle w:val="Prrafodelista"/>
        <w:numPr>
          <w:ilvl w:val="0"/>
          <w:numId w:val="1"/>
        </w:num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desarrollar un mercado energético de la UE totalmente integrado, interconectado y digitalizado</w:t>
      </w:r>
    </w:p>
    <w:p w:rsidR="00DA27AD" w:rsidRDefault="00DA27AD" w:rsidP="00DA27AD">
      <w:pPr>
        <w:pStyle w:val="Prrafodelista"/>
        <w:numPr>
          <w:ilvl w:val="0"/>
          <w:numId w:val="1"/>
        </w:num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priorizar la eficiencia energética, mejorar el rendimiento energético de nuestros edificios y desarrollar un sector energético basado en gran medida en fuentes renovables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principales objetivos de la Comisión para lograrlo son:</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construir sistemas de energía interconectados y redes mejor integradas para apoyar las fuentes de energía renovable</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promover tecnologías innovadoras e infraestructura moderna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impulsar la eficiencia energética y el ecodiseño de los productos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descarbonizar el sector del gas y promover la integración inteligente entre sectores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empoderar a los consumidores y ayudar a los países de la UE a abordar la pobreza energética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promover las normas y tecnologías energéticas de la UE a nivel mundial</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desarrollar todo el potencial de la energía eólica marina en Europa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Comisión Europea adoptó un conjunto de propuestas para hacer que las políticas climáticas, energéticas, de transporte y fiscales de la UE sean aptas para reducir las emisiones netas de gases de efecto invernadero en al menos un 55 % para 2030, en comparación con los niveles de 1990.</w:t>
      </w:r>
    </w:p>
    <w:p w:rsidR="00DA27AD" w:rsidRDefault="00DA27AD" w:rsidP="00DA27AD">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La neutralidad climática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Pacto Verde Europeo tiene como objetivo conseguir que Europa sea climáticamente neutra de aquí a 2050. Para conseguir que este objetivo sea jurídicamente vinculante, la Comisión propuso la Ley Europea del Clima, que también establece un nuevo objetivo más ambicioso de una reducción neta de las emisiones de gases de efecto invernadero de al menos un -55 % hasta 2030, en comparación con los niveles de 1990.</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alcanzar nuestros objetivos de descarbonización, deben reducirse las emisiones en todos los sectores, desde la industria y la energía hasta el transporte y la agricultura. El cambio climático es una amenaza mundial y solamente puede abordarse mediante una respuesta global. Esta es la razón por la que la UE se compromete con sus socios internacionales en materia de acción por el clima y los apoya activamente, en particular a través de la Convención Marco de las Naciones Unidas sobre el Cambio Climático (CMNUCC) y su Acuerdo de París. Paralelamente a las acciones de mitigación, la UE está tomando medidas en materia de adaptación al cambio climático para hacer frente a los efectos inevitables del cambio climático.</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Haciendo realidad el Pacto Verde Europeo</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14 de julio de 2021, la Comisión Europea dio a conocer su plan para alcanzar una reducción de emisiones del 55% para 2030, primer paso de la neutralidad en carbono fijada para 2050.</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Nuestro objetivo es convertir a Europa en el primer continente climáticamente neutro del mundo.</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Estas propuestas tienen como objetivo hacer que todos los sectores de la economía de la UE estén en condiciones de hacer frente a este desafío. Pusieron a la UE en el camino para alcanzar sus objetivos climáticos para 2030 de una manera justa, rentable y competitiva.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Transformando nuestra economía y nuestras sociedades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cambio climático es el mayor desafío de nuestro tiempo. Y es una oportunidad para construir un nuevo modelo económico.</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Pacto Verde Europeo estableció el modelo para este cambio transformador.</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Los 27 Estados miembros de la UE se comprometieron a convertir a la UE en el primer continente climáticamente neutral para 2050. Para lograrlo, se comprometieron a reducir las emisiones en al menos un 55 % para 2030, en comparación con los niveles de 1990.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Pasos clave</w:t>
      </w:r>
    </w:p>
    <w:p w:rsidR="00DA27AD" w:rsidRDefault="00DA27AD" w:rsidP="00DA27AD">
      <w:pPr>
        <w:numPr>
          <w:ilvl w:val="0"/>
          <w:numId w:val="2"/>
        </w:numPr>
        <w:shd w:val="clear" w:color="auto" w:fill="FFFFFF"/>
        <w:spacing w:before="100" w:beforeAutospacing="1" w:after="100" w:afterAutospacing="1" w:line="240" w:lineRule="auto"/>
        <w:rPr>
          <w:rFonts w:ascii="Times New Roman" w:hAnsi="Times New Roman" w:cs="Times New Roman"/>
          <w:b/>
          <w:bCs/>
          <w:sz w:val="24"/>
          <w:szCs w:val="24"/>
        </w:rPr>
      </w:pPr>
      <w:r>
        <w:rPr>
          <w:rFonts w:ascii="Times New Roman" w:hAnsi="Times New Roman" w:cs="Times New Roman"/>
          <w:b/>
          <w:bCs/>
          <w:sz w:val="24"/>
          <w:szCs w:val="24"/>
        </w:rPr>
        <w:t>diciembre 2019</w:t>
      </w:r>
    </w:p>
    <w:p w:rsidR="00DA27AD" w:rsidRDefault="00DA27AD" w:rsidP="00DA27AD">
      <w:pPr>
        <w:pStyle w:val="NormalWeb"/>
        <w:shd w:val="clear" w:color="auto" w:fill="FFFFFF"/>
        <w:spacing w:before="0" w:beforeAutospacing="0" w:afterAutospacing="0"/>
        <w:ind w:left="720"/>
        <w:jc w:val="both"/>
      </w:pPr>
      <w:r>
        <w:lastRenderedPageBreak/>
        <w:t>La Comisión presenta el Pacto Verde Europeo, comprometiéndose con la neutralidad climática para 2050</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marzo 2020</w:t>
      </w:r>
    </w:p>
    <w:p w:rsidR="00DA27AD" w:rsidRDefault="00DA27AD" w:rsidP="00DA27AD">
      <w:pPr>
        <w:pStyle w:val="NormalWeb"/>
        <w:shd w:val="clear" w:color="auto" w:fill="FFFFFF"/>
        <w:spacing w:before="0" w:beforeAutospacing="0" w:afterAutospacing="0"/>
        <w:ind w:left="720"/>
        <w:jc w:val="both"/>
      </w:pPr>
      <w:r>
        <w:t>La Comisión propone la Ley Europea del Clima para incluir el objetivo de neutralidad climática para 2050 en una legislación vinculante</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septiembre 2020</w:t>
      </w:r>
    </w:p>
    <w:p w:rsidR="00DA27AD" w:rsidRDefault="00DA27AD" w:rsidP="00DA27AD">
      <w:pPr>
        <w:pStyle w:val="NormalWeb"/>
        <w:shd w:val="clear" w:color="auto" w:fill="FFFFFF"/>
        <w:spacing w:before="0" w:beforeAutospacing="0" w:afterAutospacing="0"/>
        <w:ind w:left="720"/>
        <w:jc w:val="both"/>
      </w:pPr>
      <w:r>
        <w:t>La Comisión propone un nuevo objetivo de la UE para reducir las emisiones netas en al menos un 55 % para 2030 y añadirlo a la Ley Europea del Clima</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diciembre 2020</w:t>
      </w:r>
    </w:p>
    <w:p w:rsidR="00DA27AD" w:rsidRDefault="00DA27AD" w:rsidP="00DA27AD">
      <w:pPr>
        <w:pStyle w:val="NormalWeb"/>
        <w:shd w:val="clear" w:color="auto" w:fill="FFFFFF"/>
        <w:spacing w:before="0" w:beforeAutospacing="0" w:afterAutospacing="0"/>
        <w:ind w:left="720"/>
        <w:jc w:val="both"/>
      </w:pPr>
      <w:r>
        <w:t>Los líderes europeos respaldan el objetivo propuesto por la Comisión de reducir las emisiones netas en al menos un 55 % para 2030</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abril 2021</w:t>
      </w:r>
    </w:p>
    <w:p w:rsidR="00DA27AD" w:rsidRDefault="00DA27AD" w:rsidP="00DA27AD">
      <w:pPr>
        <w:pStyle w:val="NormalWeb"/>
        <w:shd w:val="clear" w:color="auto" w:fill="FFFFFF"/>
        <w:spacing w:before="0" w:beforeAutospacing="0" w:afterAutospacing="0"/>
        <w:ind w:left="720"/>
        <w:jc w:val="both"/>
      </w:pPr>
      <w:r>
        <w:t>Acuerdo político alcanzado sobre la Ley Europea del Clima por el Parlamento Europeo y los Estados miembros</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junio 2021</w:t>
      </w:r>
    </w:p>
    <w:p w:rsidR="00DA27AD" w:rsidRDefault="00DA27AD" w:rsidP="00DA27AD">
      <w:pPr>
        <w:pStyle w:val="NormalWeb"/>
        <w:shd w:val="clear" w:color="auto" w:fill="FFFFFF"/>
        <w:spacing w:before="0" w:beforeAutospacing="0" w:afterAutospacing="0"/>
        <w:ind w:left="720"/>
        <w:jc w:val="both"/>
      </w:pPr>
      <w:r>
        <w:t>Entra en vigor la Ley Europea del Clima</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julio 2021</w:t>
      </w:r>
    </w:p>
    <w:p w:rsidR="00DA27AD" w:rsidRDefault="00DA27AD" w:rsidP="00DA27AD">
      <w:pPr>
        <w:pStyle w:val="NormalWeb"/>
        <w:shd w:val="clear" w:color="auto" w:fill="FFFFFF"/>
        <w:spacing w:before="0" w:beforeAutospacing="0" w:afterAutospacing="0"/>
        <w:ind w:left="720"/>
        <w:jc w:val="both"/>
      </w:pPr>
      <w:r>
        <w:t>La Comisión presenta un paquete de propuestas para transformar nuestra economía y alcanzar nuestros objetivos climáticos para 2030. El Parlamento Europeo y los Estados miembros negociarán y adoptarán un paquete de legislación para alcanzar nuestros objetivos climáticos para 2030</w:t>
      </w:r>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septiembre 2021</w:t>
      </w:r>
    </w:p>
    <w:p w:rsidR="00DA27AD" w:rsidRPr="0051130C" w:rsidRDefault="001D5372" w:rsidP="00DA27AD">
      <w:pPr>
        <w:pStyle w:val="NormalWeb"/>
        <w:shd w:val="clear" w:color="auto" w:fill="FFFFFF"/>
        <w:spacing w:before="0" w:beforeAutospacing="0" w:afterAutospacing="0"/>
        <w:ind w:left="720"/>
        <w:jc w:val="both"/>
      </w:pPr>
      <w:hyperlink r:id="rId163" w:history="1">
        <w:r w:rsidR="00DA27AD" w:rsidRPr="0051130C">
          <w:rPr>
            <w:rStyle w:val="Hipervnculo"/>
            <w:rFonts w:eastAsiaTheme="majorEastAsia"/>
            <w:color w:val="auto"/>
            <w:u w:val="none"/>
          </w:rPr>
          <w:t>Nueva Bauhaus europea: nuevas acciones y financiación</w:t>
        </w:r>
      </w:hyperlink>
    </w:p>
    <w:p w:rsidR="00DA27AD" w:rsidRDefault="00DA27AD" w:rsidP="00DA27AD">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Pr>
          <w:rFonts w:ascii="Times New Roman" w:hAnsi="Times New Roman" w:cs="Times New Roman"/>
          <w:b/>
          <w:bCs/>
          <w:sz w:val="24"/>
          <w:szCs w:val="24"/>
        </w:rPr>
        <w:t>2030</w:t>
      </w:r>
    </w:p>
    <w:p w:rsidR="00DA27AD" w:rsidRDefault="00DA27AD" w:rsidP="00DA27AD">
      <w:pPr>
        <w:pStyle w:val="NormalWeb"/>
        <w:shd w:val="clear" w:color="auto" w:fill="FFFFFF"/>
        <w:spacing w:before="0" w:beforeAutospacing="0" w:afterAutospacing="0"/>
        <w:ind w:left="720"/>
        <w:jc w:val="both"/>
      </w:pPr>
      <w:r>
        <w:t>La UE logrará una reducción de las emisiones de al menos un 55 % en comparación con los niveles de 1990</w:t>
      </w:r>
    </w:p>
    <w:p w:rsidR="00DA27AD" w:rsidRPr="0085300F" w:rsidRDefault="00DA27AD" w:rsidP="0085300F">
      <w:pPr>
        <w:numPr>
          <w:ilvl w:val="0"/>
          <w:numId w:val="2"/>
        </w:numPr>
        <w:shd w:val="clear" w:color="auto" w:fill="FFFFFF"/>
        <w:spacing w:before="100" w:beforeAutospacing="1"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2050</w:t>
      </w:r>
    </w:p>
    <w:p w:rsidR="0085300F" w:rsidRDefault="0085300F" w:rsidP="00DA27AD">
      <w:pPr>
        <w:pStyle w:val="NormalWeb"/>
        <w:shd w:val="clear" w:color="auto" w:fill="FFFFFF"/>
        <w:spacing w:before="0" w:beforeAutospacing="0"/>
        <w:ind w:firstLine="708"/>
        <w:jc w:val="both"/>
      </w:pPr>
    </w:p>
    <w:p w:rsidR="00DA27AD" w:rsidRDefault="00DA27AD" w:rsidP="00DA27AD">
      <w:pPr>
        <w:pStyle w:val="NormalWeb"/>
        <w:shd w:val="clear" w:color="auto" w:fill="FFFFFF"/>
        <w:spacing w:before="0" w:beforeAutospacing="0"/>
        <w:ind w:firstLine="708"/>
        <w:jc w:val="both"/>
      </w:pPr>
      <w:r>
        <w:t>La UE será climáticamente neutral</w:t>
      </w:r>
    </w:p>
    <w:p w:rsidR="0051130C" w:rsidRDefault="0051130C" w:rsidP="00DA27AD">
      <w:pPr>
        <w:pStyle w:val="NormalWeb"/>
        <w:shd w:val="clear" w:color="auto" w:fill="FFFFFF"/>
        <w:spacing w:before="0" w:beforeAutospacing="0"/>
        <w:ind w:firstLine="708"/>
        <w:jc w:val="both"/>
      </w:pP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La verdad de la milanesa: Putin tiene a la Unión Europea, agarrada por los “eier”</w:t>
      </w:r>
    </w:p>
    <w:p w:rsidR="00DA27AD" w:rsidRDefault="00DA27AD" w:rsidP="00DA27AD">
      <w:pPr>
        <w:pStyle w:val="bbc-bm53ic"/>
        <w:shd w:val="clear" w:color="auto" w:fill="FDFDFD"/>
        <w:jc w:val="both"/>
        <w:rPr>
          <w:b/>
        </w:rPr>
      </w:pPr>
      <w:r>
        <w:rPr>
          <w:b/>
        </w:rPr>
        <w:t>El fracaso del “appeasement” germano</w:t>
      </w:r>
    </w:p>
    <w:p w:rsidR="00DA27AD" w:rsidRDefault="00DA27AD" w:rsidP="00DA27AD">
      <w:pPr>
        <w:pStyle w:val="bbc-bm53ic"/>
        <w:shd w:val="clear" w:color="auto" w:fill="FDFDFD"/>
        <w:jc w:val="both"/>
      </w:pPr>
      <w:r>
        <w:t xml:space="preserve">- </w:t>
      </w:r>
      <w:r>
        <w:rPr>
          <w:u w:val="single"/>
        </w:rPr>
        <w:t>La superpotencia ingenua: ¿está despertando Alemania al nuevo orden mundial</w:t>
      </w:r>
      <w:r>
        <w:t xml:space="preserve">? (El Confidencial - </w:t>
      </w:r>
      <w:r>
        <w:rPr>
          <w:b/>
        </w:rPr>
        <w:t>26/2/22</w:t>
      </w:r>
      <w:r>
        <w:t>)</w:t>
      </w:r>
    </w:p>
    <w:p w:rsidR="00DA27AD" w:rsidRDefault="00DA27AD" w:rsidP="00DA27AD">
      <w:pPr>
        <w:pStyle w:val="bbc-bm53ic"/>
        <w:shd w:val="clear" w:color="auto" w:fill="FDFDFD"/>
        <w:jc w:val="both"/>
      </w:pPr>
      <w:r>
        <w:t>(Por Isaac Risco. Berlín)</w:t>
      </w:r>
    </w:p>
    <w:p w:rsidR="00DA27AD" w:rsidRDefault="00DA27AD" w:rsidP="00DA27AD">
      <w:pPr>
        <w:pStyle w:val="bbc-bm53ic"/>
        <w:shd w:val="clear" w:color="auto" w:fill="FDFDFD"/>
        <w:jc w:val="both"/>
      </w:pPr>
      <w:r>
        <w:rPr>
          <w:u w:val="single"/>
        </w:rPr>
        <w:t>Consternación, decepción y también enfado por la propia “ingenuidad”. La invasión rusa en Ucrania ha sacudido los cimientos de la política exterior de Alemania hasta el punto de que es posible que esté cambiando, para siempre, algunas de sus coordenadas más claras</w:t>
      </w:r>
      <w:r>
        <w:t xml:space="preserve">. </w:t>
      </w:r>
      <w:r>
        <w:rPr>
          <w:color w:val="FF0000"/>
          <w:u w:val="single"/>
        </w:rPr>
        <w:t>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w:t>
      </w:r>
      <w:r>
        <w:t>. Los golpes de realidad han echado por la borda viejas convicciones políticas forjadas en la Alemania de la posguerra. La gran potencia europea, tumbada en el diván geopolítico. Este cambio de paradigma se empezaba intuir en las primeras palabras públicas del canciller alemán, el socialdemócrata Olaf Scholz, a mediodía del jueves. Tanto por su tono sombrío y resoluto, como por todo aquello que no dijo. “Para esto no hay justificación. Esta es la guerra de Putin”, dijo Scholz en Berlín en una breve comparecencia de poco más de tres minutos en la que por primera vez no habló de diplomacia, sino de impulsar duras sanciones conjuntas contra Rusia.</w:t>
      </w:r>
    </w:p>
    <w:p w:rsidR="00DA27AD" w:rsidRDefault="00DA27AD" w:rsidP="00DA27AD">
      <w:pPr>
        <w:pStyle w:val="bbc-bm53ic"/>
        <w:shd w:val="clear" w:color="auto" w:fill="FDFDFD"/>
        <w:jc w:val="both"/>
      </w:pPr>
      <w:r>
        <w:rPr>
          <w:color w:val="FF0000"/>
          <w:u w:val="single"/>
        </w:rPr>
        <w:t>“El objetivo de las sanciones es dejarle claro a la cúpula rusa que va a pagar un amargo precio por esta agresión. Va a quedar claro que Putin cometió un grave error con su guerra”,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compañero de partido Gerhard Schröder -quien ahora es uno de los miembros del consejo de dirección de la gigante paraestatal rusa Gazprom-</w:t>
      </w:r>
      <w:r>
        <w:t>. Pero el fracaso de la diplomacia alemana lo encarna también el mismo Scholz, quien hace diez días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DA27AD" w:rsidRDefault="00DA27AD" w:rsidP="00DA27AD">
      <w:pPr>
        <w:pStyle w:val="bbc-bm53ic"/>
        <w:shd w:val="clear" w:color="auto" w:fill="FDFDFD"/>
        <w:jc w:val="both"/>
      </w:pPr>
      <w:r>
        <w:t>En ese momento, algunos observadores vieron aún con algo de esperanza la iniciativa diplomática de Scholz. Pero ahora reina en la opinión pública germana una convicción generalizada de que Berlín necesita redefinir sus posturas por la llegada de una nueva era para Europa y para el orden político mundial. “Nos hemos despertado en un mundo distinto”, avisaba la ministra de Exteriores, la “verde” Annalena Baerbock. “Si no les salimos al frente ahora (a los rusos) de forma decidida, pagaremos un precio aún más alto”, agregó. Más cruda 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la política del “appeasement”, del apaciguamiento frente a Rusia.</w:t>
      </w:r>
    </w:p>
    <w:p w:rsidR="00DA27AD" w:rsidRDefault="00DA27AD" w:rsidP="00DA27AD">
      <w:pPr>
        <w:pStyle w:val="bbc-bm53ic"/>
        <w:shd w:val="clear" w:color="auto" w:fill="FDFDFD"/>
        <w:jc w:val="both"/>
      </w:pPr>
      <w:r>
        <w:lastRenderedPageBreak/>
        <w:t>El fracaso del “appeasement”</w:t>
      </w:r>
    </w:p>
    <w:p w:rsidR="00DA27AD" w:rsidRDefault="00DA27AD" w:rsidP="00DA27AD">
      <w:pPr>
        <w:pStyle w:val="bbc-bm53ic"/>
        <w:shd w:val="clear" w:color="auto" w:fill="FDFDFD"/>
        <w:jc w:val="both"/>
      </w:pPr>
      <w:r>
        <w:t xml:space="preserve">Este despertar a regañadientes es visible también en la coalición de gobierno, tanto en las filas de los socialdemócratas -históricamente defensoras de la línea rusófila de diálogo con el 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DA27AD" w:rsidRDefault="00DA27AD" w:rsidP="00DA27AD">
      <w:pPr>
        <w:pStyle w:val="bbc-bm53ic"/>
        <w:shd w:val="clear" w:color="auto" w:fill="FDFDFD"/>
        <w:jc w:val="both"/>
      </w:pPr>
      <w:r>
        <w:rPr>
          <w:u w:val="single"/>
        </w:rPr>
        <w:t>Una de las reflexiones más claras sobre el cambio de paradigma la hizo otro político “verde”, Robert Habeck, actual ministro de Economía y vicecanciller. “En retrospectiva hay que decir (...) que fuimos muy ingenuos. Occidente, Europa, Alemania”, enumeró Habeck en una entrevista con la televisión pública</w:t>
      </w:r>
      <w:r>
        <w:t>.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DA27AD" w:rsidRDefault="00DA27AD" w:rsidP="00DA27AD">
      <w:pPr>
        <w:pStyle w:val="bbc-bm53ic"/>
        <w:shd w:val="clear" w:color="auto" w:fill="FDFDFD"/>
        <w:jc w:val="both"/>
      </w:pPr>
      <w:r>
        <w:t>“Estamos viviendo una profunda ruptura en la política alemana, en la política europea y en la política transatlántica”, dijo Habeck durante una tertulia televisiva en la noche del miércoles. 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DA27AD" w:rsidRDefault="00DA27AD" w:rsidP="00DA27AD">
      <w:pPr>
        <w:pStyle w:val="bbc-bm53ic"/>
        <w:shd w:val="clear" w:color="auto" w:fill="FDFDFD"/>
        <w:jc w:val="both"/>
      </w:pPr>
      <w:r>
        <w:t>¿Armas a Ucrania?</w:t>
      </w:r>
    </w:p>
    <w:p w:rsidR="00DA27AD" w:rsidRDefault="00DA27AD" w:rsidP="00DA27AD">
      <w:pPr>
        <w:pStyle w:val="bbc-bm53ic"/>
        <w:shd w:val="clear" w:color="auto" w:fill="FDFDFD"/>
        <w:jc w:val="both"/>
      </w:pPr>
      <w:r>
        <w:t>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europeo más amplio? Es deprimente”, agregó. Sí vuelven a oírse, en cambio, las exigencias de que Berlín reconsidere su posición de no enviar armas a Ucrania, después de las recientes burlas del alcalde de Kiev, Vitali Klitschko, sobre la exigua ayuda militar alemana de 5.000 cascos. “¿Qué es lo siguiente que va a enviar Alemania como apoyo? ¿Almohadas?”, ironizó el regidor.</w:t>
      </w:r>
    </w:p>
    <w:p w:rsidR="00DA27AD" w:rsidRDefault="00DA27AD" w:rsidP="00DA27AD">
      <w:pPr>
        <w:pStyle w:val="bbc-bm53ic"/>
        <w:shd w:val="clear" w:color="auto" w:fill="FDFDFD"/>
        <w:jc w:val="both"/>
      </w:pPr>
      <w:r>
        <w:t xml:space="preserve">“Yo me oponía al envío de armas para mantener abiertos los canales de comunicación con Rusia”, señaló el diputado conservador Norbert Röttgen, aspirante hace unos meses a asumir el liderazgo de la CDU. “Eso se acabó. Ahora se trata de defensa. Tenemos que entregar a Ucrania las armas que podamos poner a disposición”. Röttgen es miembro del Comité de Exteriores del Bundestag, un gremio que él mismo presidió hasta 2020, y que podría ser clave </w:t>
      </w:r>
      <w:r>
        <w:lastRenderedPageBreak/>
        <w:t>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El “shock”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DA27AD" w:rsidRDefault="00DA27AD" w:rsidP="00DA27AD">
      <w:pPr>
        <w:pStyle w:val="bbc-bm53ic"/>
        <w:shd w:val="clear" w:color="auto" w:fill="FDFDFD"/>
        <w:jc w:val="both"/>
      </w:pPr>
      <w:r>
        <w:t>Otro paradigma energético</w:t>
      </w:r>
    </w:p>
    <w:p w:rsidR="00DA27AD" w:rsidRDefault="00DA27AD" w:rsidP="00DA27AD">
      <w:pPr>
        <w:pStyle w:val="bbc-bm53ic"/>
        <w:shd w:val="clear" w:color="auto" w:fill="FDFDFD"/>
        <w:jc w:val="both"/>
        <w:rPr>
          <w:color w:val="FF0000"/>
          <w:u w:val="single"/>
        </w:rPr>
      </w:pPr>
      <w:r>
        <w:rPr>
          <w:color w:val="FF0000"/>
          <w:u w:val="single"/>
        </w:rPr>
        <w:t>En la capital alemana preocupa, por lo demás, el impacto que pueda tener la ofensiva rusa en su economía, especialmente en el suministro energético -Alemania importa el 55% del gas desde Rusia, según datos del Ministerio de Economía-. Pese a ello, Habeck aseguró que están preparados para afrontar un recorte e incluso una suspensión total del suministro ruso debido a las sanciones. “Vamos a tener que comprar más gas, pero también carbón, en otros países”, señaló el ministro. El político ecologista calificó además con más claridad que nunca el suministro energético como un “asunto estratégico y geopolítico” crucial para Alemania, pocos días después de que el Gobierno suspendiese la entrada en funcionamiento de Nord Stream 2, el gasoducto que une directamente Rusia y Alemania.</w:t>
      </w:r>
    </w:p>
    <w:p w:rsidR="00DA27AD" w:rsidRDefault="00DA27AD" w:rsidP="00DA27AD">
      <w:pPr>
        <w:pStyle w:val="bbc-bm53ic"/>
        <w:shd w:val="clear" w:color="auto" w:fill="FDFDFD"/>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DA27AD" w:rsidRDefault="00DA27AD" w:rsidP="00DA27AD">
      <w:pPr>
        <w:pStyle w:val="bbc-bm53ic"/>
        <w:shd w:val="clear" w:color="auto" w:fill="FDFDFD"/>
        <w:jc w:val="both"/>
        <w:rPr>
          <w:b/>
          <w:shd w:val="clear" w:color="auto" w:fill="FFFFFF"/>
        </w:rPr>
      </w:pPr>
      <w:r>
        <w:rPr>
          <w:b/>
          <w:shd w:val="clear" w:color="auto" w:fill="FFFFFF"/>
        </w:rPr>
        <w:t xml:space="preserve">Las “amistades peligrosas” de la cancillería alemana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Schroeder, el apestado de la “nueva era” en Alemania</w:t>
      </w:r>
      <w:r>
        <w:rPr>
          <w:rFonts w:ascii="Times New Roman" w:hAnsi="Times New Roman" w:cs="Times New Roman"/>
          <w:sz w:val="24"/>
          <w:szCs w:val="24"/>
        </w:rPr>
        <w:t xml:space="preserve"> (Libertad Digital - </w:t>
      </w:r>
      <w:r>
        <w:rPr>
          <w:rFonts w:ascii="Times New Roman" w:hAnsi="Times New Roman" w:cs="Times New Roman"/>
          <w:b/>
          <w:sz w:val="24"/>
          <w:szCs w:val="24"/>
        </w:rPr>
        <w:t>2/3/22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M. R. Martín)</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pasado domingo el canciller alemán, el socialdemócrata Olaf Scholz, habló de un “cambio de era” en Alemania con el anuncio de envío de armas a Ucrania, el compromiso de rearmar el país ante futuras amenazas y también cambios en la política energética, centrada en los últimos años en las tecnologías verdes y con una altísima dependencia del gas ruso.</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esa “nueva era” el excanciller alemán Gerhard Schroeder se ha convertido en el símbolo de los errores que el país ha cometido hasta aquí y en el blanco de las críticas políticas y mediáticas, con el que fuera su partido a la cabeza</w:t>
      </w:r>
      <w:r>
        <w:rPr>
          <w:rFonts w:ascii="Times New Roman" w:hAnsi="Times New Roman" w:cs="Times New Roman"/>
          <w:sz w:val="24"/>
          <w:szCs w:val="24"/>
        </w:rPr>
        <w:t xml:space="preserve">. El SPD trata de cortar lazos con el ex mandatario, cuya íntima amistad con Vladimir Putin desde su etapa en el gobierno es bien conocida y que hace sólo unos días proyectaba su entrada en el consejo de Gazprom. </w:t>
      </w:r>
      <w:r>
        <w:rPr>
          <w:rFonts w:ascii="Times New Roman" w:hAnsi="Times New Roman" w:cs="Times New Roman"/>
          <w:sz w:val="24"/>
          <w:szCs w:val="24"/>
          <w:u w:val="single"/>
        </w:rPr>
        <w:t>Ahora, los medios se lamentan por lo que sigue cobrando del erario público pese a sus negocios privados, la CDU habla de “bochorno” y los socialistas reniegan de él.</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Schroeder, que presidió el país entre 1998 y 2005, es en la actualidad presidente del comité de accionistas de Nord Stream y del consejo de administración de Nord Stream 2, miembro del consejo de vigilancia del consorcio energético ruso Rosneft y aspira a formar parte del consejo de vigilancia de Gazprom en junio. Al mismo tiempo, como destacaba este martes el Hannoverische Allgemeine Zeitung, cobra 7.062 euros mensualmente de las arcas públicas como excanciller. Además, la oficina de representación personal de que disfruta con trabajadores públicos a su servicio cuesta 407.000 euros al año. Al mismo tiempo, el diario estima que por su cargo en Rosneft recibe 600.000 euros al año, mientras que de Nord Stream recibe 250.000 euros anuales. Su fortuna ascendería a 20 millones de euros.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prensa germana recuerda estos días cómo es íntimo amigo de Putin desde su etapa en el poder y cómo continúan en estrecho contacto: en los últimos años Putin se han intercambiado invitaciones a cumpleaños y fiestas, tanto en Alemania como en Rusia. Causó una enorme polémica la gran fiesta que le preparó el ruso en San Petersburgo al cumplir 70 años.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Abandonado por los suyos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medios también comentan sus declaraciones más recientes defendiendo a Rusia y minimizando la posibilidad de una invasión hasta hace muy poco. Indignó que se refiriera a lo que estaba ocurriendo como un “ruido de sables” lanzado desde Ucrania y que justificara los movimientos de tropas rusas en la frontera como reacción a las actividades de la OTAN en el Báltico. Incluso criticó al nuevo ministro de Exteriores alemán por haber pasado por Kiev en su camino hacia Moscú para reunirse con su homólogo ruso. “Quizás debería haberse evitado” pero “cada cual tiene su estilo”, dijo.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oposición lleva semanas hablando de “vergüenza” por declaraciones como estas y tras la invasión rusa las críticas se han multiplicado. También su propio equipo le ha abandonado: según el Hannoverische Allgemeine Zeitung, cuatro de sus colaboradores, entre ellos el jefe de su oficina, Albrecht Funk, dejaron sus cargos por su ambigüedad con Rusia. El mismo diario señala que Funk le habría pedido que renunciara a su futuro cargo en Gazprom.</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padre del Nord Stream</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polémica actual se entiende mejor recordando el papel esencial que ha tenido Schroeder en la deriva de la política energética alemana primero como canciller y luego como lobbista. Desde el poder, el socialdemócrata fue clave para el nacimiento del Nord Stream 2, el nuevo gasoducto para llevar gas ruso hasta el país que Scholz ha decidido ahora paralizar cuando sólo faltaba un paso para su puesta en marcha y tras una inversión de 11.000 millones de dólares de un consorcio controlado al 50% por la rusa Gazprom.</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Schroeder respaldó como canciller primero la construcción del Nord Stream 1, el gasoducto que permitiría recibir gas ruso a través del Báltico sin atravesar Ucrania y luego el Nord Stream 2, construido en paralelo y cuya puesta en marcha supondría doblar la capacidad de importación</w:t>
      </w:r>
      <w:r>
        <w:rPr>
          <w:rFonts w:ascii="Times New Roman" w:hAnsi="Times New Roman" w:cs="Times New Roman"/>
          <w:sz w:val="24"/>
          <w:szCs w:val="24"/>
        </w:rPr>
        <w:t>. En 2005, asistió a la firma junto a Putin del acuerdo entre Gazprom y las alemanas Wintershall y E.ON. Ese mismo año perdió las elecciones frente a Merkel y sólo un mes más tarde, en diciembre, se incorporó como consejero del consorcio al frente del Nord Stream, algo que en su día le costó duras críticas de la oposición, aunque su partido decidió defenderlo en su paso a la “esfera privada”.</w:t>
      </w:r>
    </w:p>
    <w:p w:rsidR="0051130C" w:rsidRDefault="0051130C" w:rsidP="00DA27AD">
      <w:pPr>
        <w:spacing w:line="240" w:lineRule="auto"/>
        <w:jc w:val="both"/>
        <w:rPr>
          <w:rFonts w:ascii="Times New Roman" w:hAnsi="Times New Roman" w:cs="Times New Roman"/>
          <w:sz w:val="24"/>
          <w:szCs w:val="24"/>
        </w:rPr>
      </w:pPr>
    </w:p>
    <w:p w:rsidR="0051130C" w:rsidRDefault="0051130C" w:rsidP="00DA27AD">
      <w:pPr>
        <w:spacing w:line="240" w:lineRule="auto"/>
        <w:jc w:val="both"/>
        <w:rPr>
          <w:rFonts w:ascii="Times New Roman" w:hAnsi="Times New Roman" w:cs="Times New Roman"/>
          <w:sz w:val="24"/>
          <w:szCs w:val="24"/>
        </w:rPr>
      </w:pP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Contra las nucleares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las obras suscitaban rechazo en Polonia, Finlandia o Estados Unidos por el aumento de la dependencia energética de Rusia, la sucesora de Schroeder, Angela Merkel, decidió seguir adelante.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En paralelo, Schroeder también fue el “padre” de la decisión alemana de prescindir de la energía nuclear con la firma de la Atomgesetz en 2000 que apostaba por reducir la vida útil de las centrales nucleares a 32 años y no abrir ninguna más</w:t>
      </w:r>
      <w:r>
        <w:rPr>
          <w:rFonts w:ascii="Times New Roman" w:hAnsi="Times New Roman" w:cs="Times New Roman"/>
          <w:sz w:val="24"/>
          <w:szCs w:val="24"/>
        </w:rPr>
        <w:t>. Aunque Merkel en un primer momento apostó por volver a prolongar su vida útil, tras el terremoto de Fukushima y las presiones verdes decidió dar marcha atrás: ahora, sólo hay tres centrales nucleares en marcha en Alemania y está previsto que se cierren a finales de este mismo año.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Una guerra que evidencia la grave fragilidad energética europea</w:t>
      </w:r>
      <w:r>
        <w:rPr>
          <w:rFonts w:ascii="Times New Roman" w:hAnsi="Times New Roman" w:cs="Times New Roman"/>
          <w:sz w:val="24"/>
          <w:szCs w:val="24"/>
        </w:rPr>
        <w:t xml:space="preserve"> (Cinco Días - </w:t>
      </w:r>
      <w:r>
        <w:rPr>
          <w:rFonts w:ascii="Times New Roman" w:hAnsi="Times New Roman" w:cs="Times New Roman"/>
          <w:b/>
          <w:sz w:val="24"/>
          <w:szCs w:val="24"/>
        </w:rPr>
        <w:t>8/3/22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variaciones tanto en el petróleo -con un Brent que llegó a tocar los 139 dólares, cifra que no alcanzaba desde 2008, aunque finalmente retrocedió hasta los 121 dólares- como en el gas, donde los futuros en el mercado neerlandés se dispararon hasta en un 79% respecto al viernes y cerraron en 229 euros/MWh. Por su parte, el precio de la electricidad en el mercado mayorista marca hoy la cifra más cara de la historia: 544,98 euros el megavatio/hora (MWh).</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de que las sanciones desencadene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sin duda, pero que llega tarde.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Más allá de que la solución más deseable a esta crisis sería un alto al fuego y una reconducción del conflicto, la guerra debe servir de acicate a Europa para avanzar en el diseño de un mapa de suministro energético más diversificado y menos vulnerable. Si los acontecimientos en Ucrania se agravan todavía más y el conflicto desencadena una crisis global de energía, Europa deberá asumir como primera consecuencia un racionamiento energético que tendrá un alto coste económico y social. España aprobó ayer una serie de medidas para mitigar el impacto de ese escenario, entre ellas, el desligamiento de los usuarios vulnerables de los altos precios determinados en el pool, pero se trata de parches temporales. La verdadera respuesta a la crisis no está solo en Moscú, sino también en Bruselas, que debería recordar aquello de que la diversificación es un seguro, también en la energía.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La independencia económica, y la seguridad alimentaria, energética, o militar tienen un precio, ¿quién lo paga? ¿Hasta dónde se deben soportar chantajes? ¿Qué </w:t>
      </w:r>
      <w:r>
        <w:rPr>
          <w:rFonts w:ascii="Times New Roman" w:hAnsi="Times New Roman" w:cs="Times New Roman"/>
          <w:b/>
          <w:sz w:val="24"/>
          <w:szCs w:val="24"/>
        </w:rPr>
        <w:lastRenderedPageBreak/>
        <w:t>nivel de dependencia, o sesión de soberanía, puede ser calificado como una claudicación o rendición del Estado?</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qué “relato” puede justificar Davos (el Gran Reseteo) los desastres que llaman a la puerta de los países occidentales?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¿Cómo sacudirse las responsabilidades del “multilateralismo” en este periodo negro en el que nos adentramos y que se prolongará, previsiblemente, por varios años, y durante las próximas citas, de los “amos del universo” -presenciales o por video-conferencia- en la “Montaña Mágica” de Davos?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¿Continuarán con sus “excusas estúpidas, alegaciones asnales, y molicie argumental”?, como diría Erasmo.</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consenso…“and so on”?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Pr>
          <w:rFonts w:ascii="Times New Roman" w:hAnsi="Times New Roman" w:cs="Times New Roman"/>
          <w:b/>
          <w:sz w:val="24"/>
          <w:szCs w:val="24"/>
        </w:rPr>
        <w:t>11/3/22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Sandra Acosta)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“El carbón desempeñará un papel crucial”, dijo Olaf Lies, ministro de Energía de Baja Sajonia. “Que volvamos a elegir esta frase no es del todo evidente, dado el plan del país de eliminar el carbón para 2030”, dijo el pasado martes en rueda de prensa.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Capacidad energética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Alemania cuenta con unos 45 GW de capacidad energética de carbón. Aunque una parte se ha apagado, otra se mantiene en reserva para garantizar la seguridad del suministro del país.</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“Sabemos, y tenemos que admitirlo, que en los últimos 20 años hemos maniobrado para depender cada vez más de las importaciones de energía fósil de Rusia”, dijo el vicecanciller Robert Habeck, que hablaba junto a Lies. “Esta no es una buena situación. Todos los esfuerzos del gobierno federal, e incluso del país, están dirigidos a reducir esta dependencia lo antes posible”, añadió.</w:t>
      </w:r>
    </w:p>
    <w:p w:rsidR="0051130C" w:rsidRDefault="0051130C" w:rsidP="00DA27AD">
      <w:pPr>
        <w:spacing w:line="240" w:lineRule="auto"/>
        <w:jc w:val="both"/>
        <w:rPr>
          <w:rFonts w:ascii="Times New Roman" w:hAnsi="Times New Roman" w:cs="Times New Roman"/>
          <w:color w:val="FF0000"/>
          <w:sz w:val="24"/>
          <w:szCs w:val="24"/>
          <w:u w:val="single"/>
        </w:rPr>
      </w:pP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Pr>
          <w:rFonts w:ascii="Times New Roman" w:hAnsi="Times New Roman" w:cs="Times New Roman"/>
          <w:b/>
          <w:sz w:val="24"/>
          <w:szCs w:val="24"/>
        </w:rPr>
        <w:t>11/3/22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La Comisión Europea trabaja para que los Veintisiete puedan prescindir completamente de la energía rusa antes de 2030</w:t>
      </w:r>
      <w:r>
        <w:rPr>
          <w:rFonts w:ascii="Times New Roman" w:hAnsi="Times New Roman" w:cs="Times New Roman"/>
          <w:sz w:val="24"/>
          <w:szCs w:val="24"/>
        </w:rPr>
        <w:t xml:space="preserve">. </w:t>
      </w:r>
      <w:r>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“Todas las opciones están sobre la mesa”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comisario europeo del Mercado Interior, Thierry Breton, ha señalado este viernes en una entrevista en la emisora France Info que trabajan “para librarnos completamente de Rusia como proveedor energético” y que “pase lo que pase” con la guerra de Ucrania, la UE debe librarse de esa dependencia. Ese “pase lo que pase” pone de nuevo sobre la mesa ampliar la duración de las centrales nucleares.</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el plan hay mención a la energía nuclear. Sí la hubo en la propuesta de la AIE para hacer frente al “chantaje” ruso a Europa. Breton, defensor conocido de esta propuesta que suscriben países como Alemania, ha indicado en esa entrevista que ante el desafío de acabar con la dependencia de los hidrocarburos rusos, extender la duración de estas plantas "está sobre la mesa".</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La diferente proporción de dependencia de los países de la UE del gas ruso complica el camino hacia una solución rápida. Del gas que recibe España, casi un 6% es ruso. Es de los países menos dependientes. Francia está en el 20%, Alemania en el 55% pero otros como Finlandia, Letonia o República Checa tienen una vinculación total, del 100%. </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Los líderes de los Veintisiete concluyen hoy la cumbre de dos días que han celebrado en Versalles para abordar, entre otras cuestiones, la forma de cortar con Rusia en materia energética. </w:t>
      </w:r>
      <w:r>
        <w:rPr>
          <w:rFonts w:ascii="Times New Roman" w:hAnsi="Times New Roman" w:cs="Times New Roman"/>
          <w:sz w:val="24"/>
          <w:szCs w:val="24"/>
          <w:u w:val="single"/>
        </w:rPr>
        <w:t>De momento, parece descartarse un embargo similar al que ya aplica EEUU, país que compra muchos menos hidrocarburos a Rusia.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tema que previsiblemente si se habrá abordado en Versalles cuando acabe la cumbre es el de la emisión masiva de bonos por parte de la UE para financiar energía y defensa que trascendió a principios de semana</w:t>
      </w:r>
      <w:r>
        <w:rPr>
          <w:rFonts w:ascii="Times New Roman" w:hAnsi="Times New Roman" w:cs="Times New Roman"/>
          <w:sz w:val="24"/>
          <w:szCs w:val="24"/>
        </w:rPr>
        <w:t xml:space="preserve">. En este sentido, Breton ha confirmado que “no hay tabús” sobre la posibilidad de lanzar nuevas emisiones de deuda en común para afrontar las necesidades derivadas de la guerra en Ucrania pero ha  puntualizado que las conversaciones aún no están en ese punto y ha recordado que todavía está activo el plan de recuperación por la crisis del Covid, dotado con 750.000 millones de euros de créditos emitidos en común, de </w:t>
      </w:r>
      <w:r>
        <w:rPr>
          <w:rFonts w:ascii="Times New Roman" w:hAnsi="Times New Roman" w:cs="Times New Roman"/>
          <w:sz w:val="24"/>
          <w:szCs w:val="24"/>
        </w:rPr>
        <w:lastRenderedPageBreak/>
        <w:t>forma que “hay reservas que van a llegar”. Ya el vicepresidente del Ejecutivo comunitario, Frans Timmermans, enfrió los ánimos sobre esta posibilidad.</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de los eurobonos es una posibilidad que ya han evocado abiertamente algunos dirigentes de los países de la UE, como el primer ministro italiano, Mario Draghi.</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“Realpolitik” - Alarma entre los “ecolojetas” europeos: vuelve el “fantasma” del carbón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¿Habrá un adiós al carbón?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plena crisis energética, algunos países europeos recurren a fuentes como el carbón para equilibrar los precios desorbitados del mercado, algo que pone en peligro los objetivos climáticos de la UE para 2030.</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escalada en los precios de la energía está provocando que países como el nuestro acudan de forma temporal a otras fuentes de energía como el carbón.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cargamentos de este combustible fósil, de hecho seguirán llegando. Son, junto a las renovables y el gas procedente de otros países, una alternativa a la energía de la que proveía a Europa el país ruso.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diciembre del año 2020,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Para Paco Ramos, responsable del área de energía en Ecologistas, esta apuesta temporal por el mercado del carbón no es motivo de preocupación. A su juicio, aunque es cierto que ha habido un incremento en su uso, “representa un incremento marginal sobre una reducción inmensa producida en los últimos años”. Así, explica que en diciembre de 2021, la generación de carbón en España experimentó un aumento del 224% respecto al mismo mes del 2020, pasando de 222 gigawatios por hora a 721. “Esto es una mala noticia”, asegura, pero añade que, en contexto, la realidad es que en el mismo mes de 2018, la generación de carbón suponía el 14% a nivel nacional. En el 2021, tan sólo el 2%.</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guerra lo descompone todo”, lamenta Ramos, pero, a pesar de ello, subraya que ahora nos encontramos en un plan de cierre de las centrales térmicas para avanzar hacia energías más limpias. Como señala el experto, “las renovables aún van a tardar un tiempo, pero mientras hay que seguir cubriendo espacios”.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lo dicho, Rusia tiene a Alemania agarrada por los “eier”</w:t>
      </w:r>
    </w:p>
    <w:p w:rsidR="00DA27AD" w:rsidRDefault="00DA27AD" w:rsidP="00DA27AD">
      <w:pPr>
        <w:pStyle w:val="NormalWeb"/>
        <w:jc w:val="both"/>
        <w:textAlignment w:val="baseline"/>
        <w:rPr>
          <w:b/>
        </w:rPr>
      </w:pPr>
      <w:r>
        <w:rPr>
          <w:b/>
        </w:rPr>
        <w:t xml:space="preserve">“Tanto a corto como a largo plazo, Alemania no podrá poner fin a las importaciones de gas ruso sin desencadenar el caos económico, la indignación pública y la oposición de muchas empresas. Gran parte de la culpa debe atribuirse a años de estrategia energética equivocada”, </w:t>
      </w:r>
      <w:r>
        <w:t>dice Hans-Werner Sinn, profesor emérito de economía de la Universidad de Múnich, ex presidente del Instituto Ifo de Investigación Económica y miembro del Consejo Asesor del Ministerio de Economía alemán., en su artículo “</w:t>
      </w:r>
      <w:r>
        <w:rPr>
          <w:u w:val="single"/>
        </w:rPr>
        <w:t>El fiasco energético de Alemania</w:t>
      </w:r>
      <w:r>
        <w:t xml:space="preserve">”, publicado por Project Syndicate, el </w:t>
      </w:r>
      <w:r>
        <w:rPr>
          <w:b/>
        </w:rPr>
        <w:t>28/3/22.</w:t>
      </w:r>
    </w:p>
    <w:p w:rsidR="00DA27AD" w:rsidRDefault="00DA27AD" w:rsidP="00DA27AD">
      <w:pPr>
        <w:pStyle w:val="NormalWeb"/>
        <w:jc w:val="both"/>
        <w:textAlignment w:val="baseline"/>
      </w:pPr>
      <w:r>
        <w:rPr>
          <w:b/>
        </w:rPr>
        <w:t>El embargo al petróleo y al gas de Putin costaría un 3% del PIB europeo pero haría caer un 40% el de Rusia</w:t>
      </w:r>
      <w:r>
        <w:t xml:space="preserve">. Desde que comenzó la invasión de Ucrania, y la UE lanzó cuatro paquetes de sanciones al régimen de Vladímir Putin, “hay un agujero enorme que las hace inútiles”, explican los expertos: “Cada día, le mandamos más de 700 millones de euros, más de 23.000 millones ha recaudado ya. Y con ese dinero que le damos, financia la devastación de Ucrania” (El Español - </w:t>
      </w:r>
      <w:r>
        <w:rPr>
          <w:b/>
        </w:rPr>
        <w:t>1/4/22</w:t>
      </w:r>
      <w:r>
        <w:t>)</w:t>
      </w:r>
    </w:p>
    <w:p w:rsidR="00DA27AD" w:rsidRDefault="00DA27AD" w:rsidP="00DA27AD">
      <w:pPr>
        <w:pStyle w:val="NormalWeb"/>
        <w:jc w:val="both"/>
        <w:textAlignment w:val="baseline"/>
      </w:pPr>
      <w:r>
        <w:rPr>
          <w:b/>
        </w:rPr>
        <w:t>La “Ostpolitik” alemana ha durado 50 años: una intensa colaboración con la URSS y la Federación Rusa que neutraliza ahora a la primera economía de la UE</w:t>
      </w:r>
      <w:r>
        <w:t xml:space="preserve">. (El Confidencial - </w:t>
      </w:r>
      <w:r>
        <w:rPr>
          <w:b/>
        </w:rPr>
        <w:t>31/3/22</w:t>
      </w:r>
      <w:r>
        <w:t xml:space="preserve">) 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 (El Confidencial - </w:t>
      </w:r>
      <w:r>
        <w:rPr>
          <w:b/>
        </w:rPr>
        <w:t>31/3/22</w:t>
      </w:r>
      <w:r>
        <w:t>).</w:t>
      </w:r>
    </w:p>
    <w:p w:rsidR="00DA27AD" w:rsidRDefault="00DA27AD" w:rsidP="00DA27AD">
      <w:pPr>
        <w:pStyle w:val="NormalWeb"/>
        <w:jc w:val="both"/>
        <w:textAlignment w:val="baseline"/>
        <w:rPr>
          <w:b/>
        </w:rPr>
      </w:pPr>
      <w:r>
        <w:rPr>
          <w:b/>
        </w:rPr>
        <w:t xml:space="preserve">¿And now? ¿podrá sacar Alemania (y la UE) sus “eier”, de las garras de Putin? ¿dará  Alemania el paso al frente para liderar un embargo total e inmediato sobre las </w:t>
      </w:r>
      <w:r>
        <w:rPr>
          <w:b/>
        </w:rPr>
        <w:lastRenderedPageBreak/>
        <w:t>importaciones energéticas de Rusia a la UE? ¿Estará la población europea dispuesta a vivir sin los productos energéticos rusos? ¿Aceptará el fin de la energía (rusa) barata?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el debido respeto… (en el nombre de la Madre Tierra, del hijo y del… nieto)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está en mi capacidad (ni intención) debatir con estos “grandes bonetes” sobre el futuro de las energías neutras de carbono, que permitan alcanzar el objetivo de las cero emisiones en 2050. Solo intento llamar la atención (humildemente) sobre la “oportunidad” de asumir el compromiso en su totalidad (realidad económica), sobre la necesidad de una “participación” proporcional, mancomunada, y solidaria de todos los países, en el esfuerzo (realidad política), y sobre el justo “reparto” de costos y beneficios del emprendimiento, entre los ciudadanos, empresas y gobiernos (realidad social). No solo es una cuestión de plazos, y/o de responsabilidades, sino también de compensación a los perdedores del cambio.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la Unión Europea no posea petróleo o gas (y tenga que depender de proveedores externos impredecibles), pero no tiene por qué renunciar a la energía nuclear, para tranquilizar a los miedosos tecnológicos, o para congraciarse con los ecologistas radicales.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Tampoco el planeta se morirá de repente si por unos años más en la UE se utiliza carbón (como ya está haciendo Alemania o Polonia), para disminuir la factura energética. No hay que olvidar que la UE solo produce el 8% de los gases de efecto invernadero que se emiten a la atmósfera. (China 31%, y EEUU 14%). Hay grandes países que hacen de su capa un sayo.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 ¿Habrá sido por su complejo de “ossie” (NyC, en Alemania Oriental), o por la mano de Schroeder (Gazprom) que “mece la cuna”? ¡That is the question!</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Europa está obligada a imprimir un profundo cambio de rumbo en su política energética, para liberarse de la dependencia de dictadores de toda laya y condición. Los Gobiernos de la UE ya deberían estar manos a la obra, sin complejos, ni connivencias.</w:t>
      </w:r>
    </w:p>
    <w:p w:rsidR="00DA27AD" w:rsidRPr="0051130C" w:rsidRDefault="00DA27AD" w:rsidP="00DA27AD">
      <w:pPr>
        <w:spacing w:line="240" w:lineRule="auto"/>
        <w:jc w:val="both"/>
        <w:rPr>
          <w:rFonts w:ascii="Times New Roman" w:hAnsi="Times New Roman" w:cs="Times New Roman"/>
          <w:b/>
          <w:color w:val="FF0000"/>
          <w:sz w:val="24"/>
          <w:szCs w:val="24"/>
        </w:rPr>
      </w:pPr>
      <w:r w:rsidRPr="0051130C">
        <w:rPr>
          <w:rFonts w:ascii="Times New Roman" w:hAnsi="Times New Roman" w:cs="Times New Roman"/>
          <w:b/>
          <w:color w:val="FF0000"/>
          <w:sz w:val="24"/>
          <w:szCs w:val="24"/>
        </w:rPr>
        <w:t>La Unión Europea ante el fracaso de la Política Agraria Común (PAC)</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(18/3/22) Convulsión en los mercados agrarios (cuando la PAC hizo CRACK)</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cereal sube un 15% en una semana y pone en estado de alarma la inflación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inflación cambia de teatro de operaciones. Si hasta hace pocos días eran las materias primas asociadas a la energía -petróleo, gas o electricidad-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marca niveles máximos no conocidos desde 2012, según el Consejo Internacional de Cereales.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Pr>
          <w:rFonts w:ascii="Times New Roman" w:hAnsi="Times New Roman" w:cs="Times New Roman"/>
          <w:b/>
          <w:sz w:val="24"/>
          <w:szCs w:val="24"/>
        </w:rPr>
        <w:t>18/3/22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Aurelio Medel Vicente)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pandemia y la guerra de Ucrania ponen al descubierto los riesgos del abandono de productos básicos, como alimentos, confiando su producción a países capaces de suministrarlos a bajo precio. El abaratamiento y rapidez del transporte han hecho creer que da igual donde se produzca un bien, lo relevante es el coste (Made in China). Esta bendita globalización también ha multiplicado la capacidad de contagio de los virus y las guerras. El Covid-19 y el Putin-22 enseñan que ni el pan ni la democracia están garantizados.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Las generaciones de la EGB aprendieron que Ucrania es el granero de Europa. Ahora, con la invasión de Vladimir Putin, hasta en la barra del bar se sabe que España depende de Rusia y Ucrania en productos tan básicos como los cereales y el girasol, imprescindibles en la alimentación humana y animal. Tener petróleo y gas es cuestión de suerte; pero, ¡el trigo!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déficit en productos básicos está ligado a décadas (1960-1990) primando la industria frente al campo, lo urbano versus lo rural. Después vino la incorporación de España a la UE (1986) y con ella a la Política Agraria Común (PAC) y el principio de que quien paga manda, dice qué se siembra y qué no. España tiene hoy un sector agrario muy atomizado, de baja rentabilidad, con poco peso en la economía nacional, pese a la enorme extensión que ocupa, y con problemas estructurales, algunos contradictorios, como que haya suelo de cultivo abandonado y, a la vez, falta de tierra.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España cuenta con 23 millones de hectáreas de superficie agraria útil (SAU), el 76% de secano y el 24% de regadío. De ese territorio, el 10%, 2,32 millones de hectáreas, se encuentran en estado de abandono, lo que supone que lleva más de cinco años en barbecho o ya es un erial, según datos del Fondo Español de Garantía Agraria (FEGA) de 2019. De esa superficie desaprovechada, tan solo el 9% eran pastos permanentes; el resto, tierras de cultivo.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Investigadores del Instituto Pirenaico de Ecología (CSIC), Teodoro Lasanta, Estela Nadal-Romero y Makki Khorchani, y la profesora de la Universidad de Murcia Asunción Romero-Díaz, publicaron en 2021 un estudio sobre las tierras abandonadas en España en el que detallaban una serie de causas socioeconómicas, ambientales y de gestión que explican este abandono, entre las que destacan: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1. La migración de la población rural hacia las ciudades y el envejecimiento de la que permanece.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2. Las innovaciones tecnológicas y la mecanización, que ha impulsado el abandono de laderas, campos pequeños y áreas poco accesibles a la maquinaria agrícola.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3. La baja productividad de algunos campos, por escasa fertilidad o suelos con horizontes poco desarrollados o muy pedregosos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4. La elevada competitividad de los mercados, lo que hace poco rentables algunos cultivos y algunas zonas rurales.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5. Los efectos de la PAC, que entre 1989 y 2008 incentivó el abandono de tierras agrícolas de forma permanente o temporal.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6. El clima en ambientes semiáridos que reduce la productividad y aumenta la incertidumbre frente a la irregularidad de las lluvias.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7. La existencia de ocupaciones alternativas.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8. Factores vinculados a la gestión: inadecuado manejo de explotaciones, sobreexplotación y salinización del suelo y/o de los acuíferos, etc. Estas razones para abandonar suelo útil conviven con que el acceso a la tierra sea la principal barrera de entrada de los jóvenes al sector agrícola, según un estudio realizado por la Comisión Europea. Por eso, el Ministerio de Agricultura, Pesca y Alimentación creó un Grupo Focal de Acceso a la Tierra que en 2020 elaboró un informe para abordar este problema.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superficie agraria española está gestionada por 945.000 explotaciones, con un tamaño medio de 25 hectáreas, el 93% propiedad de personas físicas. Se trata, por tanto, de un sector familiar. Esta característica, que es clave para vertebrar el territorio y fijar población, se convierte en “uno de los principales problemas que amenazan el futuro del sector agrario español, la falta de relevo generacional”, señala el estudio sobre el acceso a la tierra elaborado por el Ministerio de Agricultura, Pesca y Alimentación. En España, por cada joven agricultor (menor de 40 años) hay casi cuatro mayores de 65 años, mientras que la media de la UE es de un joven por tres mayores.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Para solventar esta situación de abandono de tierras y, a la vez, dificultad de acceso a las mismas, el Estado y las comunidades autónomas han promovido diferentes iniciativas, que no han dado grandes resultados. Todos tienen el mismo propósito, cultivar aquellas tierras que por una razón u otra han quedado abandonadas. No se trata solo de tierras de montaña de difícil explotación, hay bancos de tierras de regadío en Extremadura o en la huerta murciana, que se ofrecen para intermediar entre los propietarios que no las cultivan y los interesados en explotarlas.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semana pasada el grupo Armanext, especializado en sacar compañías a Bolsa, presentó una iniciativa que encaja entre las soluciones que plantea el Estudio Sobre el Acceso a la Tierra, dar entrada a nuevos actores. Armanext sugiere extender la regulación de las socimi al sector agrario, como ya ocurre en otros países. En definitiva, como sucede en hoteles o centros comerciales, separar la propiedad del activo (edificio/tierra) de la gestión (la explotación), de manera que familias propietarias, pero desinteresadas en el sector agrícola, puedan arrendarlas a largo plazo a jóvenes o empresas para que las exploten.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Esto facilitaría que, por ejemplo, el capital riesgo, que ya ha entrado en la industria agroalimentaria, dé un paso más y se interese por los cultivos e inyecte capital que facilite la modernización y ensanche el campo. Esto podría generar un círculo virtuoso, con explotación de tierras abandonadas, creación de empleo, sostenimiento de población en zonas rurales, reapertura de servicios públicos, revalorización del patrimonio rural y menor dependencia del exterior en productos básicos. Es un lujo absurdo tener un 10% del suelo cultivable como un erial, cualquier medida que lo movilice debería ser bien recibida.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(Aurelio Medel es Doctor en Ciencias de la Informa</w:t>
      </w:r>
      <w:r w:rsidR="00161C7F">
        <w:rPr>
          <w:rFonts w:ascii="Times New Roman" w:hAnsi="Times New Roman" w:cs="Times New Roman"/>
          <w:sz w:val="24"/>
          <w:szCs w:val="24"/>
        </w:rPr>
        <w:t>ción. Profesor de la Univ.</w:t>
      </w:r>
      <w:r>
        <w:rPr>
          <w:rFonts w:ascii="Times New Roman" w:hAnsi="Times New Roman" w:cs="Times New Roman"/>
          <w:sz w:val="24"/>
          <w:szCs w:val="24"/>
        </w:rPr>
        <w:t xml:space="preserve"> Complutense)</w:t>
      </w:r>
    </w:p>
    <w:p w:rsidR="00DA27AD" w:rsidRDefault="00DA27AD" w:rsidP="00DA27AD">
      <w:pPr>
        <w:pStyle w:val="NormalWeb"/>
        <w:jc w:val="both"/>
        <w:rPr>
          <w:b/>
          <w:shd w:val="clear" w:color="auto" w:fill="FFFFFF"/>
        </w:rPr>
      </w:pPr>
      <w:r>
        <w:rPr>
          <w:b/>
          <w:shd w:val="clear" w:color="auto" w:fill="FFFFFF"/>
        </w:rPr>
        <w:t>Nota: A la Unión Europea se le acabó el cuento del “fin de la historia”, ahora se ven obligados a hacerla, aunque sea sobre la tierra de Ucrania, martirizada en millones de refugiados y una guerra implacable de la que sólo intuimos dos certezas, que sus efectos serán duraderos y que dejará muchas víctimas. </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 verdad de la milanesa: La evacuación del “Gosplán” en la Política Agraria Común (PAC) provoca la pérdida de soberanía alimentaria de la Unión Europea </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PAC de la UE es enemiga de la soberanía alimentaria (hipocresía de escaparate)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qué se antepone el beneficio económico (de unos pocos) por delante de cualquier otra cosa?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Política Agraria Común (PAC) tiene como objetivo la industrialización de la agricultura para el aumento de la productividad, anteponiéndola a cualquier razón social, ecológica, territorial, de seguridad alimentaria y de solidaridad.</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lugar de proteger la producción campesina, los mercados locales y la seguridad alimentaria para los consumidores, la PAC:</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favorece la producción para la exportación;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propicia un modelo de agricultura y ganadería industrial y mercantil que, bajo el acicate de la competitividad, obliga a un aumento constante de la productividad y elimina a las explotaciones menos competitivas;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precariza y proletariza el trabajo en el campo;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favorece la concentración y verticalización del sector, siendo las multinacionales agroalimentarias las que dictan las normas para la agricultura y la alimentación;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utiliza a los agricultores y ganaderos como meros instrumentos del proceso de producción y distribución global de mercancías alimentarias, espoleando a los consumidores hacia la comida basura.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PAC motoriza un modelo mercantil-industrial globalizado de alimentos, y sus formas de distribución y consumo,  bajo una óptica agroalimentaria internacional.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una vez, la Comisión Europea ha conseguido una rara unanimidad: se ha puesto en contra a todas las organizaciones profesionales agrarias y de cooperativas de los países miembro de la UE. En mayo de 2020 el campo europeo rechazó de plano la propuesta que acaba de lanzar Bruselas revestida con los pretenciosos conceptos de “Pacto Verde” y la estrategia “De la granja a la Mesa”.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Bajo tales principios, tan sugerentes, figuraban los anuncios de próximas políticas encaminadas a imponer drásticas reducciones de la capacidad productiva de los agricultores y ganaderos, que lo hará caer aún más su rentabilidad y su viabilidad futura.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grandes postulados anunciados fueron estos: severos recortes en el listado de plaguicidas químicos (un 30% menos y restricciones de uso añadidas), reducción del 20% de los fertilizantes utilizados (en especial de nitrógeno y fósforo), obligación de destinar un 10% de la tierra cultivada a fines no productivos y catalogados como “elementos del paisaje”…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pretensión era que este primer “impulso” se lograra entre 2020 y 2030, diez años, porque para 2050 se quiere que todo sea ecológico, bajo el paraguas supremo de la “descarbonización de la economía europea”. Empezaban por el sector agrario, pero sin el concurso del sector agrario, ni siquiera de las autoridades agrarias. Como aquello del despotismo ilustrado: “para el pueblo, pero sin el pueblo”.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presentación de estos objetivos “verdes” y ecologistas de la Comisión Europea hubo ausencias que más que notables, resultaron escandalosas. No estuvo el comisario de Agricultura, el polaco Janusz Wojciechowski, ni los ministros de Agricultura de los países (no han sido consultados directamente sobre el asunto), ni tampoco miembros de la Comisión </w:t>
      </w:r>
      <w:r>
        <w:rPr>
          <w:rFonts w:ascii="Times New Roman" w:hAnsi="Times New Roman" w:cs="Times New Roman"/>
          <w:sz w:val="24"/>
          <w:szCs w:val="24"/>
        </w:rPr>
        <w:lastRenderedPageBreak/>
        <w:t>de Agricultura del Parlamento Europeo, ni mucho menos representantes de los propios interesados.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indignación fue total en los diversos estamentos agrarios del continente; en todos los países, en cada sitio con predominio de unos aspectos u otros.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Se hizo más que evidente que el aparato burocrático de Bruselas no tomó nota de las protestas agrarias de meses anteriores. Para nada. Ni caso. Porque el detonante que empujó las manifestaciones y tractoradas que empezaron por Holanda, Alemania, Bélgica… fue el hartazgo general de agricultores y ganaderos ante las crecientes condiciones y restricciones de tipo ecologista, que suponen aumentos de carga burocrática, pérdidas productivas, nuevos gastos y consiguientemente descensos de rentabilidad y de reconocimiento de la profesión.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respuesta de rechazo general vino a indicar que es imposible y hasta utópico lo que quiere conseguir Bruselas, porque no se puede producir lo mismo con mucho menos, y, en todo caso, si no se mejora el aspecto financiero, si no aumentan los precios unitarios, ni mejoran las ayudas públicas (que al contrario, van a bajar), será pretender la cuadratura del círculo.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Como no se anunciaron pagos por los servicios de reducción productiva que se quieren exigir, las asociaciones de agricultores tuvieron muy claro cuál era el objetivo: “Europa renuncia a la soberanía alimentaria”. Su razonamiento indicaba que “se trata de una tapadera para reducir la producción agraria europea y sustituirla por la foránea”. ¿Por qué? La respuesta de los agricultores fue: “No les importa que perdamos la independencia alimentaria y nos arruinemos los productores porque es eso lo que buscan: traer alimentos de fuera para poder exportar a cambio más coches y más productos industriales a los países que dejarán que sigan siendo agrícolas para abastecernos, como ya está pasando”.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apoyo de esta tesis recordaron que “los grandes impulsores de estas estrategias son la presidenta de la comisión, Úrsula Von der Leyen, alemana, y el vicepresidente Frans Timmermans, holandés. Alemania, primer motor industrial de exportación; Holanda, primer receptor de las importaciones agroalimentarias de países terceros que luego reexporta al resto de la UE”.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organización de las cooperativas agrarias reclamaba: “objetivos basados en evidencias científicas y no en argumentos ideológicos”, mientras que otras entidades gremiales rechazan “la hipocresía de las políticas de escaparate de la UE, porque su estrategia exige más compromisos a los agricultores, con el incremento de costes de producción, sin reforzar el presupuesto de la PAC”.</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modelo de seguridad alimentaria de la UE: la Política Agrícola Común (PAC)</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PAC en la actualidad, según la Comisión Europea, busca responder a la demanda pública de un sector agrícola sostenible en Europa a través de reforzar la competitividad del sector agrícola, asegurar una oferta de alimentos suficientes y seguros, preservar el medio ambiente y el entorno rural así como proveer de un nivel de vida justo a la comunidad agrícola.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Puede verse así como este modelo responde a las características del multifuncionalismo, en la medida en que se pretende de la PAC que garantice una variedad de objetivos de carácter político, económico y social.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modelo de seguridad alimentaria de los Estados de la UE se define en el nivel comunitario, sin que los niveles de los Gobiernos nacionales tengan poder de decisión. La política de seguridad alimentaria de la UE se define en base a las necesidades, prioridades y objetivos </w:t>
      </w:r>
      <w:r>
        <w:rPr>
          <w:rFonts w:ascii="Times New Roman" w:hAnsi="Times New Roman" w:cs="Times New Roman"/>
          <w:sz w:val="24"/>
          <w:szCs w:val="24"/>
        </w:rPr>
        <w:lastRenderedPageBreak/>
        <w:t>del conjunto, pero no responde a los intereses de cada uno de los Estados, que sólo pueden intentar defender sus preferencias a través de las distintas instituciones comunitarias.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Trata de responder a una visión de conjunto sin que las especificidades nacionales reciban una respuesta individualizada, aun existiendo contextos muy diferentes de unos Estados miembros a otros, ya sea climatológicamente, orográficamente, demográficamente, económicamente o socialmente.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sector de la producción y comercialización de los productos alimenticios es el único mercado realmente común de la UE, cuya política se define se definen las prioridades políticas y se legisla en el seno de las instituciones europeas, y los Estados miembros sólo aplican y ejecutan esa política, que puede considerarse única. Es una política que afecta a un mercado compuesto por 27 Estados miembros y que engloba a 495 millones de personas, tercer mercado del planeta, sólo después de China y la India. La PAC implica, por tanto, la existencia de reglas únicas de producción, comercialización y distribución de productos alimenticios y de protección de la salud y seguridad de los consumidores y del bienestar de los animales aplicables a ese mercado. Igualmente supone una financiación común de esa política con cargo al presupuesto comunitario, constituyendo todavía al día de hoy una de las principales partidas de gasto.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formulación de la PAC y sus distintas reformas se han mostrado como una de las áreas políticas de mayor complejidad en la Unión Europea, donde se produce la colusión de intereses muy diversos: nacionales, económicos e institucionales. Es, incluso, es una de las áreas más fértiles para la acción de los lobbies, representantes de los intereses de los agricultores y de la industria agroalimentaria, que tratan de hacer llegar sus demandas a las instituciones comunes. Dado que el sostenimiento financiero del modelo es exclusivamente comunitario es, además, un área política que entra en conflicto con otras discusiones, especialmente aquella relativa a las Perspectivas Financieras, donde se discuten los presupuestos. Entran así en conflicto las posiciones de Estados con un fuerte sector agrícola que defenderán presupuestos amplios para la UE, como es el caso de Francia, con los que no obtienen tanto beneficio de las asignaciones de la PAC, que pugnan por recortes del presupuesto y de la PAC10. Igualmente los Estados tienden a apoyar aquellas reformas que responden no a necesidades objetivas del conjunto sino a las de sus agriculturas e industrias concretas y, lógicamente los Estados grandes, como Francia en este caso, tienen un mayor peso. Todos estos condicionantes, por tanto, afectan a la definición del modelo de seguridad alimentaria europea en cada momento que no depende exclusivamente de un análisis técnico y político centrado en las necesidades alimentarias europeas.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PAC, como cualquier atribución política a la UE, se encuentra regulada por el Tratado de Funcionamiento de la Unión (TFUE). Como consecuencia de la reforma del Tratado de Lisboa, la agricultura en su artículo 4 es categorizada como una competencia compartida entre la UE y sus Estados miembros, cuyo ejercicio queda afectado por los principios de proporcionalidad y subsidiariedad. El hecho de que sea una política común no es contradictorio con la competencia complementaria. El amplio ejercicio de la competencia por parte de la UE, en la práctica, ha limitado el papel de los Estados miembros a la ejecución de escasa normativa y a la mera aplicación de lo dispuesto en Bruselas.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objetivos que debe cumplir taxativamente la PAC se encuentran recogidos en el artículo 39 del TFUE, que, a efectos prácticos, constituyen el marco político y jurídico para el desarrollo de la competencia y, por tanto, para la definición del modelo de seguridad alimentaria europeo. Estos son: incrementar la productividad agrícola fomentando el progreso </w:t>
      </w:r>
      <w:r>
        <w:rPr>
          <w:rFonts w:ascii="Times New Roman" w:hAnsi="Times New Roman" w:cs="Times New Roman"/>
          <w:sz w:val="24"/>
          <w:szCs w:val="24"/>
        </w:rPr>
        <w:lastRenderedPageBreak/>
        <w:t>técnico, asegurando el desarrollo racional de la producción y el empleo óptimo de los factores; garantizar un nivel de vida equitativo a la población agrícola; estabilizar los mercados; garantizar la seguridad de los abastecimientos; y asegurar al consumidor precios razonables. Además, esta política, como el resto de las comunitarias se ve afectada por una serie de objetivos transversales que deben respetarse al mismo nivel que los específicos: el respeto y protección del medio ambiente (art. 11), la garantía de la salud y seguridad de los consumidores (art. 12), el bienestar de los animales (art. 13) y otras cláusulas sociales como el pleno empleo, protección social y formación cualificada o la igualdad entre mujer y hombre (arts. 7 y 8).</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la definición y aplicación del modelo de seguridad alimentaria europeo el protagonismo lo tienen las tres instituciones comunitarias que conforman el conocido triángulo en la decisión comunitaria. La Comisión tiene la iniciativa legislativa con carácter exclusivo y la normativa será fruto de la aprobación tanto del Consejo por mayoría cualificado, como del Parlamento. Hoy ha quedado desplazado el tradicional peso de los Estados miembro, ya que antes el Parlamento no intervenía y la mayoría de las decisiones se alcanzaban por consenso, en aplicación del tradicional Compromiso de Luxemburgo. El fuerte protagonismo de las instituciones comunes y los procedimientos institucionalizados europeos hace que la política se caracterice por ser mayoritariamente estable, cuyas reformas presentan resultados parciales, limitados e incrementales.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“papanatismo” alimentario: cuando las barbas de tu vecino veas afeitar (ya es tarde) </w:t>
      </w:r>
    </w:p>
    <w:p w:rsidR="00DA27AD" w:rsidRDefault="00DA27AD" w:rsidP="00DA27AD">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A modo de ejemplo: España y los “girasoles de Ucrania”</w:t>
      </w:r>
    </w:p>
    <w:p w:rsidR="00DA27AD" w:rsidRDefault="00DA27AD" w:rsidP="00DA27AD">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 xml:space="preserve">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España depende en una buena parte del cereal que llega de Ucrania y la guerra amenaza con falta de maíz, trigo y, sobre todo, girasol, tanto en forma de aceite como de pipas, las importaciones de cereales de este país suponen más del 50%.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dos principales productos que la economía española importó de Ucrania en 2021 fueron cereales por valor de 545 millones de euros, y grasas y aceites vegetales, por 422,5 millones de euros, según el Instituto de Comercio Exterior (ICEX).</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“En la importación de productos ucranianos en España destacaría un aspecto que es la alimentación, concretamente, los cereales. En el caso del maíz, hay que tener en cuenta que España importa un 30% de Ucrania. En cuanto al girasol, estamos hablando de un 60%. Si nos centramos, por ejemplo en trigo, está alrededor del 17%. Las leguminosas de grano, es decir, las semillas, un 15%”, explica a El HuffPost (</w:t>
      </w:r>
      <w:r>
        <w:rPr>
          <w:rFonts w:ascii="Times New Roman" w:hAnsi="Times New Roman" w:cs="Times New Roman"/>
          <w:b/>
          <w:sz w:val="24"/>
          <w:szCs w:val="24"/>
        </w:rPr>
        <w:t>3/3/22</w:t>
      </w:r>
      <w:r>
        <w:rPr>
          <w:rFonts w:ascii="Times New Roman" w:hAnsi="Times New Roman" w:cs="Times New Roman"/>
          <w:sz w:val="24"/>
          <w:szCs w:val="24"/>
        </w:rPr>
        <w:t>), Cristian Castillo, profesor de Estudios de Economía y Empresa de la UOC.</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Según el último informe del Ministerio de agricultura, pesca y alimentación, en la última campaña 2020/21 se importaron 303.542 toneladas de aceite de girasol, 718 toneladas de pipas de girasol y 126.000 toneladas de harina de girasol, utilizada principalmente para piensos.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guerra puede provocar desabastecimiento de estos productos si se prolonga durante más tiempo. “Estamos hablando de una afectación importante en cuanto a esas importaciones que llevamos haciendo desde hace muchos años, porque España es deficitaria en cereales”, recuerda Castillo.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existen alternativas como Brasil, Estados Unidos o Francia de los que se podrían importar también esta materia prima, quitar de la ecuación a Ucrania por un lado, </w:t>
      </w:r>
      <w:r>
        <w:rPr>
          <w:rFonts w:ascii="Times New Roman" w:hAnsi="Times New Roman" w:cs="Times New Roman"/>
          <w:sz w:val="24"/>
          <w:szCs w:val="24"/>
        </w:rPr>
        <w:lastRenderedPageBreak/>
        <w:t>incrementará los costes al reducirse la disponibilidad y, por otro, podrá tener plazos de entrega más largos”, sostiene.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especialista señala que para buscar estas alternativas también hay que tener en cuenta las dificultades burocráticas que hay con algunos de ellos. “Por ejemplo, Estados Unidos o incluso Brasil, utilizan métodos de fabricación transgénicos, que a la hora de importar a la Comunidad Europea por las normativas que tenemos aquí, pueden provocar sanciones. Con lo cual existen alternativas a esos volúmenes, pero no son inmediatas ni fáciles”, sentencia.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Para ello, habría que regular de nuevo estas directrices europeas y permitir mayor flexibilidad en las normativas debido a la situación de emergencia. Sin embargo, Estados Unidos se puede convertir en una alternativa para la importación de pipas. De hecho, en los últimos años le había comido terreno a la ucraniana con un 14% de la importación de pipas de girasol de países fuera de la UE, con un total de 9.369 toneladas, según datos de Eurostat.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Todo esto, dependerá de la evolución de la crisis, al igual que el efecto en el bolsillo del consumidor. “Si la guerra se sigue prolongando, los precios van a subir y el consumidor lo va a notar en el bolsillo”, enfatiza el experto, que apunta a que hay muchos otros países que importan de Ucrania y que buscarán estas alternativas. “Nos vamos a encontrar con esa saturación y subidas de precios que van a afectar al consumidor”, añade.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Del mismo modo, España podría ver reducida la importación de otros países como Francia, Bulgaria y Rumanía, que acumulan según Eurostat un porcentaje cercano al 60% en las importaciones de pipas de girasol, al tener estos, más demanda de otros países.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lo que se pudiera pensar por el buen clima y las extensiones del terreno, en España no se ha invertido en los últimos años en la agricultura del cereal, a pesar de la tradición castellana de este cultivo, por lo que una producción propia sería por ahora inviable.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 una contradicción. Sorprende que en España, que es un país con buen clima, pase esto. A veces es por todo el tema de los costes internos, por los que desgraciadamente sale casi más a cuenta e importar que fabricar”, apunta.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“No somos capaces con la fabricación actual interna de poder cumplir con las necesidades reales y nos obligan a tener importar. Pero evidentemente como reflexión, seguramente a largo plazo, haya que invertir para poder tener este tipo de fabricación de producción en territorio. Ya estamos viendo la dependencia que tenemos de algunos productos, que podríamos ser nosotros también exportadores”, señala Castillo.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Más allá de las pipas, el problema principal en España lo tienen los agricultores debido a la dependencia que tienen del cereal que llega de Ucrania para la fabricación de piensos. Según los datos del ICEX, este supuso el 30% del total importado.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los fabricantes de piensos para fabricación animal no se han mostrado preocupados por ahora ya que han recalcado que cuentan con existencias hasta abril en puertos y almacenes, pero sí recuerdan en declaraciones a EFE que ahora es cuando se cerraban las compras de este cereal hasta agosto, frente a la compra de junio a diciembre que se lleva a cabo desde Brasil. Sin embargo, la conjunción de la falta de cereal y la sequía puede suponer un aumento de precios en la ganadería.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destino de todas estas importaciones es, fundamentalmente, la elaboración de piensos para nuestra ganadería y una falta de suministro derivará en el encarecimiento de estas materias primas, algo que para los ganaderos españoles sería de fatales consecuencias en </w:t>
      </w:r>
      <w:r>
        <w:rPr>
          <w:rFonts w:ascii="Times New Roman" w:hAnsi="Times New Roman" w:cs="Times New Roman"/>
          <w:sz w:val="24"/>
          <w:szCs w:val="24"/>
        </w:rPr>
        <w:lastRenderedPageBreak/>
        <w:t>estos momentos que nos vemos afectados por la sequía que padece España”, señalan desde la Asociación de Jóvenes Agricultores (ASAJA).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es una cadena y las consecuencias de todo este conflicto ya no son incluso para estas importaciones sino también a nivel de exportaciones. Evidentemente, a nivel de ganadería e industria tanto en sus compras de materia prima para poder alimentar a los animales, como poder exportar el tema de la alimentación, esta situación repercute al comercio y genera tensión en las empresas.</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Viaje a la autosuficiencia: producir en España lo que falta desde Ucrania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Tiempos de acopio. Tras arrasar con el papel higiénico en la pandemia, los ciudadanos se han lanzado ahora a por el aceite de girasol. Tanto el Covid como la guerra de Ucrania han puesto en tela de juicio muchos valores que en Europa dábamos por sentados, entre ellos, el de la autosuficiencia. El ministro de Agricultura alemán, Cem Oezdemir, hizo esta semana un llamamiento a los ministros de los países G7 a abordar el tema de la seguridad alimentaria. Unas declaraciones que también compartió Luis Planas ante el Congreso de los Diputados, cuando destacó la autonomía estratégica como “un tema fundamental” para la Unión Europea. La guerra en Ucrania pone en el foco sobre un tema que España lleva años arrastrando: el descontento del sector agrario y el poco interés económico por su desarrollo. La autosuficiencia tiene un precio.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presidente de ASAJA Extremadura, Ángel García Blanco, cree que la guerra en Ucrania obligará a la Unión Europea a tomar la decisión de que se siembren las tierras en barbecho de proteaginosas, como la soja o el girasol, para evitar el desabastecimiento, debido a que el país invadido por Rusia es el principal exportador de estos productos. </w:t>
      </w:r>
    </w:p>
    <w:p w:rsidR="00DA27AD" w:rsidRDefault="00DA27AD" w:rsidP="00DA27AD">
      <w:pPr>
        <w:pStyle w:val="titulo"/>
        <w:shd w:val="clear" w:color="auto" w:fill="F7F7F7"/>
        <w:spacing w:before="0" w:beforeAutospacing="0"/>
        <w:jc w:val="both"/>
        <w:rPr>
          <w:color w:val="000000"/>
        </w:rPr>
      </w:pPr>
      <w:r>
        <w:rPr>
          <w:color w:val="000000"/>
        </w:rPr>
        <w:t>Y es que Ucrania “era el granero de Europa” y casi el 40% del maíz que se consume en España y más del 50% del aceite de girasol procede de este país, por lo que el líder agrario cree que en la próxima reunión de ministros de Agricultura de la Unión Europea (UE) se va a cambiar “radicalmente” la Política Agraria Comunitaria (PAC) en determinadas normativas.</w:t>
      </w:r>
      <w:r>
        <w:rPr>
          <w:color w:val="000000"/>
        </w:rPr>
        <w:br/>
      </w:r>
      <w:r>
        <w:rPr>
          <w:color w:val="000000"/>
        </w:rPr>
        <w:br/>
        <w:t>Por ejemplo, en el caso de la obligatoriedad de dejar tierras en barbecho porque “van a obligar que se siembren de proteaginosas con el fin de garantizar la autonomía alimentaria por parte de la Unión Europea”, ha explicado este martes en una rueda de prensa a preguntas sobre los efectos que tendrá la guerra en la agricultura. García Blanco ha recordado que la PAC surge en el Tratado de Roma, firmado en marzo de 1957, con la intención de garantizar la autonomía alimentaria de Europa y, una vez que se ha conseguido, “hemos pasado de una PAC con característica medioambiental sin fijarse en la autonomía pero, desgraciadamente, esta guerra nos pone en que no podemos tener una dependencia exterior y hay que establecer claramente la posibilidad de que Europa se autoabastezca de sus propias producciones”.</w:t>
      </w:r>
    </w:p>
    <w:p w:rsidR="00DA27AD" w:rsidRDefault="00DA27AD" w:rsidP="00DA27AD">
      <w:pPr>
        <w:pStyle w:val="titulo"/>
        <w:shd w:val="clear" w:color="auto" w:fill="F7F7F7"/>
        <w:jc w:val="both"/>
        <w:rPr>
          <w:color w:val="000000"/>
        </w:rPr>
      </w:pPr>
      <w:r>
        <w:rPr>
          <w:color w:val="000000"/>
        </w:rPr>
        <w:t xml:space="preserve">Las aceiteras prevén escasez de girasol a partir de mayo y piden impulsar el cultivo rápido en España. La industria del dulce, las conserveras y otros productos como las salsas van a ser los principales perjudicados por el encarecimiento de este líquido. La industria del dulce está “reformulando” sus productos para emplear otros aceites y pide flexibilidad para el etiquetado para que se puedan emplear otras grasas vegetales. </w:t>
      </w:r>
    </w:p>
    <w:p w:rsidR="00DA27AD" w:rsidRDefault="00DA27AD" w:rsidP="00DA27AD">
      <w:pPr>
        <w:pStyle w:val="titulo"/>
        <w:shd w:val="clear" w:color="auto" w:fill="F7F7F7"/>
        <w:jc w:val="both"/>
        <w:rPr>
          <w:color w:val="000000"/>
        </w:rPr>
      </w:pPr>
      <w:r>
        <w:rPr>
          <w:color w:val="000000"/>
        </w:rPr>
        <w:t xml:space="preserve">Otra solución es que se impulsen los cultivos rápidos o de ciclos cortos. Justo es en los meses de primavera cuando se empiezan a cultivar en el sur de España las semillas de girasol, que se </w:t>
      </w:r>
      <w:r>
        <w:rPr>
          <w:color w:val="000000"/>
        </w:rPr>
        <w:lastRenderedPageBreak/>
        <w:t xml:space="preserve">recogen a partir del mes de octubre. Algunas variedades de ciclos cortos -cultivos que se dan en menos meses y con menor rentabilidad- incluso podrían llegar a cosecharse para verano. </w:t>
      </w:r>
    </w:p>
    <w:p w:rsidR="00DA27AD" w:rsidRDefault="00DA27AD" w:rsidP="00DA27AD">
      <w:pPr>
        <w:pStyle w:val="titulo"/>
        <w:shd w:val="clear" w:color="auto" w:fill="F7F7F7"/>
        <w:jc w:val="both"/>
        <w:rPr>
          <w:color w:val="000000"/>
        </w:rPr>
      </w:pPr>
      <w:r>
        <w:rPr>
          <w:color w:val="000000"/>
        </w:rPr>
        <w:t>“Se trata de un cultivo que, a diferencia de los cereales como el trigo o el maíz, sí podría sembrarse en zonas como Castilla y León porque no tiene un uso intensivo del agua”, explica Jorge de Saja, el presidente de la Asociación nacional de empresas para el fomento de las oleaginosas y su extracción (Afoex).</w:t>
      </w:r>
    </w:p>
    <w:p w:rsidR="00DA27AD" w:rsidRDefault="00DA27AD" w:rsidP="00DA27AD">
      <w:pPr>
        <w:pStyle w:val="titulo"/>
        <w:shd w:val="clear" w:color="auto" w:fill="F7F7F7"/>
        <w:jc w:val="both"/>
        <w:rPr>
          <w:color w:val="000000"/>
        </w:rPr>
      </w:pPr>
      <w:r>
        <w:rPr>
          <w:color w:val="000000"/>
        </w:rPr>
        <w:t xml:space="preserve">Las hectáreas de girasol en España se han venido reduciendo desde hace años por ser un cultivo “poco rentable” y que, además, “no estaba favorecido en la PAC”. En concreto, España produjo 878.000 toneladas de semilla de girasol e importó 228.000 toneladas en 2020, según datos de la Federación Europea de Aceites y Oleaginosas (Fediol). En cuanto a los litros de este aceite, España produjo 507.000 toneladas e importó 606.000 toneladas. </w:t>
      </w:r>
    </w:p>
    <w:p w:rsidR="00DA27AD" w:rsidRDefault="00DA27AD" w:rsidP="00DA27AD">
      <w:pPr>
        <w:pStyle w:val="NormalWeb"/>
        <w:shd w:val="clear" w:color="auto" w:fill="F7F7F7"/>
        <w:jc w:val="both"/>
        <w:rPr>
          <w:b/>
          <w:color w:val="000000"/>
        </w:rPr>
      </w:pPr>
      <w:r>
        <w:rPr>
          <w:b/>
          <w:color w:val="000000"/>
        </w:rPr>
        <w:t>Entre los gozos y las sombras, España sirve como ejemplo del esperpento de la PAC</w:t>
      </w:r>
    </w:p>
    <w:p w:rsidR="00DA27AD" w:rsidRDefault="00DA27AD" w:rsidP="00DA27AD">
      <w:pPr>
        <w:pStyle w:val="NormalWeb"/>
        <w:shd w:val="clear" w:color="auto" w:fill="F7F7F7"/>
        <w:jc w:val="both"/>
        <w:rPr>
          <w:color w:val="000000"/>
        </w:rPr>
      </w:pPr>
      <w:r>
        <w:rPr>
          <w:color w:val="000000"/>
        </w:rPr>
        <w:t>¿Cómo podré explicarle a mis nietos, que han sido “condenados a ser más pobres”, que sus padres, por unos burócratas de Bruselas, que en su “puta vida” han trabajado en el campo, o en una empresa; que nunca han tenido que hacer sacrificios para pagar una nómina, o los seguros sociales, o los impuestos, con los que luego los expolia, la misma entidad que dice defenderlos?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daño colateral de la guerra en la cesta de la compra: el precio del trigo y del maíz sube un 43% y un 18%.</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España pide a Bruselas usar el 10% de sus tierras de cultivo para plantar el cereal perdido por la guerra en Ucrania. Reclama que deje de ser obligatorio que haya tierras en barbecho para cobrar la PAC.</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Alerta en la ganadería: los productores de pienso prevén escasez de maíz en un mes por la guerra de Ucrania.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España podría cultivar en un 10% más de hectáreas si dejara de tener tierras en barbecho.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¿Aceptará Bruselas que deje de ser obligatorio para los agricultores tener tierras sin cultivar para poder ser beneficiarios de la Política Agraria Común (PAC)?</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¿Cómo podré explicarle a mis nietos que en la moderna, ecológica, sostenible, circular, feminista, global, virtual, resiliente, disruptiva, progresista, democrática, dialogante, consensual, unánime… Unión Europea, los contribuyentes estamos condenados a “pagar los platos rotos sin tener nada que ver”?</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¿Cómo podré explicarle a mis nietos que la Unión Europea renunció, “voluntariamente”, a su “autosuficiencia alimentaria”, a su “soberanía energética”  y su “riqueza industrial”?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Y luego de haberles “explicado lo inexplicable”, ¿cómo podré convencerles para que sean unos “eurófilos”? ¿ilusionarlos con la “ciudadanía” de los Estados Unidos de Europa?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¿Habrá llegado el momento que para ser “eurófilo”, habrá que ser “eurofobo”?</w:t>
      </w:r>
    </w:p>
    <w:p w:rsidR="00DA27AD" w:rsidRDefault="00DA27AD" w:rsidP="00DA27AD">
      <w:pPr>
        <w:pStyle w:val="NormalWeb"/>
        <w:jc w:val="both"/>
        <w:rPr>
          <w:color w:val="000000"/>
        </w:rPr>
      </w:pPr>
      <w:r>
        <w:rPr>
          <w:rFonts w:eastAsiaTheme="minorHAnsi"/>
          <w:lang w:eastAsia="en-US"/>
        </w:rPr>
        <w:t xml:space="preserve">¿Hasta dónde es socialmente tolerable, </w:t>
      </w:r>
      <w:r>
        <w:rPr>
          <w:color w:val="000000"/>
        </w:rPr>
        <w:t>que trabas burocráticas, reticencias políticas, y boicots ecologistas, hayan hecho prácticamente imposible el progreso económico de la UE?</w:t>
      </w:r>
    </w:p>
    <w:p w:rsidR="00DA27AD" w:rsidRDefault="00DA27AD" w:rsidP="00DA27AD">
      <w:pPr>
        <w:pStyle w:val="NormalWeb"/>
        <w:jc w:val="both"/>
        <w:rPr>
          <w:color w:val="000000"/>
        </w:rPr>
      </w:pPr>
      <w:r>
        <w:rPr>
          <w:color w:val="000000"/>
        </w:rPr>
        <w:lastRenderedPageBreak/>
        <w:t>¿Cuánto tiempo más la sociedad europea tolerará el despropósito de que unos “burócratas” (que nadie ha elegido democráticamente) hayan amputado la mera posibilidad de que cada ciudadano busque su propio progreso?</w:t>
      </w:r>
    </w:p>
    <w:p w:rsidR="00DA27AD" w:rsidRPr="0051130C" w:rsidRDefault="00DA27AD" w:rsidP="00DA27AD">
      <w:pPr>
        <w:spacing w:line="240" w:lineRule="auto"/>
        <w:jc w:val="both"/>
        <w:rPr>
          <w:rFonts w:ascii="Times New Roman" w:hAnsi="Times New Roman" w:cs="Times New Roman"/>
          <w:b/>
          <w:color w:val="FF0000"/>
          <w:sz w:val="24"/>
          <w:szCs w:val="24"/>
        </w:rPr>
      </w:pPr>
      <w:r w:rsidRPr="0051130C">
        <w:rPr>
          <w:rFonts w:ascii="Times New Roman" w:hAnsi="Times New Roman" w:cs="Times New Roman"/>
          <w:b/>
          <w:color w:val="FF0000"/>
          <w:sz w:val="24"/>
          <w:szCs w:val="24"/>
        </w:rPr>
        <w:t xml:space="preserve">Una transición…“intransitable” (la delirante idea de la UE: querer salvar al planeta en solitario, sin la participación, proporcional y simétrica, de China y EEUU)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caen las bombas rusas sobre Ucrania, mientras Putin chantajea con el gas a Europa: ¿qué dicen las serpientes encantadoras de hombres de Bruselas? Erre que erre con el cumplimiento del “Green Deal”, y alucinando con los fondos “Next Generation”. </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Parole, parole, parole: el impacto económico en la lucha contra el cambio climático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transición energética creará cuatro empleos por cada puesto de trabajo que destruya…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Acuerdos de París, firmados en 2015, establecen limitar el aumento de la temperatura mundial por debajo de los dos grados centígrados, tomando como referencia los niveles preindustriales, y redoblar esfuerzos para que este incremento no sea superior a 1,5 grados centígrados. Además, la Unión Europea y otros países del resto del mundo se han comprometido a descarbonizar todas sus actividades económicas y ser neutros en emisiones de gases de efecto invernadero (GEI) en 2050. Para conocer los últimos avances en materia de sostenibilidad…</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promotores destacan “los esfuerzos de la Unión Europea para crear un mercado de capitales integrado y verde”, así como, “la creación del marco para bonos verdes, en un  primer paso para que los tesoros nacionales (de los países miembro) hagan su primera emisión de este tipo de deuda, que pasará a formar parte de uno de los elementos regulares de la política de financiación de la deuda del Estado”.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Además de la financiación, los promotores señalan las profundas implicaciones y cambios que se producirán en el mercado laboral. La consejera de la Oficina Internacional del Trabajo (OIT) destaca que “en esta transición hacia una economía verde se perderán cerca de seis millones de empleos, pero se crearán unos 24 millones de puestos de trabajo por la reconversión de sectores económicos. El número de empleos asociados a la economía verde crecerá desde los 10 millones que se estima había en 2010 hasta 30 millones de puestos de trabajo en 2030”.</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2030 y en 2050, seremos más digitales y más sostenibles. El mercado europeo está perdiendo el terreno de la transformación digital frente a los gigantes tecnológicos de Estados Unidos y China. La única ventaja competitiva de Europa es la economía verde, con el Green Deal de la UE y el apoyo de los fondos Next Generation, que suponen una gran oportunidad para reindustrializar Europa y promover un nuevo modelo de desarrollo”, dicen los agentes.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“Nadie nos ha enseñado a vivir en una economía descarbonizada, y nos estamos enfrentando a este desafío ahora. Este salto podría suponer entre un 4-5% del PIB, pero la inacción de no hacer nada se calcula que nos costará el 20% del PIB”, añaden.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En la jerga económica, este coste para reducir las emisiones de gases contaminantes se conoce como “green inflation”, o la presión sobre el índice de los precios derivada de la transición hacia una economía verde. Frente a este término económico, los promotores piden poner el foco de atención en otro mucho menos extendido: “climate inflation”. “Los riesgos asociados a continuar con una economía dependiente de las industrias fósiles son mucho peores de lo que tenemos (incremento de los precios por los desastres naturales, la escasez de agua, las inundaciones, incendios, etcétera)”, explican.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algunos de los ejemplos de “climate inflation” descritos. “Entre los sectores económicos más perjudicados por esta transición energética están la industria, la energía y el transporte, y los más beneficiados serán la industria, la energía y el transporte. Son estos sectores los que, principalmente, se tienen que transformar”, añaden.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La movilización de recursos en toda la Unión Europea será de tres billones de euros, explicó la directora de Crecimiento Financiero de la Federación Bancaria Europea. “Para lograr sus objetivos de descarbonización, la UE invertirá cerca del 30% de su presupuesto 2021-2028 y de los Fondos Next Generation en el Green Deal europeo”, dijo.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Además del Reglamento de Divulgación de Finanzas Sostenibles (SFDR) aprobado en marzo de 2021 por la UE, el sector financiero contará con los criterios establecidos por la taxonomía verde,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el control de la contaminación.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taxonomía establece tres tipos de inversión verde: los activos que contribuyen directamente a reducir los objetivos de emisión -como un parque eólico o solar-;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DA27AD" w:rsidRDefault="00DA27AD" w:rsidP="00DA27AD">
      <w:pPr>
        <w:spacing w:after="36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Nota (un dato de “last minute”): Cada sábado, mientras hago “marcha rápida” en la madrugada (hasta hace un año todavía corría, pero cumplidos los 77 años, ya solo puedo ser un corredor de fondo venido a menos), escucho por esRadio (a las 6 de la mañana, hora de Canarias): “En Clave Rural”, un programa, dirigido y presentado por </w:t>
      </w:r>
      <w:r>
        <w:rPr>
          <w:rFonts w:ascii="Times New Roman" w:eastAsia="Times New Roman" w:hAnsi="Times New Roman" w:cs="Times New Roman"/>
          <w:b/>
          <w:sz w:val="24"/>
          <w:szCs w:val="24"/>
          <w:lang w:eastAsia="es-ES"/>
        </w:rPr>
        <w:lastRenderedPageBreak/>
        <w:t xml:space="preserve">María Santos, que ofrece información y análisis desde todos los puntos de vista y con la voz de todos los agentes implicados en el complejo proceso de producción, transformación, comercialización y distribución de productos agrícolas, ganaderos, pesqueros, alimentarios de España… </w:t>
      </w:r>
    </w:p>
    <w:p w:rsidR="00DA27AD" w:rsidRDefault="00DA27AD" w:rsidP="00DA27AD">
      <w:pPr>
        <w:spacing w:after="36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El día 26/3/22, en un reportaje que le hicieron a un representante gremial de los agricultores, me enteré que de la semilla para siembra de girasol producida en España, el 70% se exporta, siendo dos de los principales destinos Ucrania y Rusia. Un caso surrealista (disparatado) de “deslocalización” agrícola. ¡Viva la PAC, el Green Deal, el ecologismo radical, la estrategia de la granja a la mesa, el barbecho, el greening, el animalismo, y la madre que parió, a los “pollinos” del Gólem burocrático de Bruselas!</w:t>
      </w:r>
    </w:p>
    <w:p w:rsidR="00DA27AD" w:rsidRDefault="00DA27AD" w:rsidP="00DA27AD">
      <w:pPr>
        <w:pStyle w:val="NormalWeb"/>
        <w:jc w:val="both"/>
        <w:textAlignment w:val="baseline"/>
        <w:rPr>
          <w:b/>
        </w:rPr>
      </w:pPr>
      <w:r>
        <w:rPr>
          <w:b/>
          <w:shd w:val="clear" w:color="auto" w:fill="FFFFFF"/>
        </w:rPr>
        <w:t>“Carpe diem” europeo: ¿demasiado tarde, para la rectificación o la enmienda?</w:t>
      </w:r>
    </w:p>
    <w:p w:rsidR="00DA27AD" w:rsidRDefault="00DA27AD" w:rsidP="00DA27AD">
      <w:pPr>
        <w:pStyle w:val="NormalWeb"/>
        <w:jc w:val="both"/>
        <w:textAlignment w:val="baseline"/>
        <w:rPr>
          <w:shd w:val="clear" w:color="auto" w:fill="FFFFFF"/>
        </w:rPr>
      </w:pPr>
      <w:r>
        <w:rPr>
          <w:shd w:val="clear" w:color="auto" w:fill="FFFFFF"/>
        </w:rPr>
        <w:t>Dice Gregorio Morán, un veterano periodista, curtido en mil batallas, en su artículo: “</w:t>
      </w:r>
      <w:r>
        <w:rPr>
          <w:u w:val="single"/>
          <w:shd w:val="clear" w:color="auto" w:fill="FFFFFF"/>
        </w:rPr>
        <w:t>Se acabó la paciencia</w:t>
      </w:r>
      <w:r>
        <w:rPr>
          <w:shd w:val="clear" w:color="auto" w:fill="FFFFFF"/>
        </w:rPr>
        <w:t xml:space="preserve">” (Voxpópuli - </w:t>
      </w:r>
      <w:r>
        <w:rPr>
          <w:b/>
          <w:shd w:val="clear" w:color="auto" w:fill="FFFFFF"/>
        </w:rPr>
        <w:t>26/3/22</w:t>
      </w:r>
      <w:r>
        <w:rPr>
          <w:shd w:val="clear" w:color="auto" w:fill="FFFFFF"/>
        </w:rPr>
        <w:t>), “Los autónomos se han rebelado. Les han tocado el fondo de su paciencia, aquello que todo el mundo daba por obvio, la subsistencia. Se puede trabajar al borde del colapso, bordeando siempre un imprevisto que te sumiera en la ruina, un accidente, un achaque, un incidente desgraciado, pero nunca habían atisbado que podían llegar a lo imposible: trabajar a pérdidas. A más trabajo más pobreza. Ese momento del que antiguamente se decía que no tienes nada que perder salvo las cadenas. De pronto aparecía el viejo fantasma de la proletarización con el agravante insólito en la historia de tener la conciencia de un obrero que se paga su propio salario y que constituye una empresa que a efectos fiscales tiene un solo trabajador que eres tú”…</w:t>
      </w:r>
    </w:p>
    <w:p w:rsidR="00DA27AD" w:rsidRDefault="00DA27AD" w:rsidP="00DA27AD">
      <w:pPr>
        <w:pStyle w:val="NormalWeb"/>
        <w:jc w:val="both"/>
        <w:textAlignment w:val="baseline"/>
        <w:rPr>
          <w:shd w:val="clear" w:color="auto" w:fill="FFFFFF"/>
        </w:rPr>
      </w:pPr>
      <w:r>
        <w:rPr>
          <w:shd w:val="clear" w:color="auto" w:fill="FFFFFF"/>
        </w:rPr>
        <w:t>La conflictividad social está escalando de una forma que sólo unas semanas atrás era absolutamente impensable. Cada día está más claro que la situación económica puede degenerar tanto, que el dinero europeo (Next Generation, Pacto Verde, monetización del BCE) no sirva para nada, y eso si llega: ¿alguien se cree que en plena guerra y con una enorme crisis energética se van a seguir destinado miles de millones a la “transición verde”?</w:t>
      </w:r>
    </w:p>
    <w:p w:rsidR="00DA27AD" w:rsidRDefault="00DA27AD" w:rsidP="00DA27AD">
      <w:pPr>
        <w:pStyle w:val="NormalWeb"/>
        <w:jc w:val="both"/>
        <w:textAlignment w:val="baseline"/>
        <w:rPr>
          <w:shd w:val="clear" w:color="auto" w:fill="FFFFFF"/>
        </w:rPr>
      </w:pPr>
      <w:r>
        <w:rPr>
          <w:shd w:val="clear" w:color="auto" w:fill="FFFFFF"/>
        </w:rPr>
        <w:t xml:space="preserve">El principal suministrador de gas a la Unión Europea ha decidido emprender un ataque contra Occidente, y el petróleo ha iniciado una escalada de precios que, por el momento, no parece tener visos de cambio de tendencia. Europa se enfrenta a una situación de carestía energética sin precedentes La independencia energética se ha convertido de hecho en la máxima prioridad de la Unión Europea, que hasta ahora importa de Rusia el 40% del gas que consume y el 26% del petróleo. </w:t>
      </w:r>
    </w:p>
    <w:p w:rsidR="00DA27AD" w:rsidRDefault="00DA27AD" w:rsidP="00DA27AD">
      <w:pPr>
        <w:pStyle w:val="NormalWeb"/>
        <w:shd w:val="clear" w:color="auto" w:fill="FFFFFF"/>
        <w:spacing w:before="0" w:beforeAutospacing="0" w:after="270" w:afterAutospacing="0"/>
        <w:jc w:val="both"/>
        <w:rPr>
          <w:spacing w:val="-1"/>
        </w:rPr>
      </w:pPr>
      <w:r>
        <w:rPr>
          <w:shd w:val="clear" w:color="auto" w:fill="FFFFFF"/>
        </w:rPr>
        <w:t xml:space="preserve">El granero de Europa, es un campo de batalla. </w:t>
      </w:r>
      <w:r>
        <w:rPr>
          <w:spacing w:val="-1"/>
        </w:rPr>
        <w:t>La guerra de Putin con Ucrania, amenaza los suministros de alimentos al Viejo Continente por parte de un país que es conocido como el granero de Europa, ya que ocupa los primeros puestos</w:t>
      </w:r>
      <w:r>
        <w:rPr>
          <w:bCs/>
          <w:spacing w:val="-1"/>
        </w:rPr>
        <w:t> en la producción y exportación de girasol, cebada o maíz</w:t>
      </w:r>
      <w:r>
        <w:rPr>
          <w:spacing w:val="-1"/>
        </w:rPr>
        <w:t>, por citar algunos productos. Solo España, compra a Ucrania el 42,2% de los cereales que importa, lo que podría comportar una notable subida de precios.</w:t>
      </w:r>
    </w:p>
    <w:p w:rsidR="00DA27AD" w:rsidRDefault="00DA27AD" w:rsidP="00DA27AD">
      <w:pPr>
        <w:pStyle w:val="NormalWeb"/>
        <w:shd w:val="clear" w:color="auto" w:fill="FFFFFF"/>
        <w:spacing w:before="0" w:beforeAutospacing="0" w:after="270" w:afterAutospacing="0"/>
        <w:jc w:val="both"/>
        <w:rPr>
          <w:spacing w:val="-1"/>
        </w:rPr>
      </w:pPr>
      <w:r>
        <w:rPr>
          <w:spacing w:val="-1"/>
        </w:rPr>
        <w:t>Ucrania es un es estado eminentemente agrícola, gracias, entre otras cosas, a su notable extensión geográfica: un total de 603.548 kilómetros cuadrados, mayor que Francia. De hecho, Ucrania es </w:t>
      </w:r>
      <w:r>
        <w:rPr>
          <w:bCs/>
          <w:spacing w:val="-1"/>
        </w:rPr>
        <w:t>la primera nación del continente y la segunda del mundo, por detrás de Bangladesh (Asia) en porcentaje de superficie cultivable (56%)</w:t>
      </w:r>
      <w:r>
        <w:rPr>
          <w:spacing w:val="-1"/>
        </w:rPr>
        <w:t>.</w:t>
      </w:r>
    </w:p>
    <w:p w:rsidR="00DA27AD" w:rsidRDefault="00DA27AD" w:rsidP="00DA27AD">
      <w:pPr>
        <w:pStyle w:val="NormalWeb"/>
        <w:shd w:val="clear" w:color="auto" w:fill="FFFFFF"/>
        <w:spacing w:before="0" w:beforeAutospacing="0" w:after="270" w:afterAutospacing="0"/>
        <w:jc w:val="both"/>
        <w:rPr>
          <w:spacing w:val="-1"/>
        </w:rPr>
      </w:pPr>
      <w:r>
        <w:rPr>
          <w:spacing w:val="-1"/>
        </w:rPr>
        <w:lastRenderedPageBreak/>
        <w:t>Ucrania ocupa </w:t>
      </w:r>
      <w:r>
        <w:rPr>
          <w:bCs/>
          <w:spacing w:val="-1"/>
        </w:rPr>
        <w:t>el tercer lugar en el mundo por el área de suelo negro (25% del volumen mundial)</w:t>
      </w:r>
      <w:r>
        <w:rPr>
          <w:spacing w:val="-1"/>
        </w:rPr>
        <w:t>. Los suelos negros, que como su color indica son de tono oscuro, se caracterizan por ser ricos en materia orgánica o humus, por lo que son extraordinariamente fértiles.</w:t>
      </w:r>
    </w:p>
    <w:p w:rsidR="00DA27AD" w:rsidRDefault="00DA27AD" w:rsidP="00DA27AD">
      <w:pPr>
        <w:pStyle w:val="NormalWeb"/>
        <w:shd w:val="clear" w:color="auto" w:fill="FFFFFF"/>
        <w:spacing w:before="0" w:beforeAutospacing="0" w:after="270" w:afterAutospacing="0"/>
        <w:jc w:val="both"/>
        <w:rPr>
          <w:spacing w:val="-1"/>
        </w:rPr>
      </w:pPr>
      <w:r>
        <w:rPr>
          <w:spacing w:val="-1"/>
        </w:rPr>
        <w:t>El país eslavo está en los </w:t>
      </w:r>
      <w:r>
        <w:rPr>
          <w:bCs/>
          <w:spacing w:val="-1"/>
        </w:rPr>
        <w:t>primeros puestos en  exportaciones agroalimentarias en muchos productos</w:t>
      </w:r>
      <w:r>
        <w:rPr>
          <w:spacing w:val="-1"/>
        </w:rPr>
        <w:t>. De este modo, es el primer exportador de girasol y aceite de girasol del mundo. Además, es el segundo productor mundial de cebada y el cuarto exportador. </w:t>
      </w:r>
    </w:p>
    <w:p w:rsidR="00DA27AD" w:rsidRDefault="00DA27AD" w:rsidP="00DA27AD">
      <w:pPr>
        <w:pStyle w:val="NormalWeb"/>
        <w:shd w:val="clear" w:color="auto" w:fill="FFFFFF"/>
        <w:spacing w:before="0" w:beforeAutospacing="0" w:after="270" w:afterAutospacing="0"/>
        <w:jc w:val="both"/>
        <w:rPr>
          <w:spacing w:val="-1"/>
        </w:rPr>
      </w:pPr>
      <w:r>
        <w:rPr>
          <w:spacing w:val="-1"/>
        </w:rPr>
        <w:t>Asimismo, este estado de Europa Oriental es el tercer mayor productor y el cuarto mayor exportador de maíz del mundo, además del cuarto productor de patatas grandes y el quinto de centeno. Igualmente, ocupa el quinto lugar en el mundo en la producción de abejas (75.000 toneladas); el octavo en exportaciones de trigo; el noveno lugar en la producción de huevos de gallina o el decimosexto en el mundo en exportaciones de queso.</w:t>
      </w:r>
    </w:p>
    <w:p w:rsidR="00DA27AD" w:rsidRDefault="00DA27AD" w:rsidP="00DA27AD">
      <w:pPr>
        <w:pStyle w:val="NormalWeb"/>
        <w:jc w:val="both"/>
        <w:textAlignment w:val="baseline"/>
        <w:rPr>
          <w:shd w:val="clear" w:color="auto" w:fill="FFFFFF"/>
        </w:rPr>
      </w:pPr>
      <w:r>
        <w:rPr>
          <w:shd w:val="clear" w:color="auto" w:fill="FFFFFF"/>
        </w:rPr>
        <w:t>La “Tomografía Axial Computerizada” (TAC) de la Unión Europea muestra inflación, desabastecimiento, estancamiento, recesión. La debilidad europea pasa factura.</w:t>
      </w:r>
    </w:p>
    <w:p w:rsidR="00DA27AD" w:rsidRDefault="00DA27AD" w:rsidP="00DA27AD">
      <w:pPr>
        <w:pStyle w:val="NormalWeb"/>
        <w:jc w:val="both"/>
        <w:textAlignment w:val="baseline"/>
      </w:pPr>
      <w:r>
        <w:rPr>
          <w:shd w:val="clear" w:color="auto" w:fill="FFFFFF"/>
        </w:rPr>
        <w:t xml:space="preserve">Según la opinión de “los que saben”, la guerra económica con Rusia va a romper con décadas de apuesta por la globalización y con una larga era deflacionista. El nuevo entorno será de materias primas más caras. </w:t>
      </w:r>
      <w:r>
        <w:t>El efecto de la guerra será “una mayor autonomía estratégica de las grandes economías, la pérdida del impulso globalizador en el que llevamos inmersos desde los años 80. Se ha comprobado la fragilidad de las cadenas de valor”, sostienen.</w:t>
      </w:r>
    </w:p>
    <w:p w:rsidR="00DA27AD" w:rsidRDefault="00DA27AD" w:rsidP="00DA27AD">
      <w:pPr>
        <w:pStyle w:val="NormalWeb"/>
        <w:jc w:val="both"/>
        <w:textAlignment w:val="baseline"/>
        <w:rPr>
          <w:shd w:val="clear" w:color="auto" w:fill="FFFFFF"/>
        </w:rPr>
      </w:pPr>
      <w:r>
        <w:rPr>
          <w:shd w:val="clear" w:color="auto" w:fill="FFFFFF"/>
        </w:rPr>
        <w:t>El conflicto bélico desatado en la Europa del Este, convertido ya en la mayor crisis geopolítica desde la Segunda Guerra Mundial, está alcanzado una dimensión económica que va a marcar un profundo punto de inflexión. No solo va a provocar este año (2022) un menor crecimiento económico y una mayor inflación sino que dejará cambios drásticos a medio y largo plazo.</w:t>
      </w:r>
    </w:p>
    <w:p w:rsidR="00DA27AD" w:rsidRDefault="00DA27AD" w:rsidP="00DA27AD">
      <w:pPr>
        <w:pStyle w:val="NormalWeb"/>
        <w:jc w:val="both"/>
        <w:textAlignment w:val="baseline"/>
        <w:rPr>
          <w:shd w:val="clear" w:color="auto" w:fill="FFFFFF"/>
        </w:rPr>
      </w:pPr>
      <w:r>
        <w:rPr>
          <w:shd w:val="clear" w:color="auto" w:fill="FFFFFF"/>
        </w:rPr>
        <w:t>Como advertía en su carta anual Larry Fink, el presidente de BlackRock, la mayor gestora de fondos del mundo, “la invasión rusa de Ucrania ha puesto fin a la globalización que habíamos experimentado en las últimas tres décadas”. El freno a la globalización ya comenzó con la 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DA27AD" w:rsidRDefault="00DA27AD" w:rsidP="00DA27AD">
      <w:pPr>
        <w:pStyle w:val="NormalWeb"/>
        <w:jc w:val="both"/>
        <w:textAlignment w:val="baseline"/>
        <w:rPr>
          <w:shd w:val="clear" w:color="auto" w:fill="FFFFFF"/>
        </w:rPr>
      </w:pPr>
      <w:r>
        <w:rPr>
          <w:shd w:val="clear" w:color="auto" w:fill="FFFFFF"/>
        </w:rPr>
        <w:t>Más inflación y menos globalización, larvadas ya antes de la invasión rusa, son las tendencias que se han amplificado desde febrero de 2022 y que prometen prolongarse en el nuevo escenario económico que dejará la guerra. 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DA27AD" w:rsidRDefault="00DA27AD" w:rsidP="00DA27AD">
      <w:pPr>
        <w:pStyle w:val="NormalWeb"/>
        <w:jc w:val="both"/>
        <w:textAlignment w:val="baseline"/>
        <w:rPr>
          <w:shd w:val="clear" w:color="auto" w:fill="FFFFFF"/>
        </w:rPr>
      </w:pPr>
      <w:r>
        <w:lastRenderedPageBreak/>
        <w:t xml:space="preserve">Europa ha aprendido con este conflicto que tiene que depender más de sí misma, y no solo en materia de combustibles o electricidad. </w:t>
      </w:r>
      <w:r>
        <w:rPr>
          <w:shd w:val="clear" w:color="auto" w:fill="FFFFFF"/>
        </w:rPr>
        <w:t>La independencia energética y de materias primas básicas, se ha convertido de hecho en la máxima prioridad de la Unión Europea.</w:t>
      </w:r>
    </w:p>
    <w:p w:rsidR="00DA27AD" w:rsidRDefault="00DA27AD" w:rsidP="00DA27AD">
      <w:pPr>
        <w:pStyle w:val="NormalWeb"/>
        <w:jc w:val="both"/>
        <w:textAlignment w:val="baseline"/>
        <w:rPr>
          <w:shd w:val="clear" w:color="auto" w:fill="FFFFFF"/>
        </w:rPr>
      </w:pPr>
      <w:r>
        <w:rPr>
          <w:shd w:val="clear" w:color="auto" w:fill="FFFFFF"/>
        </w:rPr>
        <w:t>¿Seguirá la Unión Europea, apostando por seguir la estela financiera de Wall Street, comprando en la fábrica del mundo China, cediendo al chantaje energético de Rusia, o adquiriendo materias primas básicas en países de fuera de la región?</w:t>
      </w:r>
    </w:p>
    <w:p w:rsidR="00DA27AD" w:rsidRDefault="00DA27AD" w:rsidP="00DA27AD">
      <w:pPr>
        <w:pStyle w:val="NormalWeb"/>
        <w:jc w:val="both"/>
        <w:textAlignment w:val="baseline"/>
        <w:rPr>
          <w:shd w:val="clear" w:color="auto" w:fill="FFFFFF"/>
        </w:rPr>
      </w:pPr>
      <w:r>
        <w:rPr>
          <w:shd w:val="clear" w:color="auto" w:fill="FFFFFF"/>
        </w:rPr>
        <w:t xml:space="preserve">¿Cree la Unión Europea que sus ciudadanos, por más abducidos (y anestesiados) que estén por los iPhone, el 5g, los gadgets, el metaverso y toda la factoría de ficciones de Silicon Valley, desocupados, con empleos precarios, con aumento de la desigualdad, inflación, desabastecimiento… van a seguir tolerando los “dogmas” de la Comisión Europea sobre  globalización, librecambio, ambientalismo, o ideología de género?  </w:t>
      </w:r>
    </w:p>
    <w:p w:rsidR="00DA27AD" w:rsidRDefault="00DA27AD" w:rsidP="00DA27AD">
      <w:pPr>
        <w:pStyle w:val="NormalWeb"/>
        <w:jc w:val="both"/>
        <w:textAlignment w:val="baseline"/>
        <w:rPr>
          <w:shd w:val="clear" w:color="auto" w:fill="FFFFFF"/>
        </w:rPr>
      </w:pPr>
      <w:r>
        <w:rPr>
          <w:shd w:val="clear" w:color="auto" w:fill="FFFFFF"/>
        </w:rPr>
        <w:t>¿Demasiado tarde, para la rectificación o la enmienda? “La alternante fortuna se ha reído de muchos que ahora pretenden volver sobre sus pasos y ponerse en lugar seguro”, diría </w:t>
      </w:r>
      <w:r w:rsidRPr="0051130C">
        <w:rPr>
          <w:rStyle w:val="Textoennegrita"/>
          <w:rFonts w:eastAsiaTheme="majorEastAsia"/>
          <w:b w:val="0"/>
          <w:shd w:val="clear" w:color="auto" w:fill="FFFFFF"/>
        </w:rPr>
        <w:t>Virgilio</w:t>
      </w:r>
      <w:r>
        <w:rPr>
          <w:shd w:val="clear" w:color="auto" w:fill="FFFFFF"/>
        </w:rPr>
        <w:t>. No le arriendo la ganancia a los “mangutas” de Bruselas.</w:t>
      </w:r>
    </w:p>
    <w:p w:rsidR="00DA27AD" w:rsidRDefault="00DA27AD" w:rsidP="00DA27AD">
      <w:pPr>
        <w:pStyle w:val="NormalWeb"/>
        <w:jc w:val="both"/>
        <w:textAlignment w:val="baseline"/>
        <w:rPr>
          <w:shd w:val="clear" w:color="auto" w:fill="FFFFFF"/>
        </w:rPr>
      </w:pPr>
      <w:r>
        <w:rPr>
          <w:shd w:val="clear" w:color="auto" w:fill="FFFFFF"/>
        </w:rPr>
        <w:t xml:space="preserve">Han perdido el sentido de realidad y se han emborrachado de subterfugios. Mientras jugueteaban en el mundo de los “goldilocks” (Ricitos de Oro), con la ideología de género, huella ecológica, salvar el planeta, dejar de comer carne, no viajar en avión, utilizar energías renovables, cerrar las centrales de energía nuclear, ir al trabajo en bicicleta, ser sostenible,  circular, resiliente, guay, progre, woke…  confiaban en blockchain, criptoactivos, avatares y metaversos… han ignorado que la gasolina, el gas, la luz, la cadena de suministros, han saltado por los aires y sus restos están cayendo sobre una ciudadanía encogida y arruinada. </w:t>
      </w:r>
    </w:p>
    <w:p w:rsidR="00DA27AD" w:rsidRDefault="00DA27AD" w:rsidP="00DA27AD">
      <w:pPr>
        <w:pStyle w:val="NormalWeb"/>
        <w:jc w:val="both"/>
        <w:textAlignment w:val="baseline"/>
        <w:rPr>
          <w:shd w:val="clear" w:color="auto" w:fill="FFFFFF"/>
        </w:rPr>
      </w:pPr>
      <w:r>
        <w:rPr>
          <w:shd w:val="clear" w:color="auto" w:fill="FFFFFF"/>
        </w:rPr>
        <w:t xml:space="preserve">¿Por qué la economía europea tiene la mala costumbre de situarse entre las perdedoras de todas las crisis? Lo fue en 2008 (financiera), en 2012 (monetaria) y en 2020 (sanitaria). En 2022 vuelve a tener un flanco débil en energía, materias primas, y productos básicos. </w:t>
      </w:r>
    </w:p>
    <w:p w:rsidR="00DA27AD" w:rsidRDefault="00DA27AD" w:rsidP="00DA27AD">
      <w:pPr>
        <w:pStyle w:val="NormalWeb"/>
        <w:jc w:val="both"/>
        <w:textAlignment w:val="baseline"/>
        <w:rPr>
          <w:shd w:val="clear" w:color="auto" w:fill="FFFFFF"/>
        </w:rPr>
      </w:pPr>
      <w:r>
        <w:rPr>
          <w:shd w:val="clear" w:color="auto" w:fill="FFFFFF"/>
        </w:rPr>
        <w:t>¿Habrá algún “mariscal de la derrota” que pague cara la pérdida de soberanía estratégica?</w:t>
      </w:r>
    </w:p>
    <w:p w:rsidR="00DA27AD" w:rsidRDefault="00DA27AD" w:rsidP="00DA27AD">
      <w:pPr>
        <w:pStyle w:val="NormalWeb"/>
        <w:jc w:val="both"/>
        <w:textAlignment w:val="baseline"/>
        <w:rPr>
          <w:shd w:val="clear" w:color="auto" w:fill="FFFFFF"/>
        </w:rPr>
      </w:pPr>
      <w:r>
        <w:rPr>
          <w:shd w:val="clear" w:color="auto" w:fill="FFFFFF"/>
        </w:rPr>
        <w:t>La tormenta perfecta ya está aquí, y la “elite estéril” de Bruselas, sigue como Tarzán: “en bolas, y por las ramas”. Es lo que tiene cuando la Unión Europea depende de los más inútiles.</w:t>
      </w:r>
    </w:p>
    <w:p w:rsidR="00DA27AD" w:rsidRDefault="00DA27AD" w:rsidP="00DA27AD">
      <w:pPr>
        <w:pStyle w:val="NormalWeb"/>
        <w:jc w:val="both"/>
        <w:textAlignment w:val="baseline"/>
        <w:rPr>
          <w:shd w:val="clear" w:color="auto" w:fill="FFFFFF"/>
        </w:rPr>
      </w:pPr>
      <w:r>
        <w:rPr>
          <w:shd w:val="clear" w:color="auto" w:fill="FFFFFF"/>
        </w:rPr>
        <w:t>¿Va a seguir siendo la Comisión Europea el avergonzado gestor de la nada de una región en bancarrota y en apariencia dispuesto, con la resignación del manso, a aceptar su triste destino, o surgirán unos líderes con mimbres morales bastantes para urdir una trama capaz de sacarla adelante -sangre, sudor y lágrimas- desde la plataforma de un proyecto liberal?</w:t>
      </w:r>
    </w:p>
    <w:p w:rsidR="00DA27AD" w:rsidRDefault="00DA27AD" w:rsidP="00DA27AD">
      <w:pPr>
        <w:pStyle w:val="NormalWeb"/>
        <w:jc w:val="both"/>
        <w:textAlignment w:val="baseline"/>
        <w:rPr>
          <w:shd w:val="clear" w:color="auto" w:fill="FFFFFF"/>
        </w:rPr>
      </w:pPr>
      <w:r>
        <w:rPr>
          <w:shd w:val="clear" w:color="auto" w:fill="FFFFFF"/>
        </w:rPr>
        <w:t>¿Una Comisión Europea, de “tecnócratas”? Conviene decir enseguida que esta sería la peor salida imaginable de la crisis profunda que hoy vive la región. Una puerta sin esperanza.</w:t>
      </w:r>
    </w:p>
    <w:p w:rsidR="00DA27AD" w:rsidRDefault="00DA27AD" w:rsidP="00DA27AD">
      <w:pPr>
        <w:pStyle w:val="NormalWeb"/>
        <w:jc w:val="both"/>
        <w:textAlignment w:val="baseline"/>
        <w:rPr>
          <w:shd w:val="clear" w:color="auto" w:fill="FFFFFF"/>
        </w:rPr>
      </w:pPr>
      <w:r>
        <w:rPr>
          <w:shd w:val="clear" w:color="auto" w:fill="FFFFFF"/>
        </w:rPr>
        <w:t>En las últimas décadas, la Comisión Europea (con algunos “tecnócratas” y demasiados “floreros chinos” que los países miembro no sabían dónde ponerlos) no ha pasado de ser una especie de taller de reparaciones para que la socialdemocracia purgue los excesos de una izquierda extasiada ante la posibilidad de gastar el dinero ajeno.</w:t>
      </w:r>
    </w:p>
    <w:p w:rsidR="00DA27AD" w:rsidRDefault="00DA27AD" w:rsidP="00DA27AD">
      <w:pPr>
        <w:pStyle w:val="NormalWeb"/>
        <w:jc w:val="both"/>
        <w:textAlignment w:val="baseline"/>
        <w:rPr>
          <w:shd w:val="clear" w:color="auto" w:fill="FFFFFF"/>
        </w:rPr>
      </w:pPr>
      <w:r>
        <w:rPr>
          <w:shd w:val="clear" w:color="auto" w:fill="FFFFFF"/>
        </w:rPr>
        <w:t xml:space="preserve">Dice Jesús Cacho, otro periodista español, de primer nivel, en su comentario del </w:t>
      </w:r>
      <w:r>
        <w:rPr>
          <w:b/>
          <w:shd w:val="clear" w:color="auto" w:fill="FFFFFF"/>
        </w:rPr>
        <w:t>27/3/22</w:t>
      </w:r>
      <w:r>
        <w:rPr>
          <w:shd w:val="clear" w:color="auto" w:fill="FFFFFF"/>
        </w:rPr>
        <w:t xml:space="preserve"> (Voxpópuli): “Pero ese modelo hace tiempo que ha entrado en crisis. Crisis terminal. Tal vez </w:t>
      </w:r>
      <w:r>
        <w:rPr>
          <w:shd w:val="clear" w:color="auto" w:fill="FFFFFF"/>
        </w:rPr>
        <w:lastRenderedPageBreak/>
        <w:t>el mejor ejemplo sea ahora mismo Francia, un país que dedica casi el 62% de su PIB a gasto público. Cuando, cada 1-E, los Estados levantan el telón de sus respectivos Presupuestos, la parte del león de los mismos está asignada con compromisos de gasto insoslayables, a los que se añaden constantes remiendos de gasto nuevo que se convierte en estructural y se enchufa directamente a una deuda que no ha dejado de crecer en los últimos años por culpa, entre otras cosas, de la pandemia. Todo ya repartido, todas las cartas marcadas, todo el futuro agotado en una UE acogotada por la burocracia. No hay crecimiento. No hay empleo. No hay futuro para los jóvenes. España es quizá el mejor ejemplo de este drama”…</w:t>
      </w:r>
    </w:p>
    <w:p w:rsidR="00DA27AD" w:rsidRDefault="00DA27AD" w:rsidP="00DA27AD">
      <w:pPr>
        <w:pStyle w:val="NormalWeb"/>
        <w:jc w:val="both"/>
        <w:textAlignment w:val="baseline"/>
        <w:rPr>
          <w:shd w:val="clear" w:color="auto" w:fill="FFFFFF"/>
        </w:rPr>
      </w:pPr>
      <w:r>
        <w:rPr>
          <w:shd w:val="clear" w:color="auto" w:fill="FFFFFF"/>
        </w:rPr>
        <w:t>Y, ¿qué ha hecho Europa para combatir este cáncer terminal? Nada, regodearse en su infortunio. Incrementar exponencialmente el mal con nuevas metástasis. Con el agravante de que ha sido la derecha la que ha asumido casi en exclusiva el papel de garante de esa socialdemocracia desvencijada, ese Estado paternalista que todo lo invade achicharrando la iniciativa privada. La derecha como gestor atontado de un modelo, el socialdemócrata, claramente agotado, del que se han ido desprendiendo cual frutos maduros los partidos socialistas (el francés, el italiano, el griego, con el portugués jugando a liberal) hasta desaparecer. El socialismo muere y, donde sobrevive, se radicaliza, se echa al monte, caso del PSOE en España. Pero esa derecha que ha renunciado a los viejos principios no tiene ya capacidad para gestionar el monstruo de unos Estados inmanejables, quebrados en su mayoría, con una deuda superior a los bienes y servicios que un país como España es capaz de producir en un año entero”, agrega.</w:t>
      </w:r>
    </w:p>
    <w:p w:rsidR="00DA27AD" w:rsidRDefault="00DA27AD" w:rsidP="00DA27AD">
      <w:pPr>
        <w:pStyle w:val="NormalWeb"/>
        <w:jc w:val="both"/>
        <w:textAlignment w:val="baseline"/>
        <w:rPr>
          <w:b/>
          <w:shd w:val="clear" w:color="auto" w:fill="FFFFFF"/>
        </w:rPr>
      </w:pPr>
      <w:r>
        <w:rPr>
          <w:b/>
          <w:shd w:val="clear" w:color="auto" w:fill="FFFFFF"/>
        </w:rPr>
        <w:t>El desafío se ha convertido en inabarcable para nuestros aprendices de Brujos. Ya nadie puede ocultar la necesidad de una revisión integral del modelo de la Unión, revisión que va mucho más allá de su vertiente puramente económica para, de forma obligada, invadir terrenos naturalmente de la política (calidad de la democracia, regeneración de las instituciones, desalojo de los grupos de poder, que han copado la Comisión, el Parlamento y si me apuran, hasta el Consejo Europeo) y social (batalla informativa contra esas parodias llamadas: progresismo woke, ambientalismo radical, feminismo extremo, cultura de la cancelación, y lucha sin cuartel contra las sanguijuelas progres acostumbradas a vivir de los impuestos del ciudadano).</w:t>
      </w:r>
    </w:p>
    <w:p w:rsidR="00DA27AD" w:rsidRDefault="00DA27AD" w:rsidP="00DA27AD">
      <w:pPr>
        <w:pStyle w:val="NormalWeb"/>
        <w:jc w:val="both"/>
        <w:textAlignment w:val="baseline"/>
        <w:rPr>
          <w:b/>
          <w:shd w:val="clear" w:color="auto" w:fill="FFFFFF"/>
        </w:rPr>
      </w:pPr>
      <w:r>
        <w:rPr>
          <w:b/>
          <w:shd w:val="clear" w:color="auto" w:fill="FFFFFF"/>
        </w:rPr>
        <w:t>Conviene insistir: lo que está en crisis es el modelo, el consenso socialdemócrata que ha gobernado Europa durante décadas, el de un gasto público desenfrenado, el de unos impuestos confiscatorios, el de un Estado Leviatán lleno de funcionarios, vocacionalmente dispuestos a decirle al ciudadano cómo debe vivir su vida y lo que tiene o no prohibido hacer. La carga fiscal que soportaban los europeos hasta la gran crisis del petróleo de 1973 era muy inferior a la actual, lo que permitió a las economías crecer con fuerza y crear empleo. Eso hace mucho tiempo que se acabó. Italia lleva más de 20 años sin crecer.</w:t>
      </w:r>
    </w:p>
    <w:p w:rsidR="00DA27AD" w:rsidRDefault="00DA27AD" w:rsidP="00DA27AD">
      <w:pPr>
        <w:pStyle w:val="NormalWeb"/>
        <w:jc w:val="both"/>
        <w:textAlignment w:val="baseline"/>
        <w:rPr>
          <w:b/>
          <w:shd w:val="clear" w:color="auto" w:fill="FFFFFF"/>
        </w:rPr>
      </w:pPr>
      <w:r>
        <w:rPr>
          <w:b/>
          <w:shd w:val="clear" w:color="auto" w:fill="FFFFFF"/>
        </w:rPr>
        <w:t>La recuperación del crecimiento dañado por la pandemia, que se esperaba, como ocurrió en otros países fuera de la UE, para finales de 2021, no se producirá en este 2022 y muy probablemente ni siquiera en 2023. La inestabilidad es la “nueva normalidad”. El futuro de la Unión Europea empieza a presentar perfiles muy amenazadores.</w:t>
      </w:r>
    </w:p>
    <w:p w:rsidR="00DA27AD" w:rsidRDefault="00DA27AD" w:rsidP="00DA27AD">
      <w:pPr>
        <w:pStyle w:val="NormalWeb"/>
        <w:jc w:val="both"/>
        <w:textAlignment w:val="baseline"/>
        <w:rPr>
          <w:b/>
          <w:shd w:val="clear" w:color="auto" w:fill="FFFFFF"/>
        </w:rPr>
      </w:pPr>
      <w:r>
        <w:rPr>
          <w:b/>
          <w:shd w:val="clear" w:color="auto" w:fill="FFFFFF"/>
        </w:rPr>
        <w:t xml:space="preserve">La Unión Europea no puede continuar insultando la inteligencia de sus ciudadanos mientras mete mano en su cartera. Hay que salir del bucle de inanidad en el que la UE ha navegado desde, más o menos, el año 2001. Hay que devolver el protagonismo a los </w:t>
      </w:r>
      <w:r>
        <w:rPr>
          <w:b/>
          <w:shd w:val="clear" w:color="auto" w:fill="FFFFFF"/>
        </w:rPr>
        <w:lastRenderedPageBreak/>
        <w:t>ciudadanos antes que a la sociedad. Y a la sociedad antes que al Estado. Hay que hacerlo ahora, o nunca…</w:t>
      </w:r>
    </w:p>
    <w:p w:rsidR="00DA27AD" w:rsidRDefault="00DA27AD" w:rsidP="00DA27AD">
      <w:pPr>
        <w:pStyle w:val="NormalWeb"/>
        <w:jc w:val="both"/>
        <w:textAlignment w:val="baseline"/>
        <w:rPr>
          <w:b/>
          <w:shd w:val="clear" w:color="auto" w:fill="FFFFFF"/>
        </w:rPr>
      </w:pPr>
      <w:r>
        <w:rPr>
          <w:b/>
        </w:rPr>
        <w:t>Una sociedad asentada, estable, con un grado de bienestar extendido, permite que los valores sean mucho más sólidos, y también más avanzados.</w:t>
      </w:r>
      <w:r>
        <w:rPr>
          <w:b/>
          <w:shd w:val="clear" w:color="auto" w:fill="FFFFFF"/>
        </w:rPr>
        <w:t xml:space="preserve"> </w:t>
      </w:r>
      <w:r>
        <w:rPr>
          <w:b/>
        </w:rPr>
        <w:t>Cuando las sociedades se desorganizan y son muy desiguales, aparece la anomia, en el mejor de los casos, y predominan las posiciones egoístas, cuando no decididamente agresivas.</w:t>
      </w:r>
    </w:p>
    <w:p w:rsidR="00DA27AD" w:rsidRDefault="00DA27AD" w:rsidP="00DA27AD">
      <w:pPr>
        <w:pStyle w:val="NormalWeb"/>
        <w:jc w:val="both"/>
        <w:textAlignment w:val="baseline"/>
        <w:rPr>
          <w:shd w:val="clear" w:color="auto" w:fill="FFFFFF"/>
        </w:rPr>
      </w:pPr>
      <w:r>
        <w:rPr>
          <w:shd w:val="clear" w:color="auto" w:fill="FFFFFF"/>
        </w:rPr>
        <w:t>En la considerada primera ópera de la historia, Orfeo de Claudio Monteverdi, su protagonista canta que: “La ocasión es una efímera flor que hay que cosechar a tiempo”.</w:t>
      </w:r>
    </w:p>
    <w:p w:rsidR="00DA27AD" w:rsidRDefault="00DA27AD" w:rsidP="00DA27AD">
      <w:pPr>
        <w:pStyle w:val="NormalWeb"/>
        <w:jc w:val="both"/>
        <w:textAlignment w:val="baseline"/>
        <w:rPr>
          <w:b/>
          <w:shd w:val="clear" w:color="auto" w:fill="FFFFFF"/>
        </w:rPr>
      </w:pPr>
      <w:r>
        <w:rPr>
          <w:b/>
        </w:rPr>
        <w:t>Si la Unión Europea quiere sobrevivir, debe prepararse para lo peor.</w:t>
      </w:r>
    </w:p>
    <w:p w:rsidR="00DA27AD" w:rsidRDefault="00DA27AD" w:rsidP="00DA27AD">
      <w:pPr>
        <w:pStyle w:val="NormalWeb"/>
        <w:jc w:val="both"/>
        <w:textAlignment w:val="baseline"/>
        <w:rPr>
          <w:b/>
          <w:shd w:val="clear" w:color="auto" w:fill="FFFFFF"/>
        </w:rPr>
      </w:pPr>
      <w:r>
        <w:rPr>
          <w:b/>
          <w:shd w:val="clear" w:color="auto" w:fill="FFFFFF"/>
        </w:rPr>
        <w:t>¡Wake up, Europe!</w:t>
      </w:r>
    </w:p>
    <w:p w:rsidR="00DA27AD" w:rsidRPr="0051130C" w:rsidRDefault="00DA27AD" w:rsidP="00DA27AD">
      <w:pPr>
        <w:spacing w:line="240" w:lineRule="auto"/>
        <w:jc w:val="both"/>
        <w:rPr>
          <w:rFonts w:ascii="Times New Roman" w:hAnsi="Times New Roman" w:cs="Times New Roman"/>
          <w:b/>
          <w:color w:val="FF0000"/>
          <w:sz w:val="24"/>
          <w:szCs w:val="24"/>
        </w:rPr>
      </w:pPr>
      <w:r w:rsidRPr="0051130C">
        <w:rPr>
          <w:rFonts w:ascii="Times New Roman" w:hAnsi="Times New Roman" w:cs="Times New Roman"/>
          <w:b/>
          <w:color w:val="FF0000"/>
          <w:sz w:val="24"/>
          <w:szCs w:val="24"/>
        </w:rPr>
        <w:t>El 24 de febrero de 2022 -inicio de la invasión a Ucrania por parte Rusia- fue el día en qu</w:t>
      </w:r>
      <w:r w:rsidR="00EB72ED">
        <w:rPr>
          <w:rFonts w:ascii="Times New Roman" w:hAnsi="Times New Roman" w:cs="Times New Roman"/>
          <w:b/>
          <w:color w:val="FF0000"/>
          <w:sz w:val="24"/>
          <w:szCs w:val="24"/>
        </w:rPr>
        <w:t>e Europa “no se acordó de nada”</w:t>
      </w:r>
      <w:r w:rsidRPr="0051130C">
        <w:rPr>
          <w:rFonts w:ascii="Times New Roman" w:hAnsi="Times New Roman" w:cs="Times New Roman"/>
          <w:b/>
          <w:color w:val="FF0000"/>
          <w:sz w:val="24"/>
          <w:szCs w:val="24"/>
        </w:rPr>
        <w:t xml:space="preserve"> </w:t>
      </w:r>
    </w:p>
    <w:p w:rsidR="00DA27AD" w:rsidRDefault="00DA27AD" w:rsidP="00DA27A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Putin se va a la guerra… y la UE anda “en bolas y por la ramas”(más allá del arco iris)</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se disparan los precios? ¿Cómo es posible?</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colapso sin precedentes? ¿Estamos ante un caso de odio “fraternal”?</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Alemania “confía” en Rusia: temor o connivencia?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Falsos conceptos, miedo escénico, esclavitud moral, complejo de Estocolmo, derrotas preventivas, víctima de creencias desfasadas, imbecilidad supina, satisfechos con lo logrado, ostentosa autocomplacencia, dependencia por inercia, encantado de haberse conocido, pero con un programa de cambios profundos agotado. Y eso no sólo augura un pésimo futuro. Demasiados listillos cortoplacistas. Demasiados cooperadores necesarios. Demasiadas puertas giratorias. Demasiado capitalismo anglosajón. Demasiados partidarios de ganar perdiendo…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¿Qué está pasando con la Unión Europea?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¿Queda algo de la famosa autonomía estratégica europea? ¿De qué sirve la ortodoxia económica cuando se carece de la base productiva (agraria, industrial, energética, tecnológica y de servicios) necesaria para elaborar los alimentos, bienes o servicios, que aseguren la soberanía?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Un estado de funambulismo “acojonado”: cuyos dirigentes políticos y empresariales más que tontear han compartido cama con el “enemigo”, una actitud que ha devastado a la Unión Europea hasta extremos difícilmente recuperables.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Una burguesía europea, tan sobrada de miedos como carente de valores cívicos, ha abdicado de su vocación de faro, ha borrado de su ideario y de su praxis cualquier atisbo de ideología de capitalismo renano (palabra maldita, desaparecida del horizonte europeo) para confundirse en el paisaje gris de una sumisión al capitalismo anglosajón.</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Una eurozona que siempre parece tener la sensación de vivir adormecida y a la espera de que los acontecimientos fuercen las decisiones, en lugar de al contrario.</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Esta inflación es la confluencia de una salida a borbotones de la pandemia, de la guerra de Ucrania, de diferentes políticas anti-Covid con consecuencias sobre las cadenas de suministro globales y de cierto oportunismo. Se trata de un conjunto de cuestiones que exceden lo que un banco central puede controlar, aunque tenga que tocar su balada.</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Petróleo, gas natural, productos agrícolas... Las materias primas están siendo, sin lugar a dudas, las protagonistas durante este año y no es para menos. Su precio ha experimentado un crecimiento meteórico y no ha dado tregua a una inflación que amenaza con hacer descarrilar las principales economías del mundo, lo que ha encendido todas las alarmas en el seno de los bancos centrales, que están subiendo los tipos de interés por encima de lo esperado hace pocas semanas (mediados de junio 2022). Así, el precio de las “commodities” está cerca de su nivel más alto desde 2008, si tomamos como referencia el Bloomberg Commodity Inditex en euros, tras un repunte superior al 30% en este 2022.</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Del papel cumplido (o sus debilidades manifiestas), por parte de los países miembro de la Unión Europea, debo confesar que mi mayor interés y preocupación está puesto en Alemania. De los países mediterráneos (conocidos como PIGS, ahora más “pigs” que nunca), poco se puede esperar (pedigüeños y manirrotos, sin ninguna capacidad de liderazgo), de Francia (aunque intenta maquillarlo con su “grandeur” trasnochada) solo se puede desear que abandone su estatismo clientelar y su burocracia progre, del resto de los países (algunos frugales y otros mendicantes), decir que siguen las señales de Alemania, como un mal menor. </w:t>
      </w:r>
    </w:p>
    <w:p w:rsidR="00DA27AD" w:rsidRDefault="00DA27AD" w:rsidP="00DA27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definitiva: con Alemania al frente (comprometida y leal) se puede “soñar” con la Unión Europea. Sin Alemania (relativista y mercantil), la Unión Europea dejaría de existir. Kaput.</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fin de una ilusión económica (cuanto antes mejor, aunque puede que algunos daños sean irreparables)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 medida que avanza la guerra, la demanda y el precio de productos y materias primas provenientes de Rusia y Ucrania seguirán aumentando. Y, con ello, la preocupación sobre la seguridad energética y alimentaria, dicen los analistas. Europa en riesgo de colapso energético, escases alimentaria, e incremento de precios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un año de alta inflación, la guerra de Rusia en Ucrania está obligando a los políticos y comentaristas de todo el mundo a rendir cuentas. Las nuevas realidades macroeconómicas muestran que los días del estímulo de la demanda sin sentido, los rescates garantizados y las políticas climáticas activistas ahora deben dejarse atrás.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El regreso de la inflación marca un punto de inflexión. La demanda ha golpeado la pared de ladrillos de la oferta. Nuestras economías ahora están produciendo todo lo que pueden. Además, esta inflación está claramente arraigada en políticas fiscales excesivamente expansivas. Si bien los choques de oferta pueden aumentar el precio de una cosa en relación con otras, no aumentan todos los precios y salarios juntos.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abandonar muchas ilusiones, comenzando con la idea de que los gobiernos pueden pedir prestado o imprimir tanto dinero como necesiten para rociar cada problema. El gasto público ahora debe provenir de los ingresos fiscales actuales o de ingresos fiscales futuros creíbles, para respaldar el endeudamiento no inflacionario. Se acabó el gasto de estímulo por sí mismo. Los gobiernos deben comenzar a gastar sabiamente… ¿Aterrizaje suave o fin de una era? El libre comercio y la idea de que el “mundo es plano” se ha acabado. La era de la subcontratación por todo el mundo podría haber llegado a su fin… And them?</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dicho: El silencio es la antesala del miedo. La duda está en saber a qué y a quiénes.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“Nada es más despreciable que el respeto basado en el miedo”. (Albert Camus)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Cuando la ola del “putinismo” abandone la periferia europea, emergerá de nuevo, indisimulable, el paisaje desolador de la Unión Europea, con su “garrulería y tiesura imperantes”, que diría Octavio Paz, un panorama de agobios económicos, angustias sociales, dramas familiares, despóticos sobresaltos, que hacen difícil no enterrar la esperanza de un cambio drástico que mejore el futuro de los europeos.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 cual no obsta para que tengamos ante nosotros cadáveres (políticos y empresariales) llenos de vida, que bailan, gritan y se inventan lo inimaginable para hacer ver que aún sobreviven. Patriotas de hojalata, líderes de plastilina, y bobos solemnes, que aunque saben que han perdido, les queda la conciencia de esos últimos metros para escapar a lo que nadie duda que sea su destino. No hay que dárselas de adivino para asegurar que van a utilizar todo lo que esté a mano para conjurar la derrota. Antes de la paz (ucraniana), a Putin, tal vez, haya que agradecerle, el final de la escapada (europea). </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creo en las casualidades. Este carro suicida lanzado a toda velocidad hacia el abismo está tasado y tiene manos que mecen la cuna (beneficiarios) en la sombra. A estos dirigentes (europeos) sinvergüenzas, y sin vergüenza, toda imputación es válida.</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empresarios europeos han creído (y algunos, siguen creyéndolo) que pueden ganar más como cortesanos (y si se tercia, vasallos) de las grandes corporaciones norteamericanas o chinas, que como autónomos, soberanos, independientes, emancipados, libres. Entregan un mercado de 500 millones de consumidores, a cambio que les dejen vender unos “autitos”, y sentarse a la mesa del Foro Económico Mundial de Davos. Soñando con poder ordeñarlobos.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políticos europeos no existen, son meros felpudos (o en su caso, alfombrilla de baño), de los “hacedores de mercado” (norteamericanos, chinos, japoneses, árabes, europeos o rusos). </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Entre tanto la población europea se debate entre la muerte, el hambre, la recesión y el desempleo, y lo peor es que nadie sabe cómo, ni cuándo, terminará esta debacle.</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Nota: “para este viaje no hacían falta tantas alforjas”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Los datos son cada día más evidentes. La Gran Recesión fue aprovechada por las élites de los países avanzados, básicamente rentistas, para llevar a cabo su particular ajuste de cuentas contra la inmensa mayoría de sus ciudadanos (ahora, en vías de subdesarrollo).</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gran estafa del modelo neo-liberal (globalización, librecambio, deslocalización, financierización, desregulación, privatización), iniciado en la era Reagan-Thatcher, y llevado a cabo desde antes de  la Gran Recesión-2008, amplificado por el rescate de la banca, en los años sub-siguientes (socialización de las pérdidas, monetización de la deuda, represión financiera, privatización de las ganancias …), y con la grotesca implantación de una economía “lowcost”, en nombre de la competitividad, la productividad, la disrupción y el asociacionismo  (trabajos precarios, contratos basura, temporalidad, minijobs, contratos de cero horas, becarios eternos o c</w:t>
      </w:r>
      <w:r w:rsidR="0051130C">
        <w:rPr>
          <w:rFonts w:ascii="Times New Roman" w:eastAsia="Times New Roman" w:hAnsi="Times New Roman" w:cs="Times New Roman"/>
          <w:b/>
          <w:sz w:val="24"/>
          <w:szCs w:val="24"/>
          <w:lang w:eastAsia="es-ES"/>
        </w:rPr>
        <w:t>autivos de la pesadilla mortal “</w:t>
      </w:r>
      <w:r>
        <w:rPr>
          <w:rFonts w:ascii="Times New Roman" w:eastAsia="Times New Roman" w:hAnsi="Times New Roman" w:cs="Times New Roman"/>
          <w:b/>
          <w:sz w:val="24"/>
          <w:szCs w:val="24"/>
          <w:lang w:eastAsia="es-ES"/>
        </w:rPr>
        <w:t>The</w:t>
      </w:r>
      <w:r w:rsidR="0051130C">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Magic</w:t>
      </w:r>
      <w:r w:rsidR="0051130C">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Roundabout”, falsos autónomos…)</w:t>
      </w:r>
      <w:r w:rsidR="0051130C">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hace imprescindible un debate público, abierto, profundo y crítico.</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Hay que examinar el inmenso fraude al que se han visto sometidos la mayoría de los ciudadanos de los países avanzados, muy especialmente los más jóvenes, sin futuro alguno.</w:t>
      </w:r>
      <w:r w:rsidR="0051130C">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 xml:space="preserve">Las condiciones laborales y salariales de los más jóvenes están provocando un </w:t>
      </w:r>
      <w:r>
        <w:rPr>
          <w:rFonts w:ascii="Times New Roman" w:eastAsia="Times New Roman" w:hAnsi="Times New Roman" w:cs="Times New Roman"/>
          <w:b/>
          <w:sz w:val="24"/>
          <w:szCs w:val="24"/>
          <w:lang w:eastAsia="es-ES"/>
        </w:rPr>
        <w:lastRenderedPageBreak/>
        <w:t>auténtico desplome</w:t>
      </w:r>
      <w:r w:rsidR="0051130C">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en la formación de las familias, la natalidad y la adquisición de vivienda por parte de este grupo. Una vida sin oficio ni beneficio, las medidas que se implementan parecen hacerse contra las generaciones futuras.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Hay que analizar las consecuencias finales de las decisiones de política económica tomadas, mediante un estudio riguroso. Ya no valen paños calientes, ni fuegos de artificio. En mi opinión, es necesario (y urgente) un cambio de rumbo radical. Espero y deseo que se pronuncien los “grandes bonetes” sobre la evolución creciente de la desigualdad. Se echan en falta informes académicos que no sean tan “políticamente correctos”. ¿Hay tantos estómagos agradecidos? ¿Cuántos le deben la cátedra universitaria, el Nobel, o las subvenciones de investigación, al establishment? ¿Pueden hablar sobre aquello que el poder no quiere?</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Pero, mientras los titiriteros mediáticos (y estómagos académicos agradecidos) siguen con el relato oficial de “conformidad” con el sentido de marcha, de “adaptación” ante la nueva economía, manipulando las estadísticas… la OCDE publica un Informe:  </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A Broken Social Elevator? How to Promote Social Mobility (¿Un elevador social descompuesto? Cómo promover la movilidad social)  donde afirma que, considerando los actuales niveles de desigualdad y la movilidad intergeneracional de los ingresos, el niño de una familia pobre necesitaría por lo menos cinco generaciones para alcanzar un nivel medio de ingresos, en promedio en los países de la OCDE.</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Esto varía desde solo dos a tres generaciones en los países nórdicos a nueve o más generaciones en algunas economías emergentes. Uno de cada tres niños con un padre que percibe bajos ingresos también tendrá bajos ingresos, mientras que para la mayoría de las otras dos terceras partes, la movilidad ascendente se limita al grupo de ingresos próximo.</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“Demasiadas personas sienten que se están rezagando y que sus hijos tienen muy pocas oportunidades de salir adelante; debemos asegurarnos de que todos tengan la oportunidad de triunfar, sobre todo los más desfavorecidos, y que el crecimiento se vuelva verdaderamente incluyente”, señala Gabriela Ramos, Directora de Gabinete de la OCDE.</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movilidad salarial fue una realidad para muchas personas nacidas entre 1955 y 1975 de padres con bajo nivel educativo, pero se estancó para los que nacieron después de 1975.</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Las perspectivas de movilidad salarial, entre las generaciones, suelen ser más desfavorables en los países donde la desigualdad en los ingresos es alta, y más favorables en los países con menos desigualdad.</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Aunque, todo hay que decirlo, el Fondo Monetario Internacional (FMI) ya había presentado en informe en abril de 2015 donde advertía de que el aumento de la brecha social en un país supone un freno para el crecimiento económico. Cuanto más concentrada está la riqueza en pocas manos, menor es el crecimiento de un país. La desigualdad merma expectativas y desincentiva la formación y la productividad.</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El FMI calculaba que si el 20% de la población más favorecida aumenta un punto porcentual la cuota de ingresos que acumulan, el aumento del PIB de un país es un 0,08% más bajo en los cinco años siguientes. En cambio, cuando el 20% más bajo de un </w:t>
      </w:r>
      <w:r>
        <w:rPr>
          <w:rFonts w:ascii="Times New Roman" w:eastAsia="Times New Roman" w:hAnsi="Times New Roman" w:cs="Times New Roman"/>
          <w:b/>
          <w:sz w:val="24"/>
          <w:szCs w:val="24"/>
          <w:lang w:eastAsia="es-ES"/>
        </w:rPr>
        <w:lastRenderedPageBreak/>
        <w:t>país gana un punto del pastel de los ingresos de un país, el crecimiento es un 0,38% mayor.</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Esta advertencia del FMI, fue reiterada en abril de 2017, reclamando políticas fiscales “más inclusivas” con el objetivo de reducir la desigualdad y denunciando que los ingresos del 1% más rico han experimentado un crecimiento anual “al menos tres veces mayor que el del resto de la población durante los últimas tres décadas”.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política fiscal tiene un papel importante para asegurar que los beneficios del crecimiento se reparten más ampliamente entre la población”, destaca el informe fiscal del FMI, que indica que, en la mayoría de las economías avanzadas, la política fiscal ha sido cada vez “menos efectiva” en el desempeño de este papel durante los últimos veinte años.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reducción de la generosidad de los beneficios sociales, junto a una carga tributaria menos progresiva han reducido la capacidad de la política monetaria para estrechar la disparidad en los ingresos desde mediados de los años noventa”, agrega el informe.</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Además, el FMI advierte de que los “excesivos y crecientes” niveles de desigualdad e incertidumbre son “perjudiciales” para el bienestar y el crecimiento, por lo que propone mejorar la canalización de las ayudas a los hogares, instaurar un sistema fiscal más progresivo y mejorar el acceso al mercado laboral y a la sanidad pública en el marco de una serie de reformas estructurales.</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El Fondo Monetario Internacional (FMI), al que se le reprocha a menudo aumentar la desigualdad económica, en abril de 2018, vuelve a advertir sobre las consecuencias negativas de dicha brecha. </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Estos Informes (del FMI, y la OCDE) hacen que los defensores de la redistribución económica tengamos motivos para la esperanza: finalmente, la evidencia parece mostrar que la lucha contra la desigualdad no solo es ética o políticamente necesaria, sino también económicamente sensata.</w:t>
      </w:r>
    </w:p>
    <w:p w:rsidR="00DA27AD" w:rsidRDefault="00DA27AD" w:rsidP="00DA27AD">
      <w:pPr>
        <w:spacing w:after="0" w:line="240" w:lineRule="auto"/>
        <w:jc w:val="both"/>
        <w:textAlignment w:val="baseline"/>
        <w:rPr>
          <w:rFonts w:ascii="Times New Roman" w:hAnsi="Times New Roman"/>
          <w:b/>
          <w:sz w:val="24"/>
          <w:szCs w:val="24"/>
        </w:rPr>
      </w:pPr>
      <w:r>
        <w:rPr>
          <w:rFonts w:ascii="Times New Roman" w:hAnsi="Times New Roman"/>
          <w:b/>
          <w:sz w:val="24"/>
          <w:szCs w:val="24"/>
        </w:rPr>
        <w:t>“Si fuera así, entonces todas las personas razonables tendrían que estar a favor de una mayor redistribución”, dice</w:t>
      </w:r>
      <w:r w:rsidR="00FC318D">
        <w:rPr>
          <w:rFonts w:ascii="Times New Roman" w:hAnsi="Times New Roman"/>
          <w:b/>
          <w:sz w:val="24"/>
          <w:szCs w:val="24"/>
        </w:rPr>
        <w:t xml:space="preserve"> </w:t>
      </w:r>
      <w:r>
        <w:rPr>
          <w:rFonts w:ascii="Times New Roman" w:hAnsi="Times New Roman"/>
          <w:b/>
          <w:sz w:val="24"/>
          <w:szCs w:val="24"/>
        </w:rPr>
        <w:t>Holger</w:t>
      </w:r>
      <w:r w:rsidR="00FC318D">
        <w:rPr>
          <w:rFonts w:ascii="Times New Roman" w:hAnsi="Times New Roman"/>
          <w:b/>
          <w:sz w:val="24"/>
          <w:szCs w:val="24"/>
        </w:rPr>
        <w:t xml:space="preserve"> </w:t>
      </w:r>
      <w:r>
        <w:rPr>
          <w:rFonts w:ascii="Times New Roman" w:hAnsi="Times New Roman"/>
          <w:b/>
          <w:sz w:val="24"/>
          <w:szCs w:val="24"/>
        </w:rPr>
        <w:t>Stichnoth, coordinador del grupo de investigación International Distribution</w:t>
      </w:r>
      <w:r w:rsidR="00FC318D">
        <w:rPr>
          <w:rFonts w:ascii="Times New Roman" w:hAnsi="Times New Roman"/>
          <w:b/>
          <w:sz w:val="24"/>
          <w:szCs w:val="24"/>
        </w:rPr>
        <w:t xml:space="preserve"> </w:t>
      </w:r>
      <w:r>
        <w:rPr>
          <w:rFonts w:ascii="Times New Roman" w:hAnsi="Times New Roman"/>
          <w:b/>
          <w:sz w:val="24"/>
          <w:szCs w:val="24"/>
        </w:rPr>
        <w:t>Analyses en el Centro de Investigación Económica Europea (ZEW), en Mannheim.</w:t>
      </w:r>
    </w:p>
    <w:p w:rsidR="00DA27AD" w:rsidRDefault="00DA27AD" w:rsidP="00DA27AD">
      <w:pPr>
        <w:spacing w:after="0" w:line="240" w:lineRule="auto"/>
        <w:jc w:val="both"/>
        <w:textAlignment w:val="baseline"/>
        <w:rPr>
          <w:rFonts w:ascii="Times New Roman" w:hAnsi="Times New Roman"/>
          <w:b/>
          <w:sz w:val="24"/>
          <w:szCs w:val="24"/>
        </w:rPr>
      </w:pPr>
    </w:p>
    <w:p w:rsidR="00DA27AD" w:rsidRDefault="00DA27AD" w:rsidP="00DA27AD">
      <w:pPr>
        <w:spacing w:after="0" w:line="240" w:lineRule="auto"/>
        <w:jc w:val="both"/>
        <w:textAlignment w:val="baseline"/>
        <w:rPr>
          <w:rFonts w:ascii="Times New Roman" w:hAnsi="Times New Roman"/>
          <w:b/>
          <w:sz w:val="24"/>
          <w:szCs w:val="24"/>
        </w:rPr>
      </w:pPr>
      <w:r>
        <w:rPr>
          <w:rFonts w:ascii="Times New Roman" w:hAnsi="Times New Roman"/>
          <w:b/>
          <w:sz w:val="24"/>
          <w:szCs w:val="24"/>
        </w:rPr>
        <w:t>¿Sería demasiado bueno para ser verdad?</w:t>
      </w:r>
    </w:p>
    <w:p w:rsidR="00DA27AD" w:rsidRDefault="00DA27AD" w:rsidP="00DA27AD">
      <w:pPr>
        <w:spacing w:after="0" w:line="240" w:lineRule="auto"/>
        <w:jc w:val="both"/>
        <w:textAlignment w:val="baseline"/>
        <w:rPr>
          <w:rFonts w:ascii="Times New Roman" w:hAnsi="Times New Roman"/>
          <w:b/>
          <w:sz w:val="24"/>
          <w:szCs w:val="24"/>
        </w:rPr>
      </w:pP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Ahora ya quedan menos (eso espero) que puedan negar la evidencia, que aparenten una ceguera voluntaria, que engañen, confundan, desorienten, despisten, manipulen, intoxiquen… con el fin de ocultar la verdad sobre el aumento de la desigualdad de los ingresos en las últimas décadas… que continúen intentando “empujar la soga”. </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Ahora ya quedan menos (eso espero) que puedan justificar esa “apropiación indebida” como un “hecho de la naturaleza”, como un “daño colateral” de la crisis, que se resolverá solo con la “lluvia fina” del crecimiento económico. Ya está claro, quiénes son los pocos que “ganan -casi- todo” y los muchos que “pierden -casi- todo”. </w:t>
      </w:r>
    </w:p>
    <w:p w:rsidR="00DA27AD" w:rsidRDefault="00DA27AD" w:rsidP="00DA27AD">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Ahora ya quedan menos (eso espero) que puedan pensar que con la adicción al “like” y los “followers” en Instagram, alcanza para mantener a la juventud “anestesiada”, “sonámbula” “descerebrada”, “idiotizada”, “zombi”…</w:t>
      </w:r>
    </w:p>
    <w:p w:rsidR="00DA27AD" w:rsidRDefault="00DA27AD" w:rsidP="00DA27AD">
      <w:pPr>
        <w:spacing w:line="240" w:lineRule="auto"/>
        <w:jc w:val="both"/>
        <w:rPr>
          <w:rFonts w:ascii="Times New Roman" w:hAnsi="Times New Roman" w:cs="Times New Roman"/>
          <w:b/>
          <w:sz w:val="24"/>
          <w:szCs w:val="24"/>
        </w:rPr>
      </w:pPr>
      <w:r>
        <w:rPr>
          <w:rFonts w:ascii="Times New Roman" w:eastAsia="Times New Roman" w:hAnsi="Times New Roman" w:cs="Times New Roman"/>
          <w:b/>
          <w:color w:val="FF0000"/>
          <w:sz w:val="24"/>
          <w:szCs w:val="24"/>
          <w:lang w:eastAsia="es-ES"/>
        </w:rPr>
        <w:lastRenderedPageBreak/>
        <w:t>Salvando el planeta en solitario (la “taxonomía” de los idiotas)</w:t>
      </w:r>
    </w:p>
    <w:p w:rsidR="00DA27AD" w:rsidRDefault="00DA27AD" w:rsidP="00DA27AD">
      <w:pPr>
        <w:spacing w:line="24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es-ES"/>
        </w:rPr>
        <w:t>Teñidos de verde, bajo  la influencia de la secta “climatérica” de Greta Thunberg</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b/>
          <w:sz w:val="24"/>
          <w:szCs w:val="24"/>
        </w:rPr>
        <w:t>2021</w:t>
      </w:r>
      <w:r>
        <w:rPr>
          <w:rFonts w:ascii="Times New Roman" w:hAnsi="Times New Roman" w:cs="Times New Roman"/>
          <w:sz w:val="24"/>
          <w:szCs w:val="24"/>
        </w:rPr>
        <w:t xml:space="preserve"> - </w:t>
      </w:r>
      <w:r>
        <w:rPr>
          <w:rFonts w:ascii="Times New Roman" w:hAnsi="Times New Roman" w:cs="Times New Roman"/>
          <w:b/>
          <w:sz w:val="24"/>
          <w:szCs w:val="24"/>
        </w:rPr>
        <w:t>Los países más contaminantes y su grado de compromiso con el cambio climático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¿Cuáles son los países más contaminantes en cuanto a emisiones de gases de efecto invernadero (GEI) y a qué se han comprometido para reducirlas? ¿Cómo puede afectar la crisis del coronavirus a la lucha contra el cambio climático? ¿Qué medidas son realmente necesarias para hacer frente a la crisis climática?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países más contaminantes del mundo, en términos de emisiones de gases de efecto invernadero (GEI), son, en este orden: China, Estados Unidos (EEUU), los 28 países miembros de la Unión Europea (UE-28), India, Rusia y Japón. Así lo señala el Informe de la Brecha de Emisiones 2019 (Emissions Gap Report) del Programa de Naciones Unidas para el Medio Ambiente (PNUMA).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Esta clasificación se viene manteniendo desde hace varios años. Según la base de datos de la Comisión Europea (EDGAR), los países del mundo con mayores emisiones de GEI en 2015 fueron, en términos absolutos: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China (26,6%)</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EEUU (13,1%)</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UE-28 (9,2%)</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India (6,8%)</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Rusia (4,5%)</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Japón (2,8%)</w:t>
      </w:r>
    </w:p>
    <w:p w:rsidR="00DA27AD" w:rsidRDefault="00DA27AD" w:rsidP="00DA27AD">
      <w:pPr>
        <w:pStyle w:val="NormalWeb"/>
        <w:jc w:val="both"/>
        <w:rPr>
          <w:b/>
        </w:rPr>
      </w:pPr>
      <w:r>
        <w:rPr>
          <w:b/>
        </w:rPr>
        <w:t>Nota (I): “Que cada Santo aguante su vela” (¿misión imposible?)</w:t>
      </w:r>
    </w:p>
    <w:p w:rsidR="00DA27AD" w:rsidRDefault="00DA27AD" w:rsidP="00DA27AD">
      <w:pPr>
        <w:pStyle w:val="NormalWeb"/>
        <w:jc w:val="both"/>
        <w:rPr>
          <w:b/>
        </w:rPr>
      </w:pPr>
      <w:r>
        <w:rPr>
          <w:b/>
        </w:rPr>
        <w:t>De lo visto y leído, hasta el momento, me llama la atención el diferente grado de daño climático que causan los países (para el caso, la Unión Europea, los Estados Unidos, o la República Popular China), frente al nivel de compromiso alcanzado (consenso), la unidad de criterio lograda (homogeneidad), el nivel de exigencias conseguido (reducción demostrable, penalización por daño, o el pago compensatorio).</w:t>
      </w:r>
    </w:p>
    <w:p w:rsidR="00DA27AD" w:rsidRDefault="00DA27AD" w:rsidP="00DA27AD">
      <w:pPr>
        <w:pStyle w:val="NormalWeb"/>
        <w:jc w:val="both"/>
        <w:rPr>
          <w:b/>
        </w:rPr>
      </w:pPr>
      <w:r>
        <w:rPr>
          <w:b/>
        </w:rPr>
        <w:t>Da toda la impresión que el nivel de requerimiento en cada caso (no proporcional, no equitativo y no perentorio) está directamente vinculado con el “complejo” de culpa ambiental que siente la población de cada país (o región), del nivel de “plasticidad” (mejor decir, cobardía, inseguridad, debilidad, timidez, miedo) de sus dirigentes políticos, a la hora de defender los intereses nacionales, a riesgo de ser acusados de indiferentes, displicentes, o irresponsables, con las causas del cambio climático, y de la capacidad de influencia de los sectores económicos para no perder competitividad.</w:t>
      </w:r>
    </w:p>
    <w:p w:rsidR="00DA27AD" w:rsidRDefault="00DA27AD" w:rsidP="00DA27AD">
      <w:pPr>
        <w:pStyle w:val="NormalWeb"/>
        <w:jc w:val="both"/>
        <w:rPr>
          <w:b/>
        </w:rPr>
      </w:pPr>
      <w:r>
        <w:rPr>
          <w:b/>
        </w:rPr>
        <w:t xml:space="preserve">Creo que en el caso de la Unión Europea, la elevada conciencia ecológica de la población (complejo de culpa), la evidente debilidad de sus dirigentes políticos (altamente dependientes de las encuestas de opinión, y demasiado temerosos de las penas de telediario), así como la falta de peso específico de las grandes corporaciones (para </w:t>
      </w:r>
      <w:r>
        <w:rPr>
          <w:b/>
        </w:rPr>
        <w:lastRenderedPageBreak/>
        <w:t>defender sus intereses, ante la competencia internacional, que no tiene, o no cumple similares exigencias medioambientales), genera un “coctel” de responsabilidad ineficaz.</w:t>
      </w:r>
    </w:p>
    <w:p w:rsidR="00DA27AD" w:rsidRDefault="00DA27AD" w:rsidP="00DA27AD">
      <w:pPr>
        <w:pStyle w:val="NormalWeb"/>
        <w:jc w:val="both"/>
        <w:rPr>
          <w:b/>
        </w:rPr>
      </w:pPr>
      <w:r>
        <w:rPr>
          <w:b/>
        </w:rPr>
        <w:t>En el caso de los Estados Unidos, me animo a decir que el “coctel” de irresponsabilidad colectivo (en este caso favorable a sus intereses, aunque provoque daño climático), está representado por un sentimiento social de indiferencia, individualismo, y consumismo, por una actitud pasiva (o de resistencia) por parte del gobierno, y por una avaricia, codicia, y cortoplacismo imperturbable, por parte de las grandes empresas.</w:t>
      </w:r>
    </w:p>
    <w:p w:rsidR="00DA27AD" w:rsidRDefault="00DA27AD" w:rsidP="00DA27AD">
      <w:pPr>
        <w:pStyle w:val="NormalWeb"/>
        <w:jc w:val="both"/>
        <w:rPr>
          <w:b/>
        </w:rPr>
      </w:pPr>
      <w:r>
        <w:rPr>
          <w:b/>
        </w:rPr>
        <w:t>La posición de China (el mayor causante del daño climático), es la de intoxicar, y no pagar. Con atrevimiento, intrigas, e insensatez, abusan o incumplen los acuerdos internacionales. Y lo más lamentable, es que ni la UE, ni EEUU, hacen reclamo alguno.</w:t>
      </w:r>
    </w:p>
    <w:p w:rsidR="00DA27AD" w:rsidRDefault="00DA27AD" w:rsidP="00DA27AD">
      <w:pPr>
        <w:pStyle w:val="NormalWeb"/>
        <w:jc w:val="both"/>
        <w:rPr>
          <w:b/>
        </w:rPr>
      </w:pPr>
      <w:r>
        <w:rPr>
          <w:b/>
        </w:rPr>
        <w:t>Nota (II): Veamos, la “raya de abajo” (cuánto puede costar hacer una “limpieza” climática)</w:t>
      </w:r>
    </w:p>
    <w:p w:rsidR="00DA27AD" w:rsidRDefault="00DA27AD" w:rsidP="00DA27AD">
      <w:pPr>
        <w:pStyle w:val="NormalWeb"/>
        <w:jc w:val="both"/>
        <w:rPr>
          <w:b/>
        </w:rPr>
      </w:pPr>
      <w:r>
        <w:rPr>
          <w:b/>
        </w:rPr>
        <w:t>En un artículo reciente: (“Cerrar la brecha entre naturaleza y finanzas”), publicado por  Andrew Deutz (Director de Política Global, Instituciones y Financiamiento de la Conservación en The Nature Conservancy), en Project Syndicate el 13/9/21, se analizan los números para ver cuánto costaría preservar la biodiversidad: la variedad y abundancia de vida en la tierra.</w:t>
      </w:r>
    </w:p>
    <w:p w:rsidR="00DA27AD" w:rsidRDefault="00DA27AD" w:rsidP="00DA27AD">
      <w:pPr>
        <w:pStyle w:val="NormalWeb"/>
        <w:jc w:val="both"/>
        <w:rPr>
          <w:b/>
        </w:rPr>
      </w:pPr>
      <w:r>
        <w:rPr>
          <w:b/>
        </w:rPr>
        <w:t>“Descubrimos que si bien el mundo gasta $ 124-143 mil millones por año (a partir de 2019) en actividades económicas que benefician a la naturaleza, gasta mucho más en actividades que la dañan. Además, para proteger y luego comenzar a restaurar la naturaleza, necesitamos urgentemente cerrar una brecha de financiamiento anual de $ 598-824 mil millones”…</w:t>
      </w:r>
    </w:p>
    <w:p w:rsidR="00DA27AD" w:rsidRDefault="00DA27AD" w:rsidP="00DA27AD">
      <w:pPr>
        <w:pStyle w:val="NormalWeb"/>
        <w:jc w:val="both"/>
        <w:rPr>
          <w:b/>
        </w:rPr>
      </w:pPr>
      <w:r>
        <w:rPr>
          <w:b/>
        </w:rPr>
        <w:t>El primer borrador del nuevo plan de acción mundial sobre diversidad biológica enfatiza la importancia de cerrar la brecha financiera anual de $ 700 mil millones para 2030. Pide una reducción de $ 500 mil millones en los flujos financieros dañinos entre sectores, y una movilización de $ 200 mil millones más por año en positivo…</w:t>
      </w:r>
    </w:p>
    <w:p w:rsidR="00DA27AD" w:rsidRDefault="00DA27AD" w:rsidP="00DA27AD">
      <w:pPr>
        <w:pStyle w:val="NormalWeb"/>
        <w:jc w:val="both"/>
        <w:rPr>
          <w:b/>
        </w:rPr>
      </w:pPr>
      <w:r>
        <w:rPr>
          <w:b/>
        </w:rPr>
        <w:t>La protección y restauración de los ecosistemas naturales no solo preserva la biodiversidad, sino que también ayuda a absorber los gases de efecto invernadero y aumenta la resiliencia frente a los efectos del cambio climático. La crisis de la biodiversidad está íntimamente ligada a la crisis climática. Las soluciones climáticas naturales (conservación, restauración y una mejor gestión de los ecosistemas) tienen el potencial de cubrir un tercio de las reducciones de emisiones anuales necesarias para mantener el calentamiento global muy por debajo de los 2 ° Celsius…</w:t>
      </w:r>
    </w:p>
    <w:p w:rsidR="00DA27AD" w:rsidRDefault="00DA27AD" w:rsidP="00DA27AD">
      <w:pPr>
        <w:pStyle w:val="NormalWeb"/>
        <w:jc w:val="both"/>
        <w:rPr>
          <w:b/>
        </w:rPr>
      </w:pPr>
      <w:r>
        <w:rPr>
          <w:b/>
        </w:rPr>
        <w:t>Finalmente, la acción en el frente interno es fundamental. Necesitamos que los países gasten más a nivel nacional para reducir sus emisiones, desarrollar resiliencia, proteger la biodiversidad y gastar menos en general en actividades que dañan la naturaleza y el clima”…</w:t>
      </w:r>
    </w:p>
    <w:p w:rsidR="00DA27AD" w:rsidRDefault="00DA27AD" w:rsidP="00DA27AD">
      <w:pPr>
        <w:pStyle w:val="NormalWeb"/>
        <w:jc w:val="both"/>
        <w:rPr>
          <w:b/>
        </w:rPr>
      </w:pPr>
      <w:r>
        <w:rPr>
          <w:b/>
        </w:rPr>
        <w:t>Conclusión preliminar: dando por ciertos los valores presupuestados por The Nature Conservancy, queda por resolver (y lograr la aceptación de las partes), cuánto paga cada una de las “partes interesadas” (países ricos, emergentes, en desarrollo o pobres).</w:t>
      </w:r>
    </w:p>
    <w:p w:rsidR="00DA27AD" w:rsidRDefault="00DA27AD" w:rsidP="00DA27AD">
      <w:pPr>
        <w:pStyle w:val="NormalWeb"/>
        <w:jc w:val="both"/>
        <w:rPr>
          <w:b/>
        </w:rPr>
      </w:pPr>
      <w:r>
        <w:rPr>
          <w:b/>
        </w:rPr>
        <w:lastRenderedPageBreak/>
        <w:t>El complejo ecológico de la Unión Europea (planificación verde de la economía)</w:t>
      </w:r>
    </w:p>
    <w:p w:rsidR="00DA27AD" w:rsidRDefault="00DA27AD" w:rsidP="00DA27AD">
      <w:pPr>
        <w:pStyle w:val="NormalWeb"/>
        <w:jc w:val="both"/>
      </w:pPr>
      <w:r>
        <w:t>Existe una forma de ecologismo “bipolar” (malo con los buenos, y bueno con los malos). Con la Unión Europea en solitario, no alcanza, para limpiar el planeta. Que mientras China, los EEUU, la India y otros “sospechosos habituales” no hagan sus “deberes” la solución medioambiental es nula o casi nula. El beneficio ambiental a nivel mundial es bajo, mientras el costo y daño económico y social a nivel europeo es enorme (irracional, injusto e insoportable). ¿Puede la UE aunque elimine totalmente su impacto ecológico (9,2%), salvar  en solitario el planeta? “Lo que no puede ser, no puede ser, y además es imposible”.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Los ciudadanos europeos se enfrentan a una enorme factura: la de financiar la lucha contra el cambio climático y lograr una economía descarbonizada, que incluye la instalación masiva de renovables. Una energía inestable (la solar desaparece en los atardeceres y el viento con los anticiclones) que requiere en el medio plazo del respaldo de la generación con gas natural, industria obligada a comprar derechos de emisión de CO2 para su funcionamiento y que la UE ha encarecido sin compasión para desincentivar el uso de los combustibles fósiles. El gas es una materia prima en manos de pocos pero poderosos productores, como Rusia o Argelia, que están compensando con fuertes subidas de precios las pérdidas del primer año de la pandemia y quieren exprimir al máximo un recurso de futuro incierto.</w:t>
      </w:r>
    </w:p>
    <w:p w:rsidR="00DA27AD" w:rsidRDefault="00DA27AD" w:rsidP="00DA27AD">
      <w:pPr>
        <w:pStyle w:val="NormalWeb"/>
        <w:jc w:val="both"/>
      </w:pPr>
      <w:r>
        <w:t>Existe una voluntaria (decir involuntaria, sería una “boutade”) incapacidad de los “ecologistas” o “ecolojetas”, de pensar el mundo globalmente.</w:t>
      </w:r>
    </w:p>
    <w:p w:rsidR="00DA27AD" w:rsidRDefault="00DA27AD" w:rsidP="00DA27AD">
      <w:pPr>
        <w:pStyle w:val="NormalWeb"/>
        <w:jc w:val="both"/>
      </w:pPr>
      <w:r>
        <w:t>Impresiona toda esa gente que se dice progresista y que cree que hay muchas cosas en nuestra vida que hemos cambiado y otras que debemos cambiar, y acaban proponiendo que volvamos a vivir como nuestros tatarabuelos. ¡Que se pongan ellos un florete en el cinto y se suban al caballo, pero qué nos dejen a los demás ser más modernos!</w:t>
      </w:r>
    </w:p>
    <w:p w:rsidR="00DA27AD" w:rsidRDefault="00DA27AD" w:rsidP="00DA27AD">
      <w:pPr>
        <w:pStyle w:val="NormalWeb"/>
        <w:jc w:val="both"/>
      </w:pPr>
      <w:r>
        <w:t>Frente a los informes “apocalípticos” de los fundamentalistas medioambientales, y a las algaradas “progres” de su feligresía del cambio climático, si China (el mayor “ecocida” global) alcanza (más pronto, que tarde) el rol de “primera potencia mundial” (ante una espantada de USA, que es casi una verdad revelada)…  hará como Cleómenes, aquel rey de Esparta, que tras escuchar una rapsodia de boca de un grupo de embajadores, les respondió: “En cuanto al inicio y al exordio, ya ni me acuerdo, ni por consiguiente, de la parte del medio, y en cuanto a la conclusión, nada quiero saber de ella”. O dicho bien claro: “La gente no está para tonterías”… y el Partido Comunista de China, continuará con su plan de desarrollo económico, social, y militar (de “manos libres”). O sea.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Tiempo de cínicos (instrumentalizan una idea para que se convierta en su contrario)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¿Estamos en manos de unos trileros cuyo cinismo se da por sobrentendido?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pretenden que sus axiomas sean adoptados por la sociedad, como verdades incuestionables universalmente válidas y evidentes?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utilizan tantos principios sesgados (alarmistas, equívocos, victimistas, condenatorios)  en la construcción de sus teorías o como base para sus argumentaciones?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¿Podrán seguir viviendo del “cuento”, y muy bien, engañando a quienes antaño les creían (en número decreciente, en cada sucesivo informe apocalíptico) y a quienes, frente a toda evidencia, seguramente seguirán tragándose su averiada “empanada” ideológica, pero que para la gente  culta y urbana, que trabaja, no pasan de ser unos simples impostores más? Unos caraduras. Unos jetas dispuestos a seguir viviendo del cuento.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estamos ante un caso de “asimetría” flagrante, y peor aún, “voluntaria” (acomplejada)?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la energía nuclear es “not friendly with the environment”, y el carbón es “environmentally friendly”?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echarán la culpa de vuestros errores? ¿A quién van a imputar vuestros fracasos?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¿Quién esta “pagando” esta aventura? No lo sé, pero lo puedo imaginar, con escaso margen de error.</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se preocupan por “salvar la Tierra”… quién se preocupa por la educación, la salud pública, la cultura, la seguridad ciudadana, la inmigración ilegal, la situación económica, que agobia y angustia tanto a las clases medias, como al océano de jóvenes sin empleo ni futuro, a los mayores de cincuenta años sin más horizonte que la desesperación, a los autónomos asfixiados por los impuestos, a los pequeños empresarios que se suicidan ante la inminente quiebra, o a todos los ciudadanos que no se conforman con el entretenimiento y la desinformación que lo “propinan” las redes sociales. </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Cuando se habla de cambio climático, el sector oficial lo tiene claro. Lo primero es dejar claro que ellos tienen de su lado “la verdad”, los datos, las investigaciones más avanzadas, el mayor número de expertos... Y ante esto, los argumentos no valen.</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con el miedo en el cuerpo (la grave fragilidad energética europea)</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variaciones tanto en el petróleo -con un Brent que llegó a tocar los 139 dólares, cifra que no alcanzaba desde 2008, aunque finalmente retrocedió hasta los 121 dólares- como en el gas, donde los futuros en el mercado neerlandés se dispararon hasta en un 79% respecto al viernes y cerraron en 229 euros/mwh. Por su parte, el precio de la electricidad en el mercado mayorista marca hoy la cifra más cara de la historia: 544,98 euros el megavatio/hora (mwh)”... (Cinco Días - </w:t>
      </w:r>
      <w:r>
        <w:rPr>
          <w:rFonts w:ascii="Times New Roman" w:hAnsi="Times New Roman" w:cs="Times New Roman"/>
          <w:b/>
          <w:sz w:val="24"/>
          <w:szCs w:val="24"/>
        </w:rPr>
        <w:t>8/3/22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w:t>
      </w:r>
      <w:r w:rsidR="003F2346">
        <w:rPr>
          <w:rFonts w:ascii="Times New Roman" w:hAnsi="Times New Roman" w:cs="Times New Roman"/>
          <w:sz w:val="24"/>
          <w:szCs w:val="24"/>
        </w:rPr>
        <w:t>e que las sanciones desencadene</w:t>
      </w:r>
      <w:r>
        <w:rPr>
          <w:rFonts w:ascii="Times New Roman" w:hAnsi="Times New Roman" w:cs="Times New Roman"/>
          <w:sz w:val="24"/>
          <w:szCs w:val="24"/>
        </w:rPr>
        <w:t xml:space="preserve">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sin duda, pero que llega tarde.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Más allá de que la solución más deseable a esta crisis sería un alto al fuego y una reconducción del conflicto, la guerra debe servir de acicate a Europa para avanzar en el diseño de un mapa de suministro energético más diversificado y menos vulnerable. Si los acontecimientos en Ucrania se agravan todavía más y el conflicto desencadena una crisis global de energía, Europa deberá asumir como primera consecuencia un racionamiento energético que tendrá un alto coste económico y social. España aprobó ayer una serie de medidas para mitigar el impacto de ese escenario, entre ellas, el desligamiento de los usuarios vulnerables de los altos precios determinados en el pool, pero se trata de parches temporales. La verdadera respuesta a la crisis no está solo en Moscú, sino también en Bruselas, que debería recordar aquello de que la diversificación es un seguro, también en la energía.</w:t>
      </w:r>
    </w:p>
    <w:p w:rsidR="00DA27AD" w:rsidRDefault="00DA27AD" w:rsidP="00DA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t>“Maldita” hemeroteca: el “mareo de la perdiz” (o la “taxonomía” de los idiotas)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CE propone que la inversión en energía nuclear y gas se considere sostenible</w:t>
      </w:r>
      <w:r>
        <w:rPr>
          <w:rFonts w:ascii="Times New Roman" w:hAnsi="Times New Roman" w:cs="Times New Roman"/>
          <w:sz w:val="24"/>
          <w:szCs w:val="24"/>
        </w:rPr>
        <w:t xml:space="preserve"> (Cinco Días - </w:t>
      </w:r>
      <w:r>
        <w:rPr>
          <w:rFonts w:ascii="Times New Roman" w:hAnsi="Times New Roman" w:cs="Times New Roman"/>
          <w:b/>
          <w:sz w:val="24"/>
          <w:szCs w:val="24"/>
        </w:rPr>
        <w:t>1/1/22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Europea ha propuesto que las inversiones en energía nuclear y gas natural se consideren sostenibles en la transición ecológica, según dijo este sábado, tras anunciar que ayer comenzó las consultas al respecto con los países de la UE y los expertos de la Plataforma de Finanzas Sostenibles.</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“Teniendo en cuenta el asesoramiento científico y el actual progreso tecnológico, así como los diferentes retos hacia la transición entre los Estados miembros, la Comisión considera que existe un papel para el gas natural y la nuclear como medio para facilitar la transición hacia un futuro basado predominantemente en las renovables”, señaló el Ejecutivo comunitario.</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Bruselas pretende aprobar el acto delegado este mes de enero tras consultar con los gobiernos europeos y los expertos, pero para que entre en vigor, la propuesta tendrá que recibir el visto bueno del Parlamento Europeo y del Consejo de la UE…</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su propuesta, la Comisión propuso que reciban la etiqueta verde las inversiones en las centrales nucleares que reciban el permiso de construcción antes de 2045 y que también se considere sostenible al gas natural siempre que provenga de energías renovables o tenga bajas emisiones en 2035…</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Bruselas asegura que la UE debe invertir medio billón de euros en nuevas nucleares</w:t>
      </w:r>
      <w:r>
        <w:rPr>
          <w:rFonts w:ascii="Times New Roman" w:hAnsi="Times New Roman" w:cs="Times New Roman"/>
          <w:sz w:val="24"/>
          <w:szCs w:val="24"/>
        </w:rPr>
        <w:t xml:space="preserve"> (Cinco Días - </w:t>
      </w:r>
      <w:r>
        <w:rPr>
          <w:rFonts w:ascii="Times New Roman" w:hAnsi="Times New Roman" w:cs="Times New Roman"/>
          <w:b/>
          <w:sz w:val="24"/>
          <w:szCs w:val="24"/>
        </w:rPr>
        <w:t>9/1/22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comisario europeo del Mercado Interior, Thierry Breton ha asegurado que la transición a una energía descarbonizada en la Unión Europea (UE) tiene que incluir una parte de energía nuclear para que se puedan cumplir los objetivos y eso implica una inversión de medio billón de euros en nuevos reactores atómicos de aquí a 2050.</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Eso significa dedicar unos 20.000 millones de euros anuales para los reactores de nueva generación, que se añadirán a los 50.000 millones necesarios de aquí a 2030 para poder mantener en funcionamiento las centrales nucleares actuales, explica el comisario francés en una entrevista publicada este domingo por el diario Le Journal du Dimanche.</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Breton defiende con ese argumento la polémica propuesta del Ejecutivo comunitario de integrar la nuclear en su taxonomía de las llamadas energías “verdes”, que es una forma de favorecer la llegada de capitales para ese tipo de proyectos en condiciones favorables</w:t>
      </w:r>
      <w:r>
        <w:rPr>
          <w:rFonts w:ascii="Times New Roman" w:hAnsi="Times New Roman" w:cs="Times New Roman"/>
          <w:sz w:val="24"/>
          <w:szCs w:val="24"/>
        </w:rPr>
        <w:t xml:space="preserve">. En línea con la posición del presidente francés, Emmanuel Macron, que ha anunciado su intención de lanzar la construcción de nuevos reactores para renovar el parque actual que </w:t>
      </w:r>
      <w:r>
        <w:rPr>
          <w:rFonts w:ascii="Times New Roman" w:hAnsi="Times New Roman" w:cs="Times New Roman"/>
          <w:sz w:val="24"/>
          <w:szCs w:val="24"/>
        </w:rPr>
        <w:lastRenderedPageBreak/>
        <w:t>genera el 70 % de la electricidad del país, el comisario reconoce que él siempre ha apoyado la inclusión dela nuclear en esa taxonomía.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Destaca que en la actualidad en el conjunto de la Unión Europea la energía nuclear aporta un 26% de la producción de electricidad, y que con la transición se estima que hará falta duplicar la generación eléctrica en los próximos 30 años.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Teniendo en cuenta el proceso de transición en marcha y la situación del parque de centrales nucleares actual, dice que los expertos estiman que el peso de la nuclear pasaría a menos del 15% para 2050. Pero como las necesidades en electricidad van a aumentar, Breton insiste en que habrá que aumentar la producción de energía nuclear, sobre todo teniendo en cuenta que algunas de las centrales más antiguas habrán de cerrar en los últimos años…</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Bruselas propone definitivamente que la energía nuclear y el gas se consideren “verdes”</w:t>
      </w:r>
      <w:r>
        <w:rPr>
          <w:rFonts w:ascii="Times New Roman" w:hAnsi="Times New Roman" w:cs="Times New Roman"/>
          <w:sz w:val="24"/>
          <w:szCs w:val="24"/>
        </w:rPr>
        <w:t xml:space="preserve"> (Cinco Días - </w:t>
      </w:r>
      <w:r>
        <w:rPr>
          <w:rFonts w:ascii="Times New Roman" w:hAnsi="Times New Roman" w:cs="Times New Roman"/>
          <w:b/>
          <w:sz w:val="24"/>
          <w:szCs w:val="24"/>
        </w:rPr>
        <w:t>2/2/22</w:t>
      </w:r>
      <w:r>
        <w:rPr>
          <w:rFonts w:ascii="Times New Roman" w:hAnsi="Times New Roman" w:cs="Times New Roman"/>
          <w:sz w:val="24"/>
          <w:szCs w:val="24"/>
        </w:rPr>
        <w:t>)</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Europea (CE) presentó este miércoles su propuesta final para que la energía nuclear y ciertas plantas de generación eléctrica a partir del gas se consideren inversiones “verdes”, una controvertida iniciativa que podrían bloquear los Estados miembros o el Parlamento Europeo.</w:t>
      </w:r>
    </w:p>
    <w:p w:rsidR="00DA27AD" w:rsidRDefault="00DA27AD" w:rsidP="00DA27A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ha concluido que “hay un papel para las inversiones en gas y nuclear en la transición energética” aunque sólo durante un período limitado de tiempo y con condiciones para que contribuyan a la descarbonización de la economía a mitad de siglo, indicaron fuentes europeas, informa Efe.</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Bruselas asume que ni el gas ni la energía nuclear son energías neutras a nivel climático, ni tampoco renovables, pero defiende su papel como “actividades de transición” para alcanzar el objetivo de una economía descarbonizada en 2050, un concepto recogido en el segundo párrafo del proyecto presentado…</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DA27AD" w:rsidRDefault="00DA27AD" w:rsidP="00DA27AD">
      <w:pPr>
        <w:spacing w:line="240" w:lineRule="auto"/>
        <w:jc w:val="both"/>
        <w:rPr>
          <w:rFonts w:ascii="Times New Roman" w:hAnsi="Times New Roman" w:cs="Times New Roman"/>
          <w:sz w:val="24"/>
          <w:szCs w:val="24"/>
        </w:rPr>
      </w:pPr>
      <w:r>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fuentes del Ejecutivo comunitario…</w:t>
      </w:r>
    </w:p>
    <w:p w:rsidR="00DA27AD" w:rsidRDefault="00DA27AD" w:rsidP="00DA27A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A partir de ahora se abre un periodo de cuatro meses, prorrogable dos más, tras el cual entrará en vigor salvo que lo tumbe una mayoría simple del Parlamento Europeo o una mayoría inversa de 20 países que sumen al menos el 65% de la población de la UE. </w:t>
      </w:r>
      <w:r>
        <w:rPr>
          <w:rFonts w:ascii="Times New Roman" w:hAnsi="Times New Roman" w:cs="Times New Roman"/>
          <w:color w:val="FF0000"/>
          <w:sz w:val="24"/>
          <w:szCs w:val="24"/>
          <w:u w:val="single"/>
        </w:rPr>
        <w:t>Si bien Francia y Alemania respaldan el proyecto, España, Austria, Dinamarca y Luxemburgo se posicionan en contra.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Pr>
          <w:rFonts w:ascii="Times New Roman" w:hAnsi="Times New Roman" w:cs="Times New Roman"/>
          <w:b/>
          <w:sz w:val="24"/>
          <w:szCs w:val="24"/>
        </w:rPr>
        <w:t>11/3/22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“El carbón desempeñará un papel crucial”, dijo Olaf Lies, ministro de Energía de Baja Sajonia. “Que volvamos a elegir esta frase no es del todo evidente, dado el plan del país de eliminar el carbón para 2030”, dijo el pasado martes en rueda de prensa.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Alemania cuenta con unos 45 GW de capacidad energética de carbón. Aunque una parte se ha apagado, otra se mantiene en reserva para garantizar la seguridad del suministro del país.</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“Sabemos, y tenemos que admitirlo, que en los últimos 20 años hemos maniobrado para depender cada vez más de las importaciones de energía fósil de Rusia”, dijo el vicecanciller Robert Habeck, que hablaba junto a Lies. “Esta no es una buena situación. Todos los esfuerzos del gobierno federal, e incluso del país, están dirigidos a reducir esta dependencia lo antes posible”, añadió.</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Pr>
          <w:rFonts w:ascii="Times New Roman" w:hAnsi="Times New Roman" w:cs="Times New Roman"/>
          <w:b/>
          <w:sz w:val="24"/>
          <w:szCs w:val="24"/>
        </w:rPr>
        <w:t>11/3/22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La Comisión Europea trabaja para que los Veintisiete puedan prescindir completamente de la energía rusa antes de 2030</w:t>
      </w:r>
      <w:r>
        <w:rPr>
          <w:rFonts w:ascii="Times New Roman" w:hAnsi="Times New Roman" w:cs="Times New Roman"/>
          <w:sz w:val="24"/>
          <w:szCs w:val="24"/>
        </w:rPr>
        <w:t xml:space="preserve">. </w:t>
      </w:r>
      <w:r>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comisario europeo del Mercado Interior, Thierry Breton, ha señalado este viernes en una entrevista en la emisora France Info que trabajan “para librarnos completamente de Rusia como proveedor energético” y que “pase lo que pase” con la guerra de Ucrania, la UE debe librarse de esa dependencia. Ese “pase lo que pase” pone de nuevo sobre la mesa ampliar la duración de las centrales nucleares.</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En el plan hay mención a la energía nuclear. Sí la hubo en la propuesta de la AIE para hacer frente al “chantaje” ruso a Europa. Breton, defensor conocido de esta propuesta que suscriben países como Alemania, ha indicado en esa entrevista que ante el desafío de acabar con la dependencia de los hidrocarburos rusos, extender la duración de estas plantas “está sobre la mesa”.</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diferente proporción de dependencia de los países de la UE del gas ruso complica el camino hacia una solución rápida. Del gas que recibe España, casi un 6% es ruso. Es de los países menos dependientes. Francia está en el 20%, Alemania en el 55% pero otros como Finlandia, Letonia o República Checa tienen una vinculación total, del 100%...</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Pr>
          <w:rFonts w:ascii="Times New Roman" w:hAnsi="Times New Roman" w:cs="Times New Roman"/>
          <w:b/>
          <w:sz w:val="24"/>
          <w:szCs w:val="24"/>
        </w:rPr>
        <w:t>15/3/22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Unión Europea tiene un objetivo: lograr la neutralidad de carbono para el año 2050. Es decir, para mediados de siglo la economía europea tiene que ser capaz de absorber al menos la misma cantidad de CO2 que libera a la atmósfera.</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¿Por qué? Fundamentalmente porque las renovables tienen el problema de no ser constantes. Evidentemente no sopla el viento ni hace sol las 24 horas del día, así que hoy por hoy estas energías necesitan una fuente de respaldo</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Y ahora, a tenor del reciente conflicto en Ucrania y del choque político entre Washington, Bruselas y Moscú</w:t>
      </w:r>
      <w:r>
        <w:rPr>
          <w:rFonts w:ascii="Times New Roman" w:hAnsi="Times New Roman" w:cs="Times New Roman"/>
          <w:sz w:val="24"/>
          <w:szCs w:val="24"/>
        </w:rPr>
        <w:t>, una pregunta ha cobrado protagonismo: ¿</w:t>
      </w:r>
      <w:r>
        <w:rPr>
          <w:rFonts w:ascii="Times New Roman" w:hAnsi="Times New Roman" w:cs="Times New Roman"/>
          <w:color w:val="FF0000"/>
          <w:sz w:val="24"/>
          <w:szCs w:val="24"/>
          <w:u w:val="single"/>
        </w:rPr>
        <w:t>Podrían las economías europeas sustituir el gas que reciben del gigante ruso si llegado el caso este país decidiera reducir o incluso cortar el suministro?</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Realpolitik, vuelve el “fantasma” del carbón, alarma entre los ecolojetas europeos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¿Habrá un adiós al carbón?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plena crisis energética, algunos países europeos recurren a fuentes como el carbón para equilibrar los precios desorbitados del mercado, algo que pone en peligro los objetivos climáticos de la UE para 2030.</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escalada en los precios de la energía está provocando que países acudan de forma temporal a otras fuentes de energía como el carbón.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cargamentos de este combustible fósil, de hecho seguirán llegando. Son, junto a las renovables y el gas procedente de otros países, una alternativa a la energía de la que proveía a Europa el país ruso.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diciembre del año 2021,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Pr>
          <w:rFonts w:ascii="Times New Roman" w:hAnsi="Times New Roman" w:cs="Times New Roman"/>
          <w:b/>
          <w:sz w:val="24"/>
          <w:szCs w:val="24"/>
        </w:rPr>
        <w:t>22/3/22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nucleares de las seis que cuenta.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Alemania inició un plan en 2011 para abandonar la energía nuclear y en enero de 2022, los reactores de Brokdorf, Grohnde y Gundremmingen C fueron desconectados, después de tres décadas de funcionamiento. Por si esto fuera poco, a finales de 2022, y si las cosas no varían, también cerrarán los últimos tres reactores que mantienen abiertos</w:t>
      </w:r>
      <w:r>
        <w:rPr>
          <w:rFonts w:ascii="Times New Roman" w:hAnsi="Times New Roman" w:cs="Times New Roman"/>
          <w:sz w:val="24"/>
          <w:szCs w:val="24"/>
        </w:rPr>
        <w:t>, Isar 2, Emsland y Neckarwestheim II. El día del cierre, el presidente ejecutivo de PreussenElektra, Guido Knott, que gestionaba dos de los reactores cerrados ya aseguró que: “hemos contribuido de forma decisiva al suministro seguro, respetuoso con el clima y fiable de electricidad en Alemania durante décadas”. El último día de uso de estos reactores, Greenpeace fue la encargada de lanzar un mensaje victorioso asegurando que era una acción por: “una Europa libre de energía nuclear”.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la crisis energética que comenzó el pasado año, por problemas en las cadenas de suministro, y la guerra de Ucrania han hecho que la situación sufra un cambio de 180 grados.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Así las cosas, Alemania se ha visto obligada a reactivar viejas centrales de carbón, la energía más contaminante, ante el riesgo de quedarse sin suministro de gas ruso. Y eso que el país germano tenía un plan aprobado para abandonar el uso del carbón en 2030</w:t>
      </w:r>
      <w:r>
        <w:rPr>
          <w:rFonts w:ascii="Times New Roman" w:hAnsi="Times New Roman" w:cs="Times New Roman"/>
          <w:sz w:val="24"/>
          <w:szCs w:val="24"/>
        </w:rPr>
        <w:t>.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UE lanza un macroplan de 300.000 millones para acabar con la dependencia energética rusa</w:t>
      </w:r>
      <w:r>
        <w:rPr>
          <w:rFonts w:ascii="Times New Roman" w:hAnsi="Times New Roman" w:cs="Times New Roman"/>
          <w:sz w:val="24"/>
          <w:szCs w:val="24"/>
        </w:rPr>
        <w:t xml:space="preserve"> (Cinco Días - </w:t>
      </w:r>
      <w:r>
        <w:rPr>
          <w:rFonts w:ascii="Times New Roman" w:hAnsi="Times New Roman" w:cs="Times New Roman"/>
          <w:b/>
          <w:sz w:val="24"/>
          <w:szCs w:val="24"/>
        </w:rPr>
        <w:t>18/5/22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Unión Europea tiene la intención de movilizar hasta 300.000 millones de euros de inversiones para 2030 para poner fin a su dependencia del petróleo y el gas rusos, según ha afirmado este miércoles la presidenta de la Comisión Europea, Ursula von der Leyen. En concreto, ha detallado en rueda de prensa que del presupuesto total, 75.000 millones de euros serán en forma de subvenciones y 225.000 a través de préstamos.</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este contexto, Von der Leyen ha presentado este miércoles el plan REPower EU, para cuya ejecución Europa necesitará 210.000 millones de euros de inversión adicionales hasta 2027 de cara a aumentar la participación de renovables, diversificar el suministro energético de los proveedores a corto plazo y promover la eficiencia energética.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“RePowerEU, así se ha denominado el plan; nos ayudará a ahorrar más energía para acelerar la eliminación gradual de los combustibles fósiles y, lo que es más importante, impulsar las inversiones a una nueva escala”, ha señalado la presidenta.</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Las inversiones incluirán 10.000 millones de euros para infraestructuras gasísticas, 2.000 millones de euros para petróleo y, el resto, para energía limpia. Así lo ha explicado Von der Leyen, quien ha agregado que Bruselas también proponía objetivos más altos legalmente vinculantes de la UE para energía renovable y ahorro de energía para 2030.</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plan contiene una propuesta para aumentar la participación de las centrales de carbón y las nucleares en el mix energético. “Estamos llevando nuestra ambición a otro nivel para asegurarnos de que nos independicemos de los combustibles fósiles rusos lo antes posible”, ha afirmado la presidenta de Ejecutivo comunitario durante la presentación detallada del plan europeo.</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Así el plan busca reducir la participación de las centrales de ciclo combinado de gas en el mix energético sustituyéndolo por energía producida a partir de carbón, que aumentaría su participación a 100 teravatios por hora (tWh), un 5% más que en la actualidad; y por energía nuclear, hasta 44 tWh.</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Se trataría, según han explicado fuentes comunitarias, de una medida de carácter temporal que no se prevé que se extienda en el tiempo más allá de 15 años, aunque se desvía de la línea marcada previamente para reducir la participación de las centrales de carbón del mix energético para alcanzar el objetivo de que la UE sea central en carbono en 2050.</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plan presentado por el Ejecutivo comunitario propone aumentar la contribución de las energías renovables en el mix energético, de tal manera que plantea aumentar su participación del 40% marcado actualmente para 2030 al 45%, lo que se traduce en 1.236 GW de energías limpias para 2030 frente a los 1.067 planteados inicialmente en el paquete Fit for 55.</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largo plazo, el Ejecutivo comunitario pretende que la energía solar y la eólica produzcan el 66% de la electricidad del sistema en 2050, lo que supone duplicar la tasa desde el 33% actual. En este marco, el objetivo es que la eólica represente el 31% de la capacidad de producción de energía de la UE y el grueso, el 35%, provenga de energía solar…</w:t>
      </w:r>
    </w:p>
    <w:p w:rsidR="006B40B0" w:rsidRPr="000B4D93" w:rsidRDefault="006B40B0" w:rsidP="006B40B0">
      <w:pPr>
        <w:pStyle w:val="NormalWeb"/>
        <w:jc w:val="both"/>
        <w:textAlignment w:val="baseline"/>
        <w:rPr>
          <w:b/>
          <w:color w:val="FF0000"/>
        </w:rPr>
      </w:pPr>
      <w:r w:rsidRPr="000B4D93">
        <w:rPr>
          <w:b/>
          <w:color w:val="FF0000"/>
        </w:rPr>
        <w:t>La “ceguera voluntaria” de la UE: entre la inacción y la desmemoria (los burócratas europeos pretenden soplar y sorber a la vez: primero destruyen y luego subsidian)</w:t>
      </w:r>
    </w:p>
    <w:p w:rsidR="006B40B0" w:rsidRDefault="006B40B0" w:rsidP="006B40B0">
      <w:pPr>
        <w:pStyle w:val="NormalWeb"/>
        <w:jc w:val="both"/>
        <w:textAlignment w:val="baseline"/>
        <w:rPr>
          <w:b/>
        </w:rPr>
      </w:pPr>
      <w:r>
        <w:rPr>
          <w:b/>
        </w:rPr>
        <w:t>La invasión de Ucrania (o la guerra de Putin, como quieran llamarla) no se puede utilizar para tapar las incapacidades y sectarismos de la Unión Europea.</w:t>
      </w:r>
    </w:p>
    <w:p w:rsidR="006B40B0" w:rsidRDefault="006B40B0" w:rsidP="006B40B0">
      <w:pPr>
        <w:pStyle w:val="NormalWeb"/>
        <w:jc w:val="both"/>
        <w:textAlignment w:val="baseline"/>
        <w:rPr>
          <w:b/>
        </w:rPr>
      </w:pPr>
      <w:r>
        <w:rPr>
          <w:b/>
        </w:rPr>
        <w:t xml:space="preserve">¿Esta vez es diferente? No, como en el año 2088 (crisis financiera), en el año 2012 (crisis monetaria), en el año 2020 (crisis sanitaria), los problemas energéticos (Rusia) o de productos agropecuarios (Ucrania), que afectan la región en la primera parte del año 2022, solo ponen en evidencia, con un agravante coyuntural, algunos problemas estructurales, que vienen de lejos, y que se originan en la incapacidad de la Unión Europea de llegar a ser algo más que una mera asociación de mercaderes con intereses diversos, a veces competitivos, otras  enfrentados, y en muchos casos inconciliables. </w:t>
      </w:r>
    </w:p>
    <w:p w:rsidR="006B40B0" w:rsidRDefault="006B40B0" w:rsidP="006B40B0">
      <w:pPr>
        <w:pStyle w:val="NormalWeb"/>
        <w:jc w:val="both"/>
        <w:textAlignment w:val="baseline"/>
        <w:rPr>
          <w:b/>
        </w:rPr>
      </w:pPr>
      <w:r>
        <w:rPr>
          <w:b/>
        </w:rPr>
        <w:t xml:space="preserve">La guerra y las sanciones a Rusia, solo agravan la crisis estructural de la Unión Europea,  limitando o cercenado, las posibilidades de construir los Estados Unidos de Europa. Esos fallos de concepción y concordia, hacen que las crisis globales afecten más a Europa, que a EEUU o China, y que luego, sea más lenta y costosa la salida de la misma en Europa, que en EEUU o China. ¿Externalidades negativas, o pecado original?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esperando a Godot (porque Mambrú, se fue a la guerra)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Falta un mensaje claro por parte de las autoridades europeas y una prueba del espíritu de sacrificio por parte de la sociedad europea.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Godot o Mambrú (tanto monta, monta tanto) debería dar el siguiente mensaje a la ciudadanía europea: Estamos en guerra. Pero en vez de convocarlos a las armas (por ahora), les pedimos que hagan sacrificios de consumo (ahora) para vencer al enemigo (que antes, equivocadamente, creíamos que era amigo). Una economía de guerra en la que la principal víctima debe ser la sociedad de consumo. Les pedimos “sudor y lágrimas” (ahora), para no tener que pedirles “sangre” (mañana).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apagar las luces, hay que pasar frío o calor (según la época), hay que dejar de utilizar el automóvil, hay que utilizar los medios públicos de transporte, hay que plantar granos hasta en las macetas del balcón, hay que hacer una huerta en cada jardín… hay que postergar (todo lo que sea necesario) las metas medioambientales hasta que se resuelvan los problemas de soberanía energética y alimentaria, se restablezcan los flujos de insumos y mercancías normales y se pueda contener la inflación.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Hay que hacer sacrificios (economía de guerra) en todos los niveles gubernamentales y de la sociedad, como no se habían visto (o conocido) desde finales de la Segunda Guerra Mundial. El gobierno debe dar el ejemplo (austeridad) y la sociedad probar su temple (sacrificio).Hay que reducir, postergar o modificar consumos (públicos y privados).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Tal vez no le venga mal a la desmemoriada, consumista, y colesterólica, ciudadanía europea (empezando por sus representantes políticos) hacer un poco de dieta. Una reflexión sobre lo visto y actuado en el último medio siglo. Una cura de humildad. Un firme espíritu de enmienda. Un intento desesperado de luchar contra la estupidez…</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Aunque Friedrich Nietzsche nos dijo que: “Contra la estupidez, hasta los mismos dioses luchan en vano”, cuando está todo (o casi todo) perdido, vale la pena intentarlo.</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b/>
          <w:color w:val="FF0000"/>
          <w:sz w:val="24"/>
          <w:szCs w:val="24"/>
          <w:lang w:eastAsia="es-ES"/>
        </w:rPr>
        <w:t>La Gran Renuncia (a ser una potencia política, económica y… militar) Si no te temen, no te respetan</w:t>
      </w:r>
    </w:p>
    <w:p w:rsidR="006B40B0" w:rsidRDefault="006B40B0" w:rsidP="006B40B0">
      <w:pPr>
        <w:pStyle w:val="NormalWeb"/>
        <w:jc w:val="both"/>
      </w:pPr>
      <w:r>
        <w:t>Si miramos la “evolución” de la productividad (única forma genuina de mejorar la competitividad, en un mundo globalizado, según la opinión de los “grandes bonetes”) no se puede decir que las “acciones” realizadas por los dirigentes de la Unión Europea hayan servido para que las empresas o los trabajadores aumentaran su eficiencia y renta.</w:t>
      </w:r>
    </w:p>
    <w:p w:rsidR="006B40B0" w:rsidRDefault="006B40B0" w:rsidP="006B40B0">
      <w:pPr>
        <w:pStyle w:val="NormalWeb"/>
        <w:jc w:val="both"/>
      </w:pPr>
      <w:r>
        <w:t xml:space="preserve">Desde el año 2008 en adelante, el largo proceso de devaluación interna, los recortes del estado de bienestar, las precariedad laboral y el empobrecimiento de la clase trabajadora, la larga y penosa represión financiera al ahorrista, la ingente cantidad de recursos públicos que se lanzaron al mercado (aumentando el déficit y la deuda pública), el relajamiento monetario del Banco Central Europeo (incremento exponencial de la masa monetaria), no han logrado mejorar la competitividad de la Unión Europea. </w:t>
      </w:r>
    </w:p>
    <w:p w:rsidR="006B40B0" w:rsidRDefault="006B40B0" w:rsidP="006B40B0">
      <w:pPr>
        <w:pStyle w:val="NormalWeb"/>
        <w:jc w:val="both"/>
      </w:pPr>
      <w:r>
        <w:t xml:space="preserve">Aquello que los analistas llaman la “Gran Renuncia” o la “Gran Dimisión”, que es el goteo masivo de trabajadores estadounidenses que han dicho adiós a sus trabajos, voluntariamente, desde que se inició la recuperación postpandémica, en el caso europeo, podría decirse que la “Gran Renuncia” ha sido la presentada por sus autoridades (Consejo Europeo, Parlamento Europeo, y Comisión Europea -más toda su corte de burócratas-) a ser una potencia política, </w:t>
      </w:r>
      <w:r>
        <w:lastRenderedPageBreak/>
        <w:t xml:space="preserve">económica y… militar. De ahí en adelante, todo ha ido “cuesta abajo”, ante la mirada atónita de los ciudadanos europeos (entre “la vergüenza de haber sido y el dolor de ya no ser”). </w:t>
      </w:r>
    </w:p>
    <w:p w:rsidR="006B40B0" w:rsidRDefault="006B40B0" w:rsidP="006B40B0">
      <w:pPr>
        <w:pStyle w:val="NormalWeb"/>
        <w:jc w:val="both"/>
      </w:pPr>
      <w:r>
        <w:t xml:space="preserve">¿Caminando hacia atrás en el futuro (un regreso a la Edad Media), se puede ser más competitivo? ¿no habrá que revisar con quién se comercia, y bajo qué condiciones?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Falta de claridad a la hora de establecer socios y competidores internacionales. Las amistades peligrosas (¿ingenuidad, debilidad, connivencia, o corrupción?)</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Fue Lord Palmerston</w:t>
      </w:r>
      <w:r w:rsidR="001F1C60">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(político británico que ocupó el cargo de primer ministro del Reino Unido a mediados del siglo XIX durante dos ocasiones -1855-58 y 1859-65-) quién por primera vez acuñó la frase “Las naciones no tienen amigos ni enemigos permanentes, solo intereses permanentes”.</w:t>
      </w:r>
      <w:r w:rsidR="001F1C60">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Dominó los asuntos exteriores cuando el Reino Unido estaba en la cumbre de su poder imperial. Más tarde, el General Charles de Gaulle dijo algo parecido.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ello, muchos desconsideran a la diplomacia, por no estar  encaminada al bien común y al respeto de los altos principios de la humanidad. Y es posible (casi seguro) que por exceso o defecto la Unión Europea haya levantado la bandera de los altos principios abandonando el pragmatismo de los altos negocios.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esa neblina conceptual (miopía, connivencia, miedo, complejo, pasividad, comodidad, cobardía, descuido, desdeño, decidía…) han cedido la dirección de sus intereses (políticos, económicos, estratégicos, defensivos…) a terceros países fuera del ámbito de la UE.</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Estados Unidos un país amigo, un socio, un enemigo potencial, o un competidor que se solo se mueve en función de sus intereses?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China un país amigo, un socio, un enemigo potencial, o un competidor que se solo se mueve en función de sus intereses?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Japón un país amigo, un socio, un enemigo potencial, o un competidor que se solo se mueve en función de sus intereses?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Rusia un país amigo, un socio, un enemigo potencial, o un competidor que se solo se mueve en función de sus intereses?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el Reino Unido un país amigo, un socio, un enemigo potencial, o un competidor que se solo se mueve en función de sus intereses?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así podríamos seguir enumerando regiones o países (avanzados, emergentes, en vías de desarrollo, o subdesarrollados) para los cuales la Unión Europea debería establecer su carácter de socios o competidores internacionales, así como detectar las amistades peligrosas.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Uno de los “intereses permanentes” que la Unión Europea debería establecer para con ella misma sería el del nivel de competencia que estaría dispuesta a aceptar para abrir su mercado.</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sistema de sanidad pública?</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sistema de pensiones público?</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costoso estado de bienestar?</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las mismas exigencias ambientales?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¿Se puede competir con EEUU, cuando ellos no tienen una presión fiscal similar?</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haciendo que los repartidores tengan que orinar en una botella, que llevan en el vehículo, para no retrasar el pedido (Amazon)?</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 costoso estado de bienestar?</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ambientales?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sanitarias?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una presión fiscal similar?</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haciendo que los trabajadores tengan jornadas laborales de 16 horas, una semana de vacaciones al año, y deban pagar para ir al baño?</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Estas mismas preguntas, o similares, deberían hacerse, y contestarse, los “burócratas” de Bruselas, antes de abrir sus fronteras a los capitales y mercancías de terceros países.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libre comercio no puede adoptarse sin reciprocidad, sin igualdad de condiciones, sin normativas equivalentes, o sin los aranceles compensatorios correspondientes.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libre comercio no puede practicarse con las “cartas marcadas” (juego de tahúres). El mercado europeo (500 millones de consumidores, con uno de los consumos medio per cápita más altos del mundo), en forma “gratuita”, no recíproca, indiscriminada, irrestricta, asimétrica, descompensada, gravosa, desregulada, arbitraria, ruinosa, desleal, insostenible…</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mercado europeo tiene mucho valor y no se puede entregar a cambio de nada. En el comercio (como ha enseñado Lord Palmerston) solo imperan los intereses. A ver si se enteran los “burócratas” de Bruselas y se dejan de “cantarle a los pájaros”, de ser tan “friendlies”, de ser tan “bizcochables”, de ser tan blanditos, de ser tan conniventes,</w:t>
      </w:r>
      <w:r w:rsidR="001F1C60">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o de ser tan corruptos.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 “economía de casino” que la Unión Europea ha aceptado participar (muy a mi pesar, aunque millonario en derrotas), donde se sientan a la mesa de Black Jack los mayores tahúres del mundo mundial, no puede andarse con chiquitas, no se puede estar medio embarazada.</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 que ir a “tumba abierta”, asumiendo todos los riesgos, sin medir consecuencias, donde  el único impedimento es la muerte.</w:t>
      </w:r>
      <w:r w:rsidR="001F1C60">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A ver si se enteran los “burócratas” de Bruse</w:t>
      </w:r>
      <w:r w:rsidR="001F1C60">
        <w:rPr>
          <w:rFonts w:ascii="Times New Roman" w:eastAsia="Times New Roman" w:hAnsi="Times New Roman" w:cs="Times New Roman"/>
          <w:sz w:val="24"/>
          <w:szCs w:val="24"/>
          <w:lang w:eastAsia="es-ES"/>
        </w:rPr>
        <w:t>las…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estos “global players” (norteamericanos, chinos, japoneses, rusos, ingleses, emergentes o sumergentes) expertos jugando a las cartas, los dados, etc., y que lo hacen con frecuencia, especialmente para apostar y ganar dinero sirviéndose de su habilidad o recurriendo al engaño y las trampas, “no hay que entrar al trapo”, “no hay que tragarse todos sus faroles”.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Después del Brexit, tal vez convenga más utilizar una frase del General De Gaulle, que una de Lord Palmerston, para que las autoridades europeas reflexionen a la hora de elegir socios.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“Francia no tiene amigos, sólo intereses”. Frase en respuesta a la esposa de Winston Churchill, cuando ésta le espetó: “General, no debe odiar a sus amigos más que a sus enemigos”. La frase se enmarca en otra cita de De Gaulle: “Los hombres pueden tener amigos, los hombres de estado no”.</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Tal vez, si la Unión Europea revisara sus actuales criterios estratégicos, políticos, económicos, sociales, ambientales, y sanitarios, podría desenvolverse en condiciones de mayor autonomía, soberanía, emancipación e independencia.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asignatura pendiente de la Unión Europea estará en convencerse que no puede haber soberanía sin “redaños” (determinación y coraje para hacer algo difícil o desagradable).</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 xml:space="preserve">¿Puede la UE ser más segura sin refuerzo (mayor gasto) militar? ¿Dónde está el enemigo (peligro real) de la UE? ¿Cuál debería ser su hipótesis de guerra? Aliados, socios, amigos, competidores, adversarios, rivales, enemigos… </w:t>
      </w:r>
    </w:p>
    <w:p w:rsidR="006B40B0" w:rsidRDefault="006B40B0" w:rsidP="006B40B0">
      <w:pPr>
        <w:shd w:val="clear" w:color="auto" w:fill="FFFFFF"/>
        <w:spacing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mensaje que ha dejado la cumbre de la OTAN celebrada a finales de junio (2022) en Madrid, apunta a un reforzamiento de la unidad y la capacidad defensiva de la Alianza Atlántica, pero también al regreso a un equilibrio geostratégico de oposición entre bloques de naciones. Como era previsible, dado el conflicto bélico desatado en Centroeuropa, el nuevo concepto estratégico aprobado en la cumbre sitúa a Rusia como la amenaza actual más seria para la seguridad de la organización, refuerza la presencia militar de EEUU en Europa y menciona por primera vez a China y el desafío sistémico que esta representa.</w:t>
      </w:r>
    </w:p>
    <w:p w:rsidR="006B40B0" w:rsidRDefault="006B40B0" w:rsidP="006B40B0">
      <w:pPr>
        <w:pStyle w:val="NormalWeb"/>
        <w:jc w:val="both"/>
        <w:rPr>
          <w:shd w:val="clear" w:color="auto" w:fill="FFFFFF"/>
        </w:rPr>
      </w:pPr>
      <w:r>
        <w:rPr>
          <w:shd w:val="clear" w:color="auto" w:fill="FFFFFF"/>
        </w:rPr>
        <w:t>Aunque la primera lectura de esta cumbre es indudablemente política, geoestratégica y militar, la hoja de ruta adoptada por la OTAN tiene unas consecuencias inequívoca e inevitablemente económicas. El estallido de la guerra de Ucrania ha sido el corolario de la destrucción del impulso globalizador que ha reconfigurado la economía mundial en las últimas décadas. Una larga etapa de crecimiento y prosperidad en los flujos comerciales que se interrumpió de forma abrupta con la llegada de la pandemia, la cual obligó a cerrar fronteras, paralizó exportaciones e importaciones y levantó sospechas entre socios comerciales, pero que experimentó sus primeras grietas con acontecimientos como el Brexit o la propia crisis de deuda soberana europea, que en 2012 estuvo a punto de romper el euro.</w:t>
      </w:r>
    </w:p>
    <w:p w:rsidR="006B40B0" w:rsidRDefault="006B40B0" w:rsidP="006B40B0">
      <w:pPr>
        <w:pStyle w:val="NormalWeb"/>
        <w:jc w:val="both"/>
        <w:rPr>
          <w:shd w:val="clear" w:color="auto" w:fill="FFFFFF"/>
        </w:rPr>
      </w:pPr>
      <w:r>
        <w:rPr>
          <w:shd w:val="clear" w:color="auto" w:fill="FFFFFF"/>
        </w:rPr>
        <w:t>La apuesta por un mayor gasto en defensa por parte de Europa no es ni mucho menos una mala noticia para la economía, puesto que gran parte de esa inversión revertirá en la sociedad civil, en la industria y en la I+D de sus países. Lo que sí puede ser una amenaza no solo para Europa, sino para el conjunto de la economía mundial, es el resurgimiento de una polarización geopolítica que inevitablemente limitará las relaciones internacionales, dificultará el comercio, elevará la inflación, ralentizará el crecimiento y puede llevar a las economías mundiales al borde la recesión. En ese marco es en el que Europa deberá diseñar las directrices de una política económica pensada para un mundo que vuelve a tener fronteras.</w:t>
      </w:r>
    </w:p>
    <w:p w:rsidR="006B40B0" w:rsidRDefault="006B40B0" w:rsidP="006B40B0">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El fin del dividendo de la paz</w:t>
      </w:r>
      <w:r w:rsidR="000B4D93">
        <w:rPr>
          <w:rFonts w:ascii="Times New Roman" w:hAnsi="Times New Roman" w:cs="Times New Roman"/>
          <w:b/>
          <w:sz w:val="24"/>
          <w:szCs w:val="24"/>
        </w:rPr>
        <w:t xml:space="preserve"> </w:t>
      </w:r>
      <w:r>
        <w:rPr>
          <w:rFonts w:ascii="Times New Roman" w:hAnsi="Times New Roman" w:cs="Times New Roman"/>
          <w:b/>
          <w:sz w:val="24"/>
          <w:szCs w:val="24"/>
        </w:rPr>
        <w:t>¿Qué significa defender Europa? ¿una OTAN sin gasto militar? ¿una OTAN más europea? ¿necesita la UE un ejército que garantice su autonomía defensiva? ¿puede Europa seguir siendo hostigada por su “falta de coujones” -sic-?) ¿se hará el refuerzo militar para que Europa sea más segura?</w:t>
      </w:r>
    </w:p>
    <w:p w:rsidR="006B40B0" w:rsidRDefault="006B40B0" w:rsidP="006B40B0">
      <w:pPr>
        <w:pStyle w:val="NormalWeb"/>
        <w:jc w:val="both"/>
        <w:rPr>
          <w:shd w:val="clear" w:color="auto" w:fill="FFFFFF"/>
        </w:rPr>
      </w:pPr>
      <w:r>
        <w:rPr>
          <w:shd w:val="clear" w:color="auto" w:fill="FFFFFF"/>
        </w:rPr>
        <w:t>¿</w:t>
      </w:r>
      <w:r>
        <w:rPr>
          <w:rStyle w:val="Textoennegrita"/>
          <w:bdr w:val="none" w:sz="0" w:space="0" w:color="auto" w:frame="1"/>
          <w:shd w:val="clear" w:color="auto" w:fill="FFFFFF"/>
        </w:rPr>
        <w:t>Cómo puede ser que tanta gloria pasada no sea más que un sueño de futuro</w:t>
      </w:r>
      <w:r>
        <w:rPr>
          <w:shd w:val="clear" w:color="auto" w:fill="FFFFFF"/>
        </w:rPr>
        <w:t>? Tal vez, porque la realidad es bien distinta, producto de la infame política de unos dirigentes europeos cuyas capacidades están por debajo de las necesidades. Que no aciertan ni cuando rectifican.</w:t>
      </w:r>
    </w:p>
    <w:p w:rsidR="006B40B0" w:rsidRDefault="006B40B0" w:rsidP="006B40B0">
      <w:pPr>
        <w:pStyle w:val="NormalWeb"/>
        <w:jc w:val="both"/>
        <w:rPr>
          <w:shd w:val="clear" w:color="auto" w:fill="FFFFFF"/>
        </w:rPr>
      </w:pPr>
      <w:r>
        <w:rPr>
          <w:shd w:val="clear" w:color="auto" w:fill="FFFFFF"/>
        </w:rPr>
        <w:t xml:space="preserve">Se “tragaron” la guerra de Afganistán, de Yugoslavia, de Irak, de Líbano, de Siria, o la primavera árabe, sin “pestañear”… Se “tragaron” la crisis financiera del año 2008 (provocada por EEUU), en un estado de “inmovilidad” tancredista, la crisis sanitaria del año 2020 (provocada por China), sin “reclamar” daños y perjuicios… y eso por no hablar de la ceguera </w:t>
      </w:r>
      <w:r>
        <w:rPr>
          <w:shd w:val="clear" w:color="auto" w:fill="FFFFFF"/>
        </w:rPr>
        <w:lastRenderedPageBreak/>
        <w:t xml:space="preserve">voluntaria o complicidad rentada ante la inmigración ilegal, el tráfico personas, drogas, armas, y capitales, o el refugio indisimulado a oligarcas, sátrapas y dictadores de terceros países… Para, al final (de momento) tragarse el chantaje ruso…  más “callados” que unas momias egipcias.   </w:t>
      </w:r>
    </w:p>
    <w:p w:rsidR="006B40B0" w:rsidRDefault="006B40B0" w:rsidP="006B40B0">
      <w:pPr>
        <w:pStyle w:val="NormalWeb"/>
        <w:jc w:val="both"/>
        <w:rPr>
          <w:shd w:val="clear" w:color="auto" w:fill="FFFFFF"/>
        </w:rPr>
      </w:pPr>
      <w:r>
        <w:rPr>
          <w:shd w:val="clear" w:color="auto" w:fill="FFFFFF"/>
        </w:rPr>
        <w:t>De un estado de “muerte cerebral” como el que está sumida la Unión Europea, por manos y pies de unos dirigentes cínicos, venales, serviles, lacayos y genuflexos (que posan ante las cámaras como unos personajes soberbios, fatuos y arrogantes, aunque sean unos paletos insuperables en su levedad, y su capacidad para causar vergüenza ajena), solo se puede salir (volver a la vida), si la ciudadanía se revela y sale a la calle para exigir un cambio de paradigma… El sueño de una Europa mejor dependerá del resultado de esa lucha moral (dando sentido al reto fundacional de la Unión).</w:t>
      </w:r>
    </w:p>
    <w:p w:rsidR="006B40B0" w:rsidRDefault="006B40B0" w:rsidP="006B40B0">
      <w:pPr>
        <w:pStyle w:val="NormalWeb"/>
        <w:jc w:val="both"/>
        <w:rPr>
          <w:shd w:val="clear" w:color="auto" w:fill="FFFFFF"/>
        </w:rPr>
      </w:pPr>
      <w:r>
        <w:rPr>
          <w:shd w:val="clear" w:color="auto" w:fill="FFFFFF"/>
        </w:rPr>
        <w:t xml:space="preserve">¿Está dispuesta, esta Europa en decadencia, a apostar fuerte por la victoria? No lo parece. </w:t>
      </w:r>
    </w:p>
    <w:p w:rsidR="006B40B0" w:rsidRDefault="006B40B0" w:rsidP="006B40B0">
      <w:pPr>
        <w:pStyle w:val="NormalWeb"/>
        <w:jc w:val="both"/>
        <w:rPr>
          <w:shd w:val="clear" w:color="auto" w:fill="FFFFFF"/>
        </w:rPr>
      </w:pPr>
      <w:r>
        <w:rPr>
          <w:shd w:val="clear" w:color="auto" w:fill="FFFFFF"/>
        </w:rPr>
        <w:t>Ha llegado el momento de la verdad, la hora de afrontar los auténticos desafíos. Después de la “feria de las vanidades” llegan las “facturas” y hay que abonarlas (rascarse el bolsillo).</w:t>
      </w:r>
    </w:p>
    <w:p w:rsidR="006B40B0" w:rsidRDefault="006B40B0" w:rsidP="006B40B0">
      <w:pPr>
        <w:pStyle w:val="NormalWeb"/>
        <w:jc w:val="both"/>
        <w:rPr>
          <w:shd w:val="clear" w:color="auto" w:fill="FFFFFF"/>
        </w:rPr>
      </w:pPr>
      <w:r>
        <w:rPr>
          <w:shd w:val="clear" w:color="auto" w:fill="FFFFFF"/>
        </w:rPr>
        <w:t>Si queremos seguridad, tendremos que pagárnosla. Esta seguridad no solo debe alcanzar los asuntos militares (defensa), sino que debe extenderse a las materias primas, los alimentos, la energía, los insumos, y la tecnología… Todo ello pasa a ser estratégico: todo ello está vinculado a razones de seguridad.  La seguridad militar, alimentaria, energética, de materias primas, insumos y tecnológica, hacen al desarrollo autónomo, independiente y soberano.</w:t>
      </w:r>
    </w:p>
    <w:p w:rsidR="006B40B0" w:rsidRDefault="006B40B0" w:rsidP="006B40B0">
      <w:pPr>
        <w:pStyle w:val="NormalWeb"/>
        <w:jc w:val="both"/>
        <w:rPr>
          <w:shd w:val="clear" w:color="auto" w:fill="FFFFFF"/>
        </w:rPr>
      </w:pPr>
      <w:r>
        <w:rPr>
          <w:shd w:val="clear" w:color="auto" w:fill="FFFFFF"/>
        </w:rPr>
        <w:t>No solo es una cuestión de “cojones”, sino también de “inteligencia”. Si no te temen no te respetan… y hoy por hoy, a la Unión Europea no le temen ni la respetan.</w:t>
      </w:r>
    </w:p>
    <w:p w:rsidR="006B40B0" w:rsidRDefault="006B40B0" w:rsidP="006B40B0">
      <w:pPr>
        <w:pStyle w:val="NormalWeb"/>
        <w:jc w:val="both"/>
        <w:rPr>
          <w:shd w:val="clear" w:color="auto" w:fill="FFFFFF"/>
        </w:rPr>
      </w:pPr>
      <w:r>
        <w:rPr>
          <w:shd w:val="clear" w:color="auto" w:fill="FFFFFF"/>
        </w:rPr>
        <w:t>No es cuestión de ir por el mundo mundial dando golpes, no es cuestión de invadir terceros países, poner o sacar gobiernos extranjeros, intervenir militarmente cuando se tuercen los negocios, sino en defender las fronteras interiores, en no aceptar bloqueos, en no tolerar chantajes, en sentarse en la mesa de negociación de los países poderosos y tratase de tú a tú.</w:t>
      </w:r>
    </w:p>
    <w:p w:rsidR="006B40B0" w:rsidRDefault="006B40B0" w:rsidP="006B40B0">
      <w:pPr>
        <w:pStyle w:val="NormalWeb"/>
        <w:jc w:val="both"/>
        <w:rPr>
          <w:shd w:val="clear" w:color="auto" w:fill="FFFFFF"/>
        </w:rPr>
      </w:pPr>
      <w:r>
        <w:rPr>
          <w:shd w:val="clear" w:color="auto" w:fill="FFFFFF"/>
        </w:rPr>
        <w:t>No ser más, pero tampoco menos, que otros países de similar poderío económico. A lo único que Europa debe sentir miedo es al miedo mismo. Así dijo Franklin D. Roosevelt: “Lo único que tenemos que temer es al miedo mismo”.</w:t>
      </w:r>
    </w:p>
    <w:p w:rsidR="006B40B0" w:rsidRDefault="006B40B0" w:rsidP="006B40B0">
      <w:pPr>
        <w:pStyle w:val="NormalWeb"/>
        <w:jc w:val="both"/>
        <w:rPr>
          <w:shd w:val="clear" w:color="auto" w:fill="FFFFFF"/>
        </w:rPr>
      </w:pPr>
      <w:r>
        <w:rPr>
          <w:shd w:val="clear" w:color="auto" w:fill="FFFFFF"/>
        </w:rPr>
        <w:t xml:space="preserve">¿Se perderá el miedo haciendo “seguidismo” de los Estados Unidos? ¿mendigándole su protección? ¿recibiendo a unas “tropas de ocupación” como si fueran de la Cruz Roja? ¿permitiéndole que Wall Street infecte los mercados europeos? ¿dejando que Silicon Valley trafique con los datos, espíe, controle, manipule, intoxique, y anestesie, a los europeos? </w:t>
      </w:r>
    </w:p>
    <w:p w:rsidR="006B40B0" w:rsidRDefault="006B40B0" w:rsidP="006B40B0">
      <w:pPr>
        <w:pStyle w:val="NormalWeb"/>
        <w:jc w:val="both"/>
        <w:rPr>
          <w:shd w:val="clear" w:color="auto" w:fill="FFFFFF"/>
        </w:rPr>
      </w:pPr>
      <w:r>
        <w:rPr>
          <w:shd w:val="clear" w:color="auto" w:fill="FFFFFF"/>
        </w:rPr>
        <w:t>¿Se perderá el miedo “regalándole” el mercado interior a China? ¿tolerando que le contagie -accidental o premeditadamente- cualquier virus letal? ¿permitiendo que compre las empresas de bandera? ¿cediéndole la Agenda 2030? ¿dejándola que presida el WEF de Davos?</w:t>
      </w:r>
    </w:p>
    <w:p w:rsidR="006B40B0" w:rsidRDefault="006B40B0" w:rsidP="006B40B0">
      <w:pPr>
        <w:pStyle w:val="NormalWeb"/>
        <w:jc w:val="both"/>
        <w:rPr>
          <w:shd w:val="clear" w:color="auto" w:fill="FFFFFF"/>
        </w:rPr>
      </w:pPr>
      <w:r>
        <w:rPr>
          <w:shd w:val="clear" w:color="auto" w:fill="FFFFFF"/>
        </w:rPr>
        <w:t>¿Puede progresar la Unión Europea “caminando de rodillas”?</w:t>
      </w:r>
    </w:p>
    <w:p w:rsidR="006B40B0" w:rsidRDefault="006B40B0" w:rsidP="006B40B0">
      <w:pPr>
        <w:pStyle w:val="NormalWeb"/>
        <w:jc w:val="both"/>
        <w:rPr>
          <w:shd w:val="clear" w:color="auto" w:fill="FFFFFF"/>
        </w:rPr>
      </w:pPr>
      <w:r>
        <w:rPr>
          <w:shd w:val="clear" w:color="auto" w:fill="FFFFFF"/>
        </w:rPr>
        <w:t xml:space="preserve">Ya se ha “experimentado” (¿disfrutado?) con el “dividendo de la paz”, ya se ha visto el precio de “dormir con el enemigo”, ya se ha pagado suficiente por esas “noches de vino y rosas”… después de la “resaca” (crisis del 2008 y 2020) hay que hacer la autocrítica, pedir </w:t>
      </w:r>
      <w:r>
        <w:rPr>
          <w:shd w:val="clear" w:color="auto" w:fill="FFFFFF"/>
        </w:rPr>
        <w:lastRenderedPageBreak/>
        <w:t>perdón, tener espíritu de enmienda y… pagar las costas y coste de ser autónomo, soberano, e independiente. Ya está bien de ser el felpudo o alfombrilla de baño de los amos del universo.</w:t>
      </w:r>
    </w:p>
    <w:p w:rsidR="006B40B0" w:rsidRDefault="006B40B0" w:rsidP="006B40B0">
      <w:pPr>
        <w:pStyle w:val="NormalWeb"/>
        <w:jc w:val="both"/>
        <w:rPr>
          <w:shd w:val="clear" w:color="auto" w:fill="FFFFFF"/>
        </w:rPr>
      </w:pPr>
      <w:r>
        <w:rPr>
          <w:shd w:val="clear" w:color="auto" w:fill="FFFFFF"/>
        </w:rPr>
        <w:t>“Cuando haces lo que más temes, entonces puedes hacer cualquier cosa” (Stephen Richards).</w:t>
      </w:r>
    </w:p>
    <w:p w:rsidR="006B40B0" w:rsidRDefault="006B40B0" w:rsidP="006B40B0">
      <w:pPr>
        <w:pStyle w:val="NormalWeb"/>
        <w:jc w:val="both"/>
        <w:rPr>
          <w:b/>
        </w:rPr>
      </w:pPr>
      <w:r>
        <w:rPr>
          <w:b/>
        </w:rPr>
        <w:t>¿Cómo hemos llegado hasta aquí? (algunas reflexiones molestas)</w:t>
      </w:r>
    </w:p>
    <w:p w:rsidR="006B40B0" w:rsidRDefault="006B40B0" w:rsidP="006B40B0">
      <w:pPr>
        <w:pStyle w:val="NormalWeb"/>
        <w:jc w:val="both"/>
        <w:rPr>
          <w:b/>
        </w:rPr>
      </w:pPr>
      <w:r>
        <w:rPr>
          <w:b/>
        </w:rPr>
        <w:t>Primera respuesta: repitiendo los errores del pasado (chapoteando en la oscuridad)</w:t>
      </w:r>
    </w:p>
    <w:p w:rsidR="006B40B0" w:rsidRDefault="006B40B0" w:rsidP="006B40B0">
      <w:pPr>
        <w:pStyle w:val="NormalWeb"/>
        <w:jc w:val="both"/>
        <w:rPr>
          <w:b/>
        </w:rPr>
      </w:pPr>
      <w:r>
        <w:rPr>
          <w:b/>
        </w:rPr>
        <w:t>Segunda respuesta: aumentando el estatismo y la intervención de la economía</w:t>
      </w:r>
    </w:p>
    <w:p w:rsidR="006B40B0" w:rsidRDefault="006B40B0" w:rsidP="006B40B0">
      <w:pPr>
        <w:pStyle w:val="NormalWeb"/>
        <w:jc w:val="both"/>
        <w:rPr>
          <w:b/>
        </w:rPr>
      </w:pPr>
      <w:r>
        <w:rPr>
          <w:b/>
        </w:rPr>
        <w:t>Tercera respuesta: expoliando al contribuyente (déficit, deuda, represión financiera)</w:t>
      </w:r>
    </w:p>
    <w:p w:rsidR="006B40B0" w:rsidRDefault="006B40B0" w:rsidP="006B40B0">
      <w:pPr>
        <w:pStyle w:val="NormalWeb"/>
        <w:jc w:val="both"/>
        <w:rPr>
          <w:b/>
        </w:rPr>
      </w:pPr>
      <w:r>
        <w:rPr>
          <w:b/>
        </w:rPr>
        <w:t>Cuarta respuesta: aplicando una política medioambiental extrema, no proporcional</w:t>
      </w:r>
    </w:p>
    <w:p w:rsidR="006B40B0" w:rsidRDefault="006B40B0" w:rsidP="006B40B0">
      <w:pPr>
        <w:pStyle w:val="NormalWeb"/>
        <w:jc w:val="both"/>
        <w:rPr>
          <w:b/>
        </w:rPr>
      </w:pPr>
      <w:r>
        <w:rPr>
          <w:b/>
        </w:rPr>
        <w:t>Quinta respuesta: sometiéndose a la ideología de género del movimiento LGTBIQ+</w:t>
      </w:r>
    </w:p>
    <w:p w:rsidR="006B40B0" w:rsidRDefault="006B40B0" w:rsidP="006B40B0">
      <w:pPr>
        <w:pStyle w:val="NormalWeb"/>
        <w:jc w:val="both"/>
        <w:rPr>
          <w:b/>
        </w:rPr>
      </w:pPr>
      <w:r>
        <w:rPr>
          <w:b/>
        </w:rPr>
        <w:t>Sexta respuesta: claudicando ante los intereses de los EEUU o China (globalización)</w:t>
      </w:r>
    </w:p>
    <w:p w:rsidR="006B40B0" w:rsidRDefault="006B40B0" w:rsidP="006B40B0">
      <w:pPr>
        <w:pStyle w:val="NormalWeb"/>
        <w:jc w:val="both"/>
        <w:rPr>
          <w:b/>
        </w:rPr>
      </w:pPr>
      <w:r>
        <w:rPr>
          <w:b/>
        </w:rPr>
        <w:t>Séptima respuesta: cediendo el aprovisionamiento de bienes estratégicos a dictadores</w:t>
      </w:r>
    </w:p>
    <w:p w:rsidR="006B40B0" w:rsidRDefault="006B40B0" w:rsidP="006B40B0">
      <w:pPr>
        <w:pStyle w:val="NormalWeb"/>
        <w:jc w:val="both"/>
        <w:rPr>
          <w:b/>
        </w:rPr>
      </w:pPr>
      <w:r>
        <w:rPr>
          <w:b/>
        </w:rPr>
        <w:t>Octava respuesta: desconfiando de la capacidad del ciudadano para elegir su destino</w:t>
      </w:r>
    </w:p>
    <w:p w:rsidR="006B40B0" w:rsidRDefault="006B40B0" w:rsidP="006B40B0">
      <w:pPr>
        <w:pStyle w:val="NormalWeb"/>
        <w:jc w:val="both"/>
        <w:rPr>
          <w:b/>
        </w:rPr>
      </w:pPr>
      <w:r>
        <w:rPr>
          <w:b/>
        </w:rPr>
        <w:t>Novena respuesta: creando una burocracia excesiva, intrusiva, y poco realista</w:t>
      </w:r>
    </w:p>
    <w:p w:rsidR="006B40B0" w:rsidRDefault="006B40B0" w:rsidP="006B40B0">
      <w:pPr>
        <w:pStyle w:val="NormalWeb"/>
        <w:jc w:val="both"/>
        <w:rPr>
          <w:b/>
        </w:rPr>
      </w:pPr>
      <w:r>
        <w:rPr>
          <w:b/>
        </w:rPr>
        <w:t xml:space="preserve">Décima respuesta: mintiendo, manipulando, controlando, y estafando, a los europeos </w:t>
      </w:r>
    </w:p>
    <w:p w:rsidR="006B40B0" w:rsidRDefault="006B40B0" w:rsidP="006B40B0">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El coste geopolítico de postergar a mañana las decisiones de hoy</w:t>
      </w:r>
    </w:p>
    <w:p w:rsidR="006B40B0" w:rsidRDefault="006B40B0" w:rsidP="006B40B0">
      <w:pPr>
        <w:pStyle w:val="NormalWeb"/>
        <w:jc w:val="both"/>
        <w:rPr>
          <w:b/>
        </w:rPr>
      </w:pPr>
      <w:r>
        <w:rPr>
          <w:b/>
        </w:rPr>
        <w:t>Algún burócrata de la Comisión Europea o el Banco Central Europeo, se anima a explicar a los contribuyentes que, si la oferta monetaria permanece constante, no existe dinero adicional para que los individuos y las empresas puedan adquirir el mismo volumen de bienes y servicios que compraban antes del shock.</w:t>
      </w:r>
    </w:p>
    <w:p w:rsidR="006B40B0" w:rsidRDefault="006B40B0" w:rsidP="006B40B0">
      <w:pPr>
        <w:pStyle w:val="NormalWeb"/>
        <w:jc w:val="both"/>
        <w:rPr>
          <w:b/>
        </w:rPr>
      </w:pPr>
      <w:r>
        <w:rPr>
          <w:b/>
        </w:rPr>
        <w:t>Algún burócrata de la Comisión Europea o el Banco Central Europeo  se anima a decir a los contribuyentes que, el problema principal es la inflación, que afecta a todos, no una recesión que alivia la inflación y afecta principalmente a una parte.</w:t>
      </w:r>
    </w:p>
    <w:p w:rsidR="006B40B0" w:rsidRDefault="006B40B0" w:rsidP="006B40B0">
      <w:pPr>
        <w:pStyle w:val="NormalWeb"/>
        <w:jc w:val="both"/>
        <w:rPr>
          <w:b/>
        </w:rPr>
      </w:pPr>
      <w:r>
        <w:rPr>
          <w:b/>
        </w:rPr>
        <w:t>Europa está en una situación ciertamente complicada, ya que el covid y la guerra de Ucrania han añadido a la corrección monetaria y fiscal una masa de ahorro récord en su historia, es decir, una demanda adicional a la prevista por el sistema y, por tanto, un empujón de consumo potenciado por la “liberación” fin de covid, un efecto psicológico de “revancha”.</w:t>
      </w:r>
    </w:p>
    <w:p w:rsidR="006B40B0" w:rsidRDefault="006B40B0" w:rsidP="006B40B0">
      <w:pPr>
        <w:pStyle w:val="NormalWeb"/>
        <w:jc w:val="both"/>
      </w:pPr>
      <w:r>
        <w:t xml:space="preserve">“En un mundo ideal, querrías estimular la economía, pero al mismo tiempo reducir la inflación”, ha dicho Klaas Knot, gobernador del Banco de Países Bajos, en una entrevista en la televisión holandesa. “Desafortunadamente, eso no lo podemos hacer, tenemos que tomar una decisión y en este caso, nuestro mandato es muy claro: tenemos que elegir reducir la inflación”… </w:t>
      </w:r>
      <w:r>
        <w:rPr>
          <w:u w:val="single"/>
        </w:rPr>
        <w:t>El gran halcón del BCE pide sacrificar el crecimiento</w:t>
      </w:r>
      <w:r>
        <w:t xml:space="preserve"> (El Economista - </w:t>
      </w:r>
      <w:r>
        <w:rPr>
          <w:b/>
        </w:rPr>
        <w:t>8/7/22</w:t>
      </w:r>
      <w:r>
        <w:t>)</w:t>
      </w:r>
    </w:p>
    <w:p w:rsidR="006B40B0" w:rsidRDefault="006B40B0" w:rsidP="006B40B0">
      <w:pPr>
        <w:pStyle w:val="NormalWeb"/>
        <w:jc w:val="both"/>
      </w:pPr>
      <w:r>
        <w:lastRenderedPageBreak/>
        <w:t>El banquero holandés fue el primero en abrir la puerta a que el BCE subiera tipos en 50 puntos básicos de una tacada. Ahora, ante las sombrías perspectivas de crecimiento; tiene claro que el banco central tiene que aumentar el precio del dinero, aunque haya frenazo para la economía. “Mientras la economía se desacelera en los próximos meses y trimestres, aumentaremos las tasas de interés”, ha dicho.</w:t>
      </w:r>
    </w:p>
    <w:p w:rsidR="006B40B0" w:rsidRPr="0027299F" w:rsidRDefault="006B40B0" w:rsidP="006B40B0">
      <w:pPr>
        <w:pStyle w:val="NormalWeb"/>
        <w:jc w:val="both"/>
        <w:rPr>
          <w:b/>
          <w:color w:val="FF0000"/>
        </w:rPr>
      </w:pPr>
      <w:r w:rsidRPr="0027299F">
        <w:rPr>
          <w:b/>
          <w:color w:val="FF0000"/>
        </w:rPr>
        <w:t>Unión Europea (cuesta abajo): “la vergüenza de haber sido y el dolor de ya no ser”</w:t>
      </w:r>
    </w:p>
    <w:p w:rsidR="006B40B0" w:rsidRDefault="006B40B0" w:rsidP="006B40B0">
      <w:pPr>
        <w:pStyle w:val="NormalWeb"/>
        <w:jc w:val="both"/>
        <w:rPr>
          <w:b/>
        </w:rPr>
      </w:pPr>
      <w:r>
        <w:rPr>
          <w:b/>
        </w:rPr>
        <w:t xml:space="preserve">Tiempo de silencio (¿puede haber “transparencia” detrás de un vidrio oscuro?) </w:t>
      </w:r>
    </w:p>
    <w:p w:rsidR="006B40B0" w:rsidRDefault="006B40B0" w:rsidP="006B40B0">
      <w:pPr>
        <w:pStyle w:val="NormalWeb"/>
        <w:jc w:val="both"/>
        <w:rPr>
          <w:b/>
        </w:rPr>
      </w:pPr>
      <w:r>
        <w:rPr>
          <w:b/>
        </w:rPr>
        <w:t>Estos ladronazos no buscan el Estado de Bienestar, sino su bienestar a través del Estado. Por eso quieren (necesitan) planificar e intervenir, para manejar los recursos. F</w:t>
      </w:r>
      <w:r w:rsidR="003F2346">
        <w:rPr>
          <w:b/>
        </w:rPr>
        <w:t>omentan el pobrismo (estabulados</w:t>
      </w:r>
      <w:r>
        <w:rPr>
          <w:b/>
        </w:rPr>
        <w:t xml:space="preserve"> y mantenidos) como abrevadero</w:t>
      </w:r>
      <w:r w:rsidR="003F2346">
        <w:rPr>
          <w:b/>
        </w:rPr>
        <w:t xml:space="preserve"> </w:t>
      </w:r>
      <w:r>
        <w:rPr>
          <w:b/>
        </w:rPr>
        <w:t>del clientelismo.</w:t>
      </w:r>
    </w:p>
    <w:p w:rsidR="006B40B0" w:rsidRDefault="006B40B0" w:rsidP="006B40B0">
      <w:pPr>
        <w:pStyle w:val="NormalWeb"/>
        <w:jc w:val="both"/>
        <w:rPr>
          <w:b/>
        </w:rPr>
      </w:pPr>
      <w:r>
        <w:rPr>
          <w:b/>
        </w:rPr>
        <w:t xml:space="preserve">De esta forma, ante el silencio pasmado de una sociedad ahogada por la crisis y a dos pasos de la ruina, van escribiendo el guion, procurando acelerar el tránsito de la  democracia (UE de los ciudadanos), a la dictadura del establishment (Gran Hermano).  </w:t>
      </w:r>
    </w:p>
    <w:p w:rsidR="006B40B0" w:rsidRDefault="006B40B0" w:rsidP="006B40B0">
      <w:pPr>
        <w:pStyle w:val="NormalWeb"/>
        <w:jc w:val="both"/>
        <w:rPr>
          <w:b/>
        </w:rPr>
      </w:pPr>
      <w:r>
        <w:rPr>
          <w:b/>
        </w:rPr>
        <w:t>El asco que provocan, en medio de la crisis que padece la población, puede tener un efecto demoledor sobre la “confianza” en el futuro del proyecto comunitario.</w:t>
      </w:r>
    </w:p>
    <w:p w:rsidR="006B40B0" w:rsidRDefault="006B40B0" w:rsidP="006B40B0">
      <w:pPr>
        <w:pStyle w:val="NormalWeb"/>
        <w:jc w:val="both"/>
        <w:rPr>
          <w:b/>
        </w:rPr>
      </w:pPr>
      <w:r>
        <w:rPr>
          <w:b/>
        </w:rPr>
        <w:t>Espero y deseo que una pronta “rebelión cívica” los ponga en su lugar. Por ahora, y hasta entonces, hay que ir “organizando la resistencia”. Es el propósito de mi denuncia.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b/>
          <w:sz w:val="24"/>
          <w:szCs w:val="24"/>
        </w:rPr>
        <w:t>Tiempo de balance; momento de propuestas</w:t>
      </w:r>
    </w:p>
    <w:p w:rsidR="006B40B0" w:rsidRDefault="006B40B0" w:rsidP="006B40B0">
      <w:pPr>
        <w:spacing w:line="240" w:lineRule="auto"/>
        <w:jc w:val="both"/>
        <w:rPr>
          <w:rFonts w:ascii="Times New Roman" w:hAnsi="Times New Roman" w:cs="Times New Roman"/>
          <w:b/>
          <w:sz w:val="24"/>
          <w:szCs w:val="24"/>
          <w:u w:val="single"/>
        </w:rPr>
      </w:pPr>
      <w:r>
        <w:rPr>
          <w:rFonts w:ascii="Times New Roman" w:hAnsi="Times New Roman" w:cs="Times New Roman"/>
          <w:b/>
          <w:sz w:val="24"/>
          <w:szCs w:val="24"/>
        </w:rPr>
        <w:t xml:space="preserve">¿Estamos mal pero vamos mejor? ¿la historia se repite? ¿volveremos a tropezar con las mismas piedras?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siglo XXI esta cuajado de ilusiones o nos envuelven inquietudes que las dominan?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Atrapados entre “mitos económicos oficiales” tal vez sea conveniente desmitificar antes que ignorar o falsear.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intolerancia de la “razón de mercado” lleva a preguntarnos cómo puede amenazar ese tipo de “fundamentalismo” a la sociedad abierta.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triunfo de los “mercaderes” nos pone en un permanente estado de melancolía, por el orden social perdido.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w:t>
      </w:r>
      <w:r w:rsidR="001F1C60">
        <w:rPr>
          <w:rFonts w:ascii="Times New Roman" w:hAnsi="Times New Roman" w:cs="Times New Roman"/>
          <w:b/>
          <w:sz w:val="24"/>
          <w:szCs w:val="24"/>
        </w:rPr>
        <w:t>líderes</w:t>
      </w:r>
      <w:r>
        <w:rPr>
          <w:rFonts w:ascii="Times New Roman" w:hAnsi="Times New Roman" w:cs="Times New Roman"/>
          <w:b/>
          <w:sz w:val="24"/>
          <w:szCs w:val="24"/>
        </w:rPr>
        <w:t xml:space="preserve"> “light” conseguirán que Europa se “levante y ande” o la “guerra comercial” consolidara la des-Unión Europea?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el presente el único futuro? ¿Podremos volver a esperar la prosperidad general o deberemos resignarnos a la continua decadencia?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“taras económicas” sujetas por las “cadenas de papel” niegan la influencia de las instituciones en la riqueza y el poderío de una nación.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Europa quiere copiar el “sueño americano” y su aparente fracaso?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Limitados a aplicar el “manual” de hipocresía económica el conformismo niega la memoria. La resignación lleva al detritus económico.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Los “cínicos” modelos económicos de “gente teórica” inducen a la “triste situación en Europa”, antesala de la necesaria declaración de independencia económica.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Desear, proponer, pedir que Europa vuelva a confiar en su propia experiencia, vuelva a confiar en su historia, no significa buscar otras formas de totalitarismo o el retorno a la servidumbre.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impersonal y anónimo mercado, no educa, no cura, y no da de comer.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impersonal y anónimo mercado pone al hombre -en soledad y angustia- ante la fuerza del destino -que hoy se le presenta hostil- y la incertidumbre de un futuro que lo condena.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esto lo único que podemos ofrecer a los jóvenes europeos de cara al siglo XXI?</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Para esa carga no hacían falta semejantes alforjas.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Europa del siglo XXI no puede significar para los jóvenes únicamente el mercado, la tarjeta de crédito, el consumismo, la especulación, la corrupción, el tráfico de influencias, la televisión, el futbol, la droga y el alcohol.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podemos ofrecerles una Europa de “avestruces” y “agujeros”.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posible que Europa no quiera “asumirse”?.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claudicar europeo, su resignación a ser “solo” mercado anula las posibilidades de crecer (como Estados Unidos) y neutraliza las posibilidades de competir (como Estados Unidos, China o Japón).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Ni corredores de fondo, ni velocistas... solo avestruces y agujeros.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¿Habrá llegado el momento de pasar de la “subvención” a la “subversión”?.</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¿Qué “carajo” se le ha perdido a la UE para tener que mendigar ante China o EEUU?</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Adentrándose en Terra Incognita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Unión Europea mastica el escarmiento, por las “mentiras mayores” (creer que EEUU era su socio preferente y protector eterno), no debe dar paso a la amnesia (negando las evidencias, e intereses), embriagada por nuevos compañeros de cama (China), dejándose manipular, estableciendo alianzas imposibles, protectorados ilusorios, convenios no recíprocos, fusiones o adquisiciones opacas…, asumiendo que son “mentiras menores”, y que no intentarán aplicar las mismas recetas que el “amigo” americano (tan pronto como puedan, o los dejen).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 Unión Europea debe acomodarse lo mejor posible a las circunstancias. No morir ensartada (por EEUU o China) ni tampoco de frío (en la soledad absoluta). Elegir acomodarse lo mejor posible a las circunstancias. En otras palabras, no padecer una lejanía extrema, pero tampoco sufrir una aproximación absoluta.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Se me ocurren, a bote pronto, dos circunstancias, en las cuales la Unión Europea, puede demostrar que es ya no es un “enano político” y que sigue siendo un “gigante económico”, dejando claro que ya no es de “Venus” (la Diosa del amor), pero que sin necesidad de ser de Marte (el Dios de la guerra), se puede llegar a ser de “Mercurio” (el Dios del comercio).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primera oportunidad se presenta con la OTAN (la autonomía defensiva)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se puede demostrar a los EEUU que Europa no necesita “ni tutelas, ni tu tías”… Que la UE puede asumir (si fuera necesario) su propia defensa, a su costa y costo. Que ya no tolera un ejército de ocupación, que simula ser un ejército de protección. Que ya se abonó suficientemente la deuda de guerra (Alemania), y que el único enemigo de Europa (real y temible) es el terrorismo islámico.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auténtico enemigo de Europa (peligroso, temible, e impredecible) es el fundamentalismo islámico, y a ese, lamentablemente, lo tiene dentro de sus fronteras, y no es fácilmente combatible por medios militares convencionales, o armas de destrucción masiva.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adversario que crece y se reproduce fronteras adentro, que viene camuflado entre la inmigración ilegal, que es rescatado en el mar por las ONG europeas o por la guardia costera, que salta las vallas, que viene en los bajos de los camiones, que se cuela entre las atracciones de feria, que se aprovecha de los servicios sociales, del estado del bienestar, de la caridad, de la compasión, de la piedad, de la misericordia, de la generosidad, de la sociedad receptora.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otros enemigos de Europa (mafias, traficantes de droga, crimen organizado…) tampoco se pueden contener con misiles, aviones de combate, o tanques blindados. En este caso las fuerzas y cuerpos de seguridad, y la inteligencia policial, pueden, y deben, cumplir el papel de prevención, disuasión y represión de la inseguridad ciudadana.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para aquellos que puedan abrigar algún temor sobre enemigos “imaginarios”, quedan las fuerzas armadas de los países miembro, que ya han participado de acciones conjuntas bajo el paraguas de la OTAN, que tienen suficiente formación militar, equipamiento y experiencia internacional, como para asegurar la defensa europea. A lo único que hay que temer es al miedo (el complejo de inferioridad de la Unión Europea).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 segunda oportunidad se presenta con el 5G (la autonomía tecnológica)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Ante este desafío tecnológico, la Unión Europea, puede demostrar su independencia de criterio, no plegándose a los dictados (estratégicos) de los EEUU y negociando “de tú a tú” con China, para aceptar el despliegue del 5G, a cambio de negocios compensatorios en Asia. Un “quid pro quo” de mutua conveniencia, verificable, y transparente, donde no exista intencionalidad oculta (espionaje, manipulación, intoxicación, apropiación indebida).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aquellos que consideren riesgoso permitir la intervención china en temas de alta tecnología en el territorio europeo, les dejo unas preguntas: ¿es más peligroso Huawei que Facebook? ¿puede espiar más China con el 5G que EEUU con Google? Espero respuesta.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Si lograr una mayor autonomía defensiva sería todo un desafío ante los EEUU, una prueba de madurez y seguridad en sí misma, adoptar un criterio tecnológico independiente y autónomo para el desarrollo del 5G, sería un desafío estratégico y comercial de proporciones mayores frente al lobby, manipulación, intoxicación, o chantaje americano.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Estas dos actitudes, representarían un mensaje contundente y entendible, ante cualquier intento de coacción, amenaza, extorsión o timo, por parte de Washington S.A. (y el POTUS de turno). Sería una forma de demostrar (y demostrase) que la Unión Europea no solo “es” un gigante económico, sino que también “puede ser” un gigante político (en cuanto se lo proponga). </w:t>
      </w:r>
    </w:p>
    <w:p w:rsidR="0006728A" w:rsidRDefault="0006728A" w:rsidP="006B40B0">
      <w:pPr>
        <w:spacing w:line="240" w:lineRule="auto"/>
        <w:jc w:val="both"/>
        <w:rPr>
          <w:rFonts w:ascii="Times New Roman" w:hAnsi="Times New Roman" w:cs="Times New Roman"/>
          <w:sz w:val="24"/>
          <w:szCs w:val="24"/>
        </w:rPr>
      </w:pP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Difícil, pero no imposible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 Unión Europea tiene 500 millones de consumidores, y no creo que las empresas estadounidenses o chinas, quieran perder ese (apetitoso) mercado por “tirar demasiado de la cuerda”. Tanto Washington S.A, como el Socialismo de Mercado chino, saben de negocios, entienden de economía, protegen sus empresas, y no querrán quedarse fuera.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 Unión Europea puede (y debe) estar tan cerca de los EEUU, como para no morir en el intento, y tan cerca de China, como para no morir por contagio. Y lo más importante, que ambos sepan, que la UE puede entrar o salir de la relación (tanto con EEUU, como con China), en función de sus (propios) intereses y objetivos.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pretensiones imperiales (imposibles), sin grandes discursos (innecesarios), sin hacer planteos utópicos (inconducentes), sin demagogia (inútil), sin falsas reivindicaciones (inoportunas)… con unidad (imprescindible), con humildad (necesaria), con perseverancia (indispensable), y con transparencia (esencial), hacer lo mejor posible, lo más rápido posible.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Ingenuidad más soberbia. Una combinación peligrosísima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Certezas absolutas no hay, pero si diversos grados de dudas razonables, indicios y evidencias. Mientras las autoridades europeas buscan las respuestas correctas, será conveniente y necesario, que las negociaciones no se realicen por debajo de la mesa, a espaldas de la sociedad europea (bastante desconfianza y euroescepticismo hay ya, por parte de la ciudadanía, para ampliar la brecha ocultando información).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Europa ya entendió (con dolor) que no hay “sus mejores amigos para siempre” (USA), ahora le falta probar, demostrase a sí misma (con inteligencia) que tampoco los “enemigos son eternos” (China). Sin embargo en todo el mundo, ha habido una pérdida generalizada de confianza en las instituciones y en la opinión de los expertos, así como una profunda sensación de marginalización y alienación entre segmentos significativos de la </w:t>
      </w:r>
      <w:r w:rsidR="003F2346">
        <w:rPr>
          <w:rFonts w:ascii="Times New Roman" w:hAnsi="Times New Roman" w:cs="Times New Roman"/>
          <w:sz w:val="24"/>
          <w:szCs w:val="24"/>
        </w:rPr>
        <w:t>sociedad. La</w:t>
      </w:r>
      <w:r>
        <w:rPr>
          <w:rFonts w:ascii="Times New Roman" w:hAnsi="Times New Roman" w:cs="Times New Roman"/>
          <w:sz w:val="24"/>
          <w:szCs w:val="24"/>
        </w:rPr>
        <w:t xml:space="preserve"> polarización política es más intensa, y muchas democracias están atravesando transiciones inciertas.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el bienestar económico y la estabilidad financiera de largo plazo, esta letanía de incertidumbres exige una respuesta política que se extienda más allá de la competencia tradicional entre los bloques económicos. Requiere un compromiso integral de varios años en el que se utilicen herramientas estructurales, fiscales y transfronterizas, multilaterales (cuando sea posible) o bilaterales (cuando sea necesario).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Sin afán de protagonismo (con humildad y perseverancia, pero con firmeza y consistencia) la Unión Europea deberá enfrentar desafíos aún mayores para alcanzar la autonomía económica y la credibilidad política, que son tan cruciales para su efectividad y continuidad.</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Sin dejar de defender una concepción orgánica de la sociedad europea, se puede mantener un enfoque mercantilista de la economía, ambas orientadas por los valores del honor, la seguridad y la fidelidad. Todo ello hecho con un espíritu vivaz y combativo. En definitiva: no se trata de llorar por lo que se ha perdido, sino de valorar lo que se ha conservado, y ver cómo mantenerlo. Se trata de maximizar el valor actual del futuro.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relaciones internacionales son un ámbito anárquico; no existe un gobierno mundial que pueda proporcionar orden. Los Estados deben proporcionar su propia defensa, y cuando la supervivencia está en juego, los fines justifican los medios. Donde no hay forma de elegir una opción significativa, no puede haber ética. Como dicen los filósofos, “si se debería hacer </w:t>
      </w:r>
      <w:r>
        <w:rPr>
          <w:rFonts w:ascii="Times New Roman" w:hAnsi="Times New Roman" w:cs="Times New Roman"/>
          <w:sz w:val="24"/>
          <w:szCs w:val="24"/>
        </w:rPr>
        <w:lastRenderedPageBreak/>
        <w:t>algo, ello implica que se puede hacer ese algo”. Nadie puede culpar a alguien por no hacer lo imposible.</w:t>
      </w:r>
    </w:p>
    <w:p w:rsidR="006B40B0" w:rsidRDefault="006B40B0" w:rsidP="006B40B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Según esta lógica, combinar la ética y la política exterior es un error categórico, por ejemplo: es como preguntar si un cuchillo suena bien, en lugar de preguntar si corta bien, o si una escoba baila mejor en comparación con una que cuesta más. Por lo tanto, al poner en tela de juicio la política exterior de un presidente, simplemente debemos preguntarnos si dicha política exterior funcionó, no si fue moral”... dice Joseph S. Nye, Jr. </w:t>
      </w:r>
      <w:r>
        <w:rPr>
          <w:rFonts w:ascii="Times New Roman" w:hAnsi="Times New Roman" w:cs="Times New Roman"/>
          <w:sz w:val="24"/>
          <w:szCs w:val="24"/>
          <w:lang w:val="en-US"/>
        </w:rPr>
        <w:t>(Harvard University, Presidents and Foreign Policy from FDR to Trump), en Project Syndicate (</w:t>
      </w:r>
      <w:r>
        <w:rPr>
          <w:rFonts w:ascii="Times New Roman" w:hAnsi="Times New Roman" w:cs="Times New Roman"/>
          <w:b/>
          <w:sz w:val="24"/>
          <w:szCs w:val="24"/>
          <w:lang w:val="en-US"/>
        </w:rPr>
        <w:t>8/1/20).</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dirigentes de la Unión Europea deben asumir que las buenas intenciones sin los medios adecuados para hacerlas realidad pueden conducir a resultados éticamente malos, y tener claro (muy claro) en cambio, que serán juzgados simplemente, por los resultados obtenidos.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“Tenemos que ser modernos para defender el pasado y creativos para defender la tradición”. (T. S. Eliot)</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la Unión Europea tiene un futuro (político y económico) imperfecto? La UE sigue haciéndose trampas en el solitario (menos globalización y precios más altos)</w:t>
      </w:r>
    </w:p>
    <w:p w:rsidR="006B40B0" w:rsidRDefault="006B40B0" w:rsidP="006B40B0">
      <w:pPr>
        <w:pStyle w:val="NormalWeb"/>
        <w:spacing w:before="0" w:beforeAutospacing="0" w:after="360" w:afterAutospacing="0"/>
        <w:jc w:val="both"/>
      </w:pPr>
      <w:r w:rsidRPr="00850077">
        <w:t>En un intento de satisfacer tanto al nuevo como al antiguo votante, los partidos políticos europeos reaccionan adoptando un discurso vago, difuso y populista para hacer la carpa lo más amplia posible.</w:t>
      </w:r>
      <w:r>
        <w:t xml:space="preserve"> El populismo se convierte en el nuevo lenguaje político imperante, aunque a veces lo haga detrás del disfraz de la “moderación”. Se trata de una “moderación” a lo </w:t>
      </w:r>
      <w:hyperlink r:id="rId164" w:tgtFrame="_blank" w:history="1">
        <w:r w:rsidRPr="000B4D93">
          <w:rPr>
            <w:rStyle w:val="Hipervnculo"/>
            <w:rFonts w:eastAsiaTheme="majorEastAsia"/>
            <w:color w:val="auto"/>
            <w:u w:val="none"/>
          </w:rPr>
          <w:t>Angela Merkel</w:t>
        </w:r>
      </w:hyperlink>
      <w:r>
        <w:t>, para no hacer nada costoso en el corto plazo, dejarlo todo como está y no enfadar a nadie; en definitiva, nada más profundo que cambios cosméticos.</w:t>
      </w:r>
    </w:p>
    <w:p w:rsidR="006B40B0" w:rsidRDefault="006B40B0" w:rsidP="006B40B0">
      <w:pPr>
        <w:pStyle w:val="NormalWeb"/>
        <w:jc w:val="both"/>
      </w:pPr>
      <w:r>
        <w:t>Quieren hacer tortillas sin romper los huevos; intentan caminar sin pisar en los callos de nadie; pretenden inventar el azúcar salado; tratan de subir y bajar la escalera al mismo tiempo; procuran soplar y sorber a la vez, sueñan con tener solo medio embarazo…</w:t>
      </w:r>
    </w:p>
    <w:p w:rsidR="006B40B0" w:rsidRDefault="006B40B0" w:rsidP="006B40B0">
      <w:pPr>
        <w:pStyle w:val="NormalWeb"/>
        <w:jc w:val="both"/>
      </w:pPr>
      <w:r>
        <w:t xml:space="preserve">Y estas “mentiras maravillosas” solo son la punta del iceberg… Una población afligida por miedo y desencanto por lo que está por venir. Una dirigencia (política y empresarial) que no es creíble ni siquiera cuando -sin querer- dice una verdad. </w:t>
      </w:r>
    </w:p>
    <w:p w:rsidR="006B40B0" w:rsidRDefault="006B40B0" w:rsidP="006B40B0">
      <w:pPr>
        <w:pStyle w:val="NormalWeb"/>
        <w:jc w:val="both"/>
        <w:rPr>
          <w:b/>
        </w:rPr>
      </w:pPr>
      <w:r>
        <w:rPr>
          <w:b/>
        </w:rPr>
        <w:t>¿Quo vadis Europa? Un “capitalismo” sin mercado, o un “socialismo” sin planificación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Brexit, pandemia, guerra, cambio climático, el laberinto de las cadenas de abastecimiento… ¿Europa se para? ¿Cómo va a lidiar con todo esto?¿Otro vendrá que bueno te hará? Cuando se llega a ese punto, levantar el vuelo es muy difícil, y con estos “pastores” (líderes), casi imposible.</w:t>
      </w:r>
    </w:p>
    <w:p w:rsidR="006B40B0" w:rsidRDefault="006B40B0" w:rsidP="006B40B0">
      <w:pPr>
        <w:pStyle w:val="NormalWeb"/>
        <w:jc w:val="both"/>
        <w:textAlignment w:val="baseline"/>
      </w:pPr>
      <w:r>
        <w:t>¿Se avecina un nuevo “orden mundial”? ¿Está la Unión Europea preparada para ello? ¿Cuál es el papel que espera asumir? ¿Hay algún plan de contingencia?</w:t>
      </w:r>
    </w:p>
    <w:p w:rsidR="006B40B0" w:rsidRDefault="006B40B0" w:rsidP="006B40B0">
      <w:pPr>
        <w:pStyle w:val="NormalWeb"/>
        <w:jc w:val="both"/>
        <w:textAlignment w:val="baseline"/>
      </w:pPr>
      <w:r>
        <w:t>En este mundo tan fluctuante,</w:t>
      </w:r>
      <w:r>
        <w:rPr>
          <w:rStyle w:val="Textoennegrita"/>
        </w:rPr>
        <w:t> </w:t>
      </w:r>
      <w:r w:rsidRPr="000B4D93">
        <w:rPr>
          <w:rStyle w:val="Textoennegrita"/>
          <w:b w:val="0"/>
        </w:rPr>
        <w:t>¿quiere un político tentar la suerte, incluso más, con políticas arriesgadas?</w:t>
      </w:r>
      <w:r w:rsidR="000B4D93" w:rsidRPr="000B4D93">
        <w:rPr>
          <w:rStyle w:val="Textoennegrita"/>
          <w:b w:val="0"/>
        </w:rPr>
        <w:t xml:space="preserve"> </w:t>
      </w:r>
      <w:r w:rsidRPr="000B4D93">
        <w:rPr>
          <w:rStyle w:val="Textoennegrita"/>
          <w:b w:val="0"/>
        </w:rPr>
        <w:t>No</w:t>
      </w:r>
      <w:r>
        <w:rPr>
          <w:rStyle w:val="Textoennegrita"/>
        </w:rPr>
        <w:t>.</w:t>
      </w:r>
      <w:r>
        <w:t> Es mucho más rentable seguir la línea populista, pues el futuro se descuenta mucho más que antes.</w:t>
      </w:r>
    </w:p>
    <w:p w:rsidR="006B40B0" w:rsidRDefault="006B40B0" w:rsidP="006B40B0">
      <w:pPr>
        <w:pStyle w:val="NormalWeb"/>
        <w:spacing w:before="0" w:beforeAutospacing="0" w:after="360" w:afterAutospacing="0"/>
        <w:jc w:val="both"/>
      </w:pPr>
      <w:r>
        <w:t xml:space="preserve">A fin de cuentas, que alguno de los partidos políticos europeos pueda no existir en 2030 (recordar Agenda 2030) también significa que el político de turno no debe de preocuparse </w:t>
      </w:r>
      <w:r>
        <w:lastRenderedPageBreak/>
        <w:t>que su partido político pague electoralmente en el largo plazo las consecuencias de las frivolidades actuales que reportan votos hoy.</w:t>
      </w:r>
    </w:p>
    <w:p w:rsidR="006B40B0" w:rsidRDefault="006B40B0" w:rsidP="006B40B0">
      <w:pPr>
        <w:pStyle w:val="NormalWeb"/>
        <w:spacing w:before="0" w:beforeAutospacing="0" w:after="0" w:afterAutospacing="0"/>
        <w:jc w:val="both"/>
      </w:pPr>
      <w:r w:rsidRPr="000B4D93">
        <w:rPr>
          <w:rStyle w:val="Textoennegrita"/>
          <w:b w:val="0"/>
        </w:rPr>
        <w:t>La crisis de representación en los partidos políticos europeos tradicionales</w:t>
      </w:r>
      <w:r w:rsidR="000B4D93">
        <w:rPr>
          <w:rStyle w:val="Textoennegrita"/>
        </w:rPr>
        <w:t xml:space="preserve"> </w:t>
      </w:r>
      <w:r>
        <w:t>fomenta la adopción de políticas y discursos populistas. Y la falta de propuestas de largo plazo, permite sospechar que el discurso populista seguirá imperante en el medio plazo.</w:t>
      </w:r>
    </w:p>
    <w:p w:rsidR="006B40B0" w:rsidRDefault="006B40B0" w:rsidP="006B40B0">
      <w:pPr>
        <w:pStyle w:val="NormalWeb"/>
        <w:jc w:val="both"/>
        <w:textAlignment w:val="baseline"/>
        <w:rPr>
          <w:b/>
          <w:color w:val="FF0000"/>
        </w:rPr>
      </w:pPr>
      <w:r>
        <w:rPr>
          <w:b/>
          <w:color w:val="000000"/>
        </w:rPr>
        <w:t>El desastroso diseño de la globalización</w:t>
      </w:r>
    </w:p>
    <w:p w:rsidR="006B40B0" w:rsidRDefault="006B40B0" w:rsidP="006B40B0">
      <w:pPr>
        <w:pStyle w:val="bbc-bm53ic"/>
        <w:shd w:val="clear" w:color="auto" w:fill="FDFDFD"/>
        <w:jc w:val="both"/>
        <w:rPr>
          <w:shd w:val="clear" w:color="auto" w:fill="FFFFFF"/>
        </w:rPr>
      </w:pPr>
      <w:r>
        <w:rPr>
          <w:shd w:val="clear" w:color="auto" w:fill="FFFFFF"/>
        </w:rPr>
        <w:t>El fallo estratégico de los “profetas” del Nuevo Orden Mundial: con un centro financiero: Wall Street, con una inteligencia artificial: Silicon Valley, y con un ejército de último recurso: China. Una forma salvaje de economía de mercado, sin otra ley que la de la fuerza.</w:t>
      </w:r>
    </w:p>
    <w:p w:rsidR="006B40B0" w:rsidRDefault="006B40B0" w:rsidP="006B40B0">
      <w:pPr>
        <w:pStyle w:val="bbc-bm53ic"/>
        <w:shd w:val="clear" w:color="auto" w:fill="FDFDFD"/>
        <w:jc w:val="both"/>
        <w:rPr>
          <w:shd w:val="clear" w:color="auto" w:fill="FFFFFF"/>
        </w:rPr>
      </w:pPr>
      <w:r>
        <w:rPr>
          <w:shd w:val="clear" w:color="auto" w:fill="FFFFFF"/>
        </w:rPr>
        <w:t>El error histórico de Occidente (en manos y pies del “capitalismo davosiano”): no tomar a los dictadores literalmente y en serio (más allá de los “memes”, y de los “memos”).</w:t>
      </w:r>
    </w:p>
    <w:p w:rsidR="006B40B0" w:rsidRDefault="006B40B0" w:rsidP="006B40B0">
      <w:pPr>
        <w:pStyle w:val="bbc-bm53ic"/>
        <w:shd w:val="clear" w:color="auto" w:fill="FDFDFD"/>
        <w:jc w:val="both"/>
        <w:rPr>
          <w:shd w:val="clear" w:color="auto" w:fill="FFFFFF"/>
        </w:rPr>
      </w:pPr>
      <w:r>
        <w:rPr>
          <w:shd w:val="clear" w:color="auto" w:fill="FFFFFF"/>
        </w:rPr>
        <w:t>La Agenda 2030 representa el acta de capitulación de Occidente, la sumisión a una forma de comunismo cool, y el acatamiento de los mantras progres o neocomunistas en materia de género, historia y cultura.</w:t>
      </w:r>
    </w:p>
    <w:p w:rsidR="006B40B0" w:rsidRDefault="006B40B0" w:rsidP="006B40B0">
      <w:pPr>
        <w:pStyle w:val="bbc-bm53ic"/>
        <w:shd w:val="clear" w:color="auto" w:fill="FDFDFD"/>
        <w:jc w:val="both"/>
        <w:rPr>
          <w:shd w:val="clear" w:color="auto" w:fill="FFFFFF"/>
        </w:rPr>
      </w:pPr>
      <w:r>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6B40B0" w:rsidRDefault="006B40B0" w:rsidP="006B40B0">
      <w:pPr>
        <w:pStyle w:val="bbc-bm53ic"/>
        <w:shd w:val="clear" w:color="auto" w:fill="FDFDFD"/>
        <w:jc w:val="both"/>
        <w:rPr>
          <w:shd w:val="clear" w:color="auto" w:fill="FFFFFF"/>
        </w:rPr>
      </w:pPr>
      <w:r>
        <w:rPr>
          <w:shd w:val="clear" w:color="auto" w:fill="FFFFFF"/>
        </w:rPr>
        <w:t>Pueden llegar a destrozar el futuro de millones de personas para alcanzar un sueño personal: “lejos de nosotros la funesta manía de pensar”</w:t>
      </w:r>
      <w:r>
        <w:rPr>
          <w:rFonts w:ascii="oxygen" w:hAnsi="oxygen"/>
          <w:sz w:val="25"/>
          <w:szCs w:val="25"/>
          <w:shd w:val="clear" w:color="auto" w:fill="FFFFFF"/>
        </w:rPr>
        <w:t>.</w:t>
      </w:r>
    </w:p>
    <w:p w:rsidR="006B40B0" w:rsidRDefault="006B40B0" w:rsidP="006B40B0">
      <w:pPr>
        <w:pStyle w:val="bbc-bm53ic"/>
        <w:shd w:val="clear" w:color="auto" w:fill="FDFDFD"/>
        <w:jc w:val="both"/>
        <w:rPr>
          <w:shd w:val="clear" w:color="auto" w:fill="FFFFFF"/>
        </w:rPr>
      </w:pPr>
      <w:r>
        <w:rPr>
          <w:shd w:val="clear" w:color="auto" w:fill="FFFFFF"/>
        </w:rPr>
        <w:t>¿Hasta cuándo EEUU y la UE continuarán “financiando los caprichos” de algunos sátrapas como Xi Jinping o Vladimir Putin?</w:t>
      </w:r>
    </w:p>
    <w:p w:rsidR="006B40B0" w:rsidRDefault="006B40B0" w:rsidP="006B40B0">
      <w:pPr>
        <w:pStyle w:val="bbc-bm53ic"/>
        <w:shd w:val="clear" w:color="auto" w:fill="FDFDFD"/>
        <w:jc w:val="both"/>
        <w:rPr>
          <w:shd w:val="clear" w:color="auto" w:fill="FFFFFF"/>
        </w:rPr>
      </w:pPr>
      <w:r>
        <w:rPr>
          <w:shd w:val="clear" w:color="auto" w:fill="FFFFFF"/>
        </w:rPr>
        <w:t>¿Por qué creen los “capitalistas davosianos” (Wall Street y Silicon Valley) que podrán “abducir” (controlar) a Xi Jinping o Vladimir Putin?</w:t>
      </w:r>
    </w:p>
    <w:p w:rsidR="006B40B0" w:rsidRDefault="006B40B0" w:rsidP="006B40B0">
      <w:pPr>
        <w:pStyle w:val="bbc-bm53ic"/>
        <w:shd w:val="clear" w:color="auto" w:fill="FDFDFD"/>
        <w:jc w:val="both"/>
        <w:rPr>
          <w:shd w:val="clear" w:color="auto" w:fill="FFFFFF"/>
        </w:rPr>
      </w:pPr>
      <w:r>
        <w:rPr>
          <w:shd w:val="clear" w:color="auto" w:fill="FFFFFF"/>
        </w:rPr>
        <w:t>Putin avisó durante años lo que haría. Occidente no escuchó. ¿Escuchará ahora a los demás autócratas amenazadores del mundo?</w:t>
      </w:r>
    </w:p>
    <w:p w:rsidR="006B40B0" w:rsidRDefault="006B40B0" w:rsidP="006B40B0">
      <w:pPr>
        <w:pStyle w:val="bbc-bm53ic"/>
        <w:shd w:val="clear" w:color="auto" w:fill="FDFDFD"/>
        <w:jc w:val="both"/>
        <w:rPr>
          <w:shd w:val="clear" w:color="auto" w:fill="FFFFFF"/>
        </w:rPr>
      </w:pPr>
      <w:r>
        <w:rPr>
          <w:shd w:val="clear" w:color="auto" w:fill="FFFFFF"/>
        </w:rPr>
        <w:t>El Partido Comunista de China dijo durante años cuál sería su apuesta estratégica. Occidente no quiso enterarse. ¿Aceptará, sin más, el “sorpasso”, aclamando a la nueva potencia global?</w:t>
      </w:r>
    </w:p>
    <w:p w:rsidR="006B40B0" w:rsidRDefault="006B40B0" w:rsidP="006B40B0">
      <w:pPr>
        <w:pStyle w:val="bbc-bm53ic"/>
        <w:shd w:val="clear" w:color="auto" w:fill="FDFDFD"/>
        <w:jc w:val="both"/>
        <w:rPr>
          <w:shd w:val="clear" w:color="auto" w:fill="FFFFFF"/>
        </w:rPr>
      </w:pPr>
      <w:r>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6B40B0" w:rsidRDefault="006B40B0" w:rsidP="006B40B0">
      <w:pPr>
        <w:pStyle w:val="bbc-bm53ic"/>
        <w:shd w:val="clear" w:color="auto" w:fill="FDFDFD"/>
        <w:jc w:val="both"/>
        <w:rPr>
          <w:shd w:val="clear" w:color="auto" w:fill="FFFFFF"/>
        </w:rPr>
      </w:pPr>
      <w:r>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6B40B0" w:rsidRDefault="006B40B0" w:rsidP="006B40B0">
      <w:pPr>
        <w:spacing w:line="240" w:lineRule="auto"/>
        <w:jc w:val="both"/>
        <w:rPr>
          <w:rFonts w:ascii="Times New Roman" w:eastAsia="Times New Roman" w:hAnsi="Times New Roman" w:cs="Times New Roman"/>
          <w:sz w:val="24"/>
          <w:szCs w:val="24"/>
          <w:shd w:val="clear" w:color="auto" w:fill="FFFFFF"/>
          <w:lang w:eastAsia="es-ES"/>
        </w:rPr>
      </w:pPr>
      <w:r>
        <w:rPr>
          <w:rFonts w:ascii="Times New Roman" w:eastAsia="Times New Roman" w:hAnsi="Times New Roman" w:cs="Times New Roman"/>
          <w:sz w:val="24"/>
          <w:szCs w:val="24"/>
          <w:shd w:val="clear" w:color="auto" w:fill="FFFFFF"/>
          <w:lang w:eastAsia="es-ES"/>
        </w:rPr>
        <w:lastRenderedPageBreak/>
        <w:t>Las falsedades del equipo de Davos (Gran Reseteo) apenas logran traspasar la barrera del escepticismo. Su descrédito avanza, incontenible, ante los nuevos acontecimientos (marzo 2022). El tornado económico produce ya severas turbulencias en los despachos de Wall Street y Silicon Valley. No hay manos (y pies) para tapar tantas vías de agua.</w:t>
      </w:r>
    </w:p>
    <w:p w:rsidR="006B40B0" w:rsidRDefault="006B40B0" w:rsidP="006B40B0">
      <w:pPr>
        <w:spacing w:line="240" w:lineRule="auto"/>
        <w:jc w:val="both"/>
        <w:rPr>
          <w:rFonts w:ascii="Times New Roman" w:eastAsia="Times New Roman" w:hAnsi="Times New Roman" w:cs="Times New Roman"/>
          <w:sz w:val="24"/>
          <w:szCs w:val="24"/>
          <w:shd w:val="clear" w:color="auto" w:fill="FFFFFF"/>
          <w:lang w:eastAsia="es-ES"/>
        </w:rPr>
      </w:pPr>
      <w:r>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6B40B0" w:rsidRDefault="006B40B0" w:rsidP="006B40B0">
      <w:pPr>
        <w:spacing w:line="240" w:lineRule="auto"/>
        <w:jc w:val="both"/>
        <w:rPr>
          <w:rFonts w:ascii="Times New Roman" w:eastAsia="Times New Roman" w:hAnsi="Times New Roman" w:cs="Times New Roman"/>
          <w:sz w:val="24"/>
          <w:szCs w:val="24"/>
          <w:shd w:val="clear" w:color="auto" w:fill="FFFFFF"/>
          <w:lang w:eastAsia="es-ES"/>
        </w:rPr>
      </w:pPr>
      <w:r>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6B40B0" w:rsidRDefault="006B40B0" w:rsidP="006B40B0">
      <w:pPr>
        <w:spacing w:line="240" w:lineRule="auto"/>
        <w:jc w:val="both"/>
        <w:rPr>
          <w:rFonts w:ascii="Times New Roman" w:eastAsia="Times New Roman" w:hAnsi="Times New Roman" w:cs="Times New Roman"/>
          <w:sz w:val="24"/>
          <w:szCs w:val="24"/>
          <w:shd w:val="clear" w:color="auto" w:fill="FFFFFF"/>
          <w:lang w:eastAsia="es-ES"/>
        </w:rPr>
      </w:pPr>
      <w:r>
        <w:rPr>
          <w:rFonts w:ascii="Times New Roman" w:eastAsia="Times New Roman" w:hAnsi="Times New Roman" w:cs="Times New Roman"/>
          <w:sz w:val="24"/>
          <w:szCs w:val="24"/>
          <w:shd w:val="clear" w:color="auto" w:fill="FFFFFF"/>
          <w:lang w:eastAsia="es-ES"/>
        </w:rPr>
        <w:t>Cuando las cosas cambian es lógico que variemos nuestras opiniones. No hace falta ser Keynes para afirmarlo, de lo contrario seremos esclavos de esa estupidez impávida que los devotos llaman ortodoxia.</w:t>
      </w:r>
    </w:p>
    <w:p w:rsidR="006B40B0" w:rsidRDefault="006B40B0" w:rsidP="006B40B0">
      <w:pPr>
        <w:pStyle w:val="bbc-bm53ic"/>
        <w:shd w:val="clear" w:color="auto" w:fill="FDFDFD"/>
        <w:jc w:val="both"/>
        <w:rPr>
          <w:shd w:val="clear" w:color="auto" w:fill="FFFFFF"/>
        </w:rPr>
      </w:pPr>
      <w:r>
        <w:rPr>
          <w:shd w:val="clear" w:color="auto" w:fill="FFFFFF"/>
        </w:rPr>
        <w:t>Suprimir el consumo de gas ruso implicaría una subida de los costes eléctricos de en torno al 56%. Además, las infraestructuras suficientes para llevar a cabo esta transición costarán un billón de euros, un 36% más que el Plan de Reconstrucción de la UE.</w:t>
      </w:r>
    </w:p>
    <w:p w:rsidR="006B40B0" w:rsidRDefault="006B40B0" w:rsidP="006B40B0">
      <w:pPr>
        <w:pStyle w:val="bbc-bm53ic"/>
        <w:shd w:val="clear" w:color="auto" w:fill="FDFDFD"/>
        <w:jc w:val="both"/>
        <w:rPr>
          <w:shd w:val="clear" w:color="auto" w:fill="FFFFFF"/>
        </w:rPr>
      </w:pPr>
      <w:r>
        <w:rPr>
          <w:shd w:val="clear" w:color="auto" w:fill="FFFFFF"/>
        </w:rPr>
        <w:t>El ataque ruso a Ucrania ha pillado desprevenidos a los europeos en todos los sentidos. No es sólo que muchos de los gobernantes no se esperaran una ofensiva de este calado, tal como sí avanzaba la inteligencia estadounidense o temían muchos gobiernos…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Como saben los académicos rigurosos, “la historia tiene mucho que enseñarnos si estamos dispuestos a escuchar”.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Como dijo Lope de Vega, “quien mira lo pasado, lo porvenir advierte”.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tuvimos el deshonor (con EEUU y la UE, haciendo negocios), y ahora tenemos la guerra (en el patio trasero de la UE, y con la OTAN y EEUU, oficiando de Tartufos).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la Unión Europea un caso de “gestión pasiva”?</w:t>
      </w:r>
      <w:r w:rsidR="000B4D93">
        <w:rPr>
          <w:rFonts w:ascii="Times New Roman" w:hAnsi="Times New Roman" w:cs="Times New Roman"/>
          <w:b/>
          <w:sz w:val="24"/>
          <w:szCs w:val="24"/>
        </w:rPr>
        <w:t xml:space="preserve"> </w:t>
      </w:r>
      <w:r>
        <w:rPr>
          <w:rFonts w:ascii="Times New Roman" w:hAnsi="Times New Roman" w:cs="Times New Roman"/>
          <w:b/>
          <w:sz w:val="24"/>
          <w:szCs w:val="24"/>
        </w:rPr>
        <w:t>(entre promesas vagas y tardías)</w:t>
      </w:r>
    </w:p>
    <w:p w:rsidR="006B40B0" w:rsidRDefault="006B40B0" w:rsidP="006B40B0">
      <w:pPr>
        <w:pStyle w:val="NormalWeb"/>
        <w:jc w:val="both"/>
        <w:textAlignment w:val="baseline"/>
      </w:pPr>
      <w:r>
        <w:t>La “ceguera voluntaria” de la UE: entre la inacción y la desmemoria (los burócratas europeos pretenden soplar y sorber a la vez: primero destruyen y luego subsidian)</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Caretas fuera: los líderes europeos, mientras dicen, “es que no sabíamos nada”, se dedican “a robar, a robar, que el tiempo se va a </w:t>
      </w:r>
      <w:r w:rsidR="003F2346">
        <w:rPr>
          <w:rFonts w:ascii="Times New Roman" w:eastAsia="Times New Roman" w:hAnsi="Times New Roman" w:cs="Times New Roman"/>
          <w:sz w:val="24"/>
          <w:szCs w:val="24"/>
          <w:lang w:eastAsia="es-ES"/>
        </w:rPr>
        <w:t>acabar”.</w:t>
      </w:r>
      <w:r w:rsidR="003F2346">
        <w:rPr>
          <w:rFonts w:ascii="Times New Roman" w:hAnsi="Times New Roman" w:cs="Times New Roman"/>
          <w:sz w:val="24"/>
          <w:szCs w:val="24"/>
        </w:rPr>
        <w:t xml:space="preserve"> Los</w:t>
      </w:r>
      <w:r>
        <w:rPr>
          <w:rFonts w:ascii="Times New Roman" w:hAnsi="Times New Roman" w:cs="Times New Roman"/>
          <w:sz w:val="24"/>
          <w:szCs w:val="24"/>
        </w:rPr>
        <w:t xml:space="preserve"> “sucios intereses”, los abducen, los ciegan.</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tanto corren para ser los primeros en abrazar a la viuda en el funeral, a la novia en la boda y al niño en el bautizo, o piden la palabra para reclamar “más cohesión y estabilidad”, continúan engañando al contribuyente, manejando los recursos públicos como un juguete, sin presentar ninguna propuesta, ningún plan estratégico alternativo, nada de nada. La “primacía inmoral”.</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mucho menos, algunos “alquimistas” fueron a la cárcel, y otros se pegaron un tiro.</w:t>
      </w:r>
    </w:p>
    <w:p w:rsidR="006B40B0" w:rsidRDefault="006B40B0" w:rsidP="006B40B0">
      <w:pPr>
        <w:jc w:val="both"/>
        <w:rPr>
          <w:rFonts w:ascii="Times New Roman" w:hAnsi="Times New Roman" w:cs="Times New Roman"/>
          <w:b/>
          <w:sz w:val="24"/>
          <w:szCs w:val="24"/>
        </w:rPr>
      </w:pPr>
      <w:r>
        <w:rPr>
          <w:rFonts w:ascii="Times New Roman" w:hAnsi="Times New Roman" w:cs="Times New Roman"/>
          <w:b/>
          <w:sz w:val="24"/>
          <w:szCs w:val="24"/>
        </w:rPr>
        <w:t>¿Y dónde está el piloto? El escenario global, y regional (a finales de junio de 2022)</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Se esperaba una salida tumultuosa de la pandemia, pero en su lugar la economía global tiene que afrontar dos duros golpes, la fuerte inflación y la guerra en Ucrania, que pueden significar un cambio de era de baja inflación a otra de fuertes subidas de los precios.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 incluso, el fin de la era de la globalización establecido tras la Segunda Guerra Mundial.</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impacto de la guerra se ha manifestado en la subida de los precios de las materias primas, de la energía y de los alimentos.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abril de 2022 tres cuartas partes de las economías del mundo tenían una inflación superior al 5%, en muchos países en niveles máximos desde hace cuarenta años.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reto para la banca central es lograr un “aterrizaje suave”, es decir, un ciclo de subidas de los tipos de interés que termina sin recesión (dos trimestres consecutivos de contracción del crecimiento), algo que históricamente ha sido difícil.</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Si una economía entra en recesión en los tres años después del pico más elevado del ciclo de la política monetaria, el aterrizaje se define como duro.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Históricamente, la mitad de los ciclos de subidas de los tipos de interés ha terminado con aterrizajes suaves.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clave para los bancos centrales es actuar rápida y decisivamente antes de que la inflación se arraigue”, decía el Director General del Banco de Pagos Internacionales (BPI), Agustín Carstens, al presentar el 26/6/22 su último Informe Económico Anual.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“Porque en caso de que la inflación se atrinchere, el coste de volver a tenerla bajo control será más elevado”, añadió Carstens.</w:t>
      </w:r>
    </w:p>
    <w:p w:rsidR="006B40B0" w:rsidRDefault="006B40B0" w:rsidP="006B40B0">
      <w:pPr>
        <w:pStyle w:val="NormalWeb"/>
        <w:jc w:val="both"/>
        <w:textAlignment w:val="baseline"/>
        <w:rPr>
          <w:b/>
        </w:rPr>
      </w:pPr>
      <w:r>
        <w:rPr>
          <w:b/>
          <w:shd w:val="clear" w:color="auto" w:fill="FFFFFF"/>
        </w:rPr>
        <w:t>“Carpe diem” europeo: ¿demasiado tarde, para la rectificación o la enmienda?</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sz w:val="24"/>
          <w:szCs w:val="24"/>
          <w:lang w:eastAsia="es-ES"/>
        </w:rPr>
        <w:t>Déjeme hacerle dos preguntas.</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sz w:val="24"/>
          <w:szCs w:val="24"/>
          <w:lang w:eastAsia="es-ES"/>
        </w:rPr>
        <w:t>Como europeo, ¿tiene la sensación de que los últimos años se han convertido en una sucesión de crisis permanentes? Cuando parecía que dejábamos atrás los largos años de la crisis financiera, pasamos a la de los refugiados. De ahí al Brexit y a las turbulencias transatlánticas con el ascenso de Donald Trump. Seguimos con la pandemia global y, como colofón, la guerra de Rusia en Ucrania. De trasfondo, la emergencia climática, el imparable ascenso de China como futura potencia dominante y un entorno económico hostil.</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como europeo, ¿tiene la sensación de que en los últimos años a la Unión Europea le resulta cada vez más difícil avanzar? El crecimiento del número de Estados miembro -y con ellos todas sus particularidades- ha hecho que la confección de consensos sea cada vez más compleja. El euroescepticismo ha aumentado, así como los conflictos por competencias entre Bruselas y las capitales -en algunos, como el de Polonia y Hungría, con consecuencias todavía inciertas-. Y, aunque el coronavirus nos hizo reaccionar de forma conjunta, todavía no nos ponemos de acuerdo en asuntos tan trascendentales como la gestión de la inmigración, la actualización de la economía o la ampliación de la UE.</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Brexit, pandemia, guerra, rotura de las cadenas de abastecimiento, falta y encarecimiento de materias primas, productos agrícolas, y energéticos… ¿cómo vamos a lidiar con todo esto? Se preguntará usted. También me lo pregunto.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 estas cuestiones inevitablemente les siguen estas: ¿Cuáles deberían ser las prioridades de Europa? ¿qué puede cambiar -o no- para superar estos desafíos? ¿en qué dirección avanzar? </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“¿Qué males sufre Europa?, preguntan ustedes en el lema de esta sesión inaugural. ¿Sufre de melancolía? ¿De un acceso de nostalgia? ¿De una “enfermedad de languidez”, como ha dicho -la ministra francesa- Catherine Colonna? ¿De la “fatiga de la ampliación”? Creo que, en efecto, hay un poco de todo eso. Es, hasta cierto punto, la crisis de la cincuentena”.</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europeos miran al futuro con incertidumbre ante un mundo crecientemente volátil. Las consecuencias de la guerra ya tienen un impacto directo en los bolsillos de los ciudadanos. El aumento del precio de los alimentos, la energía o los combustibles amenaza con desatar importantes protestas sociales. Y una generación cada vez más europea, pero también más desencantada, está llamada a expresarse en las urnas de la casa de la democracia europea en menos de dos años.</w:t>
      </w:r>
    </w:p>
    <w:p w:rsidR="006B40B0" w:rsidRPr="0027299F" w:rsidRDefault="006B40B0" w:rsidP="006B40B0">
      <w:pPr>
        <w:pStyle w:val="NormalWeb"/>
        <w:jc w:val="both"/>
        <w:rPr>
          <w:rFonts w:ascii="Sans" w:hAnsi="Sans"/>
          <w:b/>
          <w:color w:val="FF0000"/>
        </w:rPr>
      </w:pPr>
      <w:r w:rsidRPr="0027299F">
        <w:rPr>
          <w:rFonts w:ascii="Sans" w:hAnsi="Sans"/>
          <w:b/>
          <w:color w:val="FF0000"/>
        </w:rPr>
        <w:t xml:space="preserve">(2022) El año en que “ha estallado la burbuja de todo”: el otoño infernal de la UE </w:t>
      </w:r>
    </w:p>
    <w:p w:rsidR="006B40B0" w:rsidRDefault="006B40B0" w:rsidP="006B40B0">
      <w:pPr>
        <w:pStyle w:val="NormalWeb"/>
        <w:jc w:val="both"/>
        <w:rPr>
          <w:b/>
        </w:rPr>
      </w:pPr>
      <w:r>
        <w:rPr>
          <w:b/>
        </w:rPr>
        <w:t>Europa en penumbra; en busca del “alma” perdida (¿susto, muerte… o reinvención?)</w:t>
      </w:r>
    </w:p>
    <w:p w:rsidR="006B40B0" w:rsidRDefault="006B40B0" w:rsidP="006B40B0">
      <w:pPr>
        <w:pStyle w:val="NormalWeb"/>
        <w:jc w:val="both"/>
        <w:rPr>
          <w:b/>
        </w:rPr>
      </w:pPr>
      <w:r>
        <w:rPr>
          <w:b/>
        </w:rPr>
        <w:t>Europa es como un señor entusiasta y sobreactuado que trata de calmar como sea a unos vecinos díscolos y pesados, y en esas seguimos. Tanto EEUU (en lo militar, tecnológico, y comercial), como China (en lo comercial) tienen la sartén por el mango. Un juego de suma cero descontrolado, al que hay que agregar los goles en contra.</w:t>
      </w:r>
    </w:p>
    <w:p w:rsidR="006B40B0" w:rsidRDefault="006B40B0" w:rsidP="006B40B0">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gran cuestión europea es saber si se puede ser soberana en relación de dependencia.</w:t>
      </w:r>
    </w:p>
    <w:p w:rsidR="006B40B0" w:rsidRDefault="006B40B0" w:rsidP="006B40B0">
      <w:pPr>
        <w:pStyle w:val="NormalWeb"/>
        <w:jc w:val="both"/>
        <w:rPr>
          <w:rFonts w:ascii="Sans" w:hAnsi="Sans"/>
          <w:b/>
        </w:rPr>
      </w:pPr>
      <w:r>
        <w:rPr>
          <w:rFonts w:ascii="Sans" w:hAnsi="Sans"/>
          <w:b/>
        </w:rPr>
        <w:t>Cuando nos hacían ver cómo importante lo que tenía de espectáculo, los europeos, venimos a descubrir, lastimosamente, que el “éxito” nos ha hecho infelices. Pero por lo demás seguimos perdidos en la ignorancia. Nos enteraremos con el tiempo y por sus efectos.</w:t>
      </w:r>
    </w:p>
    <w:p w:rsidR="006B40B0" w:rsidRDefault="006B40B0" w:rsidP="006B40B0">
      <w:pPr>
        <w:pStyle w:val="NormalWeb"/>
        <w:jc w:val="both"/>
        <w:rPr>
          <w:b/>
        </w:rPr>
      </w:pPr>
      <w:r>
        <w:rPr>
          <w:b/>
        </w:rPr>
        <w:t xml:space="preserve">La crisis económica, no nos amenaza porque ya está aquí. La economía se derrumba, la ira social se dispara, el cabreo familiar crece y el ambiente se va tornando invivible. Todo lo que viene ahora son reveses, malas noticias: </w:t>
      </w:r>
      <w:r>
        <w:rPr>
          <w:rFonts w:ascii="Sans" w:hAnsi="Sans"/>
          <w:b/>
        </w:rPr>
        <w:t>falta de insumos, recursos energéticos, productos agropecuarios, creciente déficit fiscal,  incremento exponencial de la deuda pública, imparable inflación, aumento de la prima de riesgo…  increíble bola de nieve, que pone a los países avanzados, al borde de la hecatombe.</w:t>
      </w:r>
    </w:p>
    <w:p w:rsidR="006B40B0" w:rsidRDefault="006B40B0" w:rsidP="006B40B0">
      <w:pPr>
        <w:pStyle w:val="NormalWeb"/>
        <w:jc w:val="both"/>
        <w:rPr>
          <w:rFonts w:ascii="Sans" w:hAnsi="Sans"/>
          <w:b/>
          <w:shd w:val="clear" w:color="auto" w:fill="FFFFFF"/>
        </w:rPr>
      </w:pPr>
      <w:r>
        <w:rPr>
          <w:rFonts w:ascii="Sans" w:hAnsi="Sans"/>
          <w:b/>
        </w:rPr>
        <w:t xml:space="preserve">Mientras que en los países avanzados (ahora, en vías de subdesarrollo) los ricos comen chuletas bañadas en oro (sic), sus bancos centrales corren detrás de la inflación que ellos mismos generaron (glup), para dar a los ricos mayores posibilidades de comer chuletas bañadas en oro (glup, glup), sus ciudadanos comunes (grandes paganos de este tremendo desaguisado) </w:t>
      </w:r>
      <w:r>
        <w:rPr>
          <w:rFonts w:ascii="Sans" w:hAnsi="Sans"/>
          <w:b/>
          <w:shd w:val="clear" w:color="auto" w:fill="FFFFFF"/>
        </w:rPr>
        <w:t>cuando pueden ejercer el voto en libertad, a consecuencia de las enormes diferencias socio-económicas que padecen, agudizadas por la pandemia, están derrumbando a los oficialismos sin importar si se trata de regímenes de derecha o de izquierda (triple glup).</w:t>
      </w:r>
    </w:p>
    <w:p w:rsidR="006B40B0" w:rsidRDefault="006B40B0" w:rsidP="006B40B0">
      <w:pPr>
        <w:pStyle w:val="NormalWeb"/>
        <w:jc w:val="both"/>
        <w:rPr>
          <w:rFonts w:ascii="Calibri" w:hAnsi="Calibri" w:cs="Calibri"/>
          <w:b/>
          <w:sz w:val="18"/>
          <w:szCs w:val="18"/>
        </w:rPr>
      </w:pPr>
      <w:r>
        <w:rPr>
          <w:rFonts w:ascii="Sans" w:hAnsi="Sans" w:cs="Calibri"/>
          <w:b/>
        </w:rPr>
        <w:t xml:space="preserve">En Europa, la criminal invasión a Ucrania parece transformarse en una guerra prolongada, y según algunos analistas hasta es posible que se extienda a los países bálticos y a Moldavia, sobre el Mar Negro, con las enormes consecuencias que todo ello ya está produciendo sobre los senderos de los recursos energéticos y alimentarios globales. En el sur de Asia, Corea del Norte sigue amenazando con sus misiles al mundo y China continúa hostigando a Taiwán, mientras que, asociada a India en la empresa, </w:t>
      </w:r>
      <w:r>
        <w:rPr>
          <w:rFonts w:ascii="Sans" w:hAnsi="Sans" w:cs="Calibri"/>
          <w:b/>
        </w:rPr>
        <w:lastRenderedPageBreak/>
        <w:t>diluye los efectos de las sanciones occidentales sobre Rusia al comprar sus combustibles.</w:t>
      </w:r>
      <w:r>
        <w:rPr>
          <w:rFonts w:ascii="Calibri" w:hAnsi="Calibri" w:cs="Calibri"/>
          <w:b/>
          <w:sz w:val="18"/>
          <w:szCs w:val="18"/>
        </w:rPr>
        <w:t>  </w:t>
      </w:r>
    </w:p>
    <w:p w:rsidR="006B40B0" w:rsidRDefault="006B40B0" w:rsidP="006B40B0">
      <w:pPr>
        <w:pStyle w:val="NormalWeb"/>
        <w:jc w:val="both"/>
        <w:rPr>
          <w:b/>
        </w:rPr>
      </w:pPr>
      <w:r>
        <w:rPr>
          <w:b/>
        </w:rPr>
        <w:t>Las medidas económicas que toman los “alucinados” dirigentes europeos se van quedando obsoletas antes de nacer. La inflación anualizada está cerca del 10 % -la subyacente del 5%- (en junio), pese a que hace tan sólo unos meses, las “gallináceas”, aseguraban que iba a ser pasajera. El alza de precios absorbe de un golpe el efecto de las iniciativas para combatirla.</w:t>
      </w:r>
    </w:p>
    <w:p w:rsidR="006B40B0" w:rsidRDefault="006B40B0" w:rsidP="006B40B0">
      <w:pPr>
        <w:pStyle w:val="NormalWeb"/>
        <w:jc w:val="both"/>
        <w:rPr>
          <w:b/>
        </w:rPr>
      </w:pPr>
      <w:r>
        <w:rPr>
          <w:b/>
        </w:rPr>
        <w:t>El final de la pandemia y la mejora del desempleo reducirán, sin duda, el dinero destinado a esos fines y la inflación incrementa la recaudación tributaria. Pero no hay dinero suficiente en el mundo para corregir los precios a golpe de talonario y por decreto ley, en lugar de acompañar las medidas con reformas y recortes del gasto.</w:t>
      </w:r>
    </w:p>
    <w:p w:rsidR="006B40B0" w:rsidRDefault="006B40B0" w:rsidP="006B40B0">
      <w:pPr>
        <w:pStyle w:val="NormalWeb"/>
        <w:jc w:val="both"/>
        <w:rPr>
          <w:b/>
        </w:rPr>
      </w:pPr>
      <w:r>
        <w:rPr>
          <w:b/>
        </w:rPr>
        <w:t>¿Y ahora qué harán?... ¿seguir incrementado el déficit público? ¿continuar aumentando la deuda soberana? ¿confiar en la connivencia del BCE ? ¿prolongar la carrera loca hacia el abismo?¿tirarse por el barranco? ¿renunciar, y convocar elecciones? ¿declararse dictadores políticos, militares e intelectuales (Pontifex Maximus)? ¿Incendiar Roma? ¿Incendiar París?</w:t>
      </w:r>
    </w:p>
    <w:p w:rsidR="006B40B0" w:rsidRDefault="006B40B0" w:rsidP="006B40B0">
      <w:pPr>
        <w:pStyle w:val="NormalWeb"/>
        <w:jc w:val="both"/>
        <w:rPr>
          <w:b/>
        </w:rPr>
      </w:pPr>
      <w:r>
        <w:rPr>
          <w:b/>
        </w:rPr>
        <w:t>¿Cómo reaccionará la ciudadanía (si aún le queda alguna capacidad crítica, después de haber sido abducidos, anestesiados, intoxicados, drogados, desinformados, espiados, controlados, manipulados, traficados por las redes sociales, las plataformas, la realidad virtual, el metaverso, y otras armas de “analfabetización” masiva) ante esta situación terminal?</w:t>
      </w:r>
    </w:p>
    <w:p w:rsidR="006B40B0" w:rsidRDefault="006B40B0" w:rsidP="006B40B0">
      <w:pPr>
        <w:pStyle w:val="NormalWeb"/>
        <w:jc w:val="both"/>
        <w:rPr>
          <w:b/>
        </w:rPr>
      </w:pPr>
      <w:r>
        <w:rPr>
          <w:b/>
        </w:rPr>
        <w:t xml:space="preserve">El hundimiento se precipita y los partidarios del progreso están a dos telediarios de quedarse huérfanos y sin claro relevo. La Comisión Europea, con unos dirigentes, faltos de recursos hasta para seguir mintiendo, llevan a pensar que la sepultura, sin bendiciones ni responsos, sería lo mejor para la Unión Europea. </w:t>
      </w:r>
    </w:p>
    <w:p w:rsidR="006B40B0" w:rsidRDefault="006B40B0" w:rsidP="006B40B0">
      <w:pPr>
        <w:pStyle w:val="NormalWeb"/>
        <w:jc w:val="both"/>
        <w:rPr>
          <w:b/>
        </w:rPr>
      </w:pPr>
      <w:r>
        <w:rPr>
          <w:b/>
        </w:rPr>
        <w:t xml:space="preserve">Quizás esta vez haya suerte… pensarán en los Estados Unidos, el Reino Unido, o China, donde solo interesa Europa como “mercado” (cliente). Quizás esta vez  se convenzan que nos necesitan más ellos a nosotros, que nosotros a ellos… y ahora mucho más, pensarán en los Estados Unidos, el Reino Unido, o China, donde consideran a Europa como un museo vacío.   </w:t>
      </w:r>
    </w:p>
    <w:p w:rsidR="006B40B0" w:rsidRDefault="006B40B0" w:rsidP="006B40B0">
      <w:pPr>
        <w:pStyle w:val="NormalWeb"/>
        <w:jc w:val="both"/>
        <w:rPr>
          <w:rFonts w:ascii="Sans" w:hAnsi="Sans"/>
          <w:b/>
          <w:shd w:val="clear" w:color="auto" w:fill="FFFFFF"/>
        </w:rPr>
      </w:pPr>
      <w:r>
        <w:rPr>
          <w:b/>
        </w:rPr>
        <w:t xml:space="preserve">Tal vez </w:t>
      </w:r>
      <w:r>
        <w:rPr>
          <w:rFonts w:ascii="Sans" w:hAnsi="Sans"/>
          <w:b/>
          <w:shd w:val="clear" w:color="auto" w:fill="FFFFFF"/>
        </w:rPr>
        <w:t xml:space="preserve">por eso, porque únicamente cuando ya no les queda nada por perder, las sociedades consiguen hacer pie en el fondo para impulsarse hacia la superficie y volver a respirar, deseo, espero, y ruego: ¡Wake up Europe! </w:t>
      </w:r>
      <w:r>
        <w:rPr>
          <w:b/>
        </w:rPr>
        <w:t>¡Make Europe great again!</w:t>
      </w:r>
    </w:p>
    <w:p w:rsidR="006B40B0" w:rsidRDefault="006B40B0" w:rsidP="006B40B0">
      <w:pPr>
        <w:pStyle w:val="NormalWeb"/>
        <w:jc w:val="both"/>
        <w:rPr>
          <w:b/>
        </w:rPr>
      </w:pPr>
      <w:r>
        <w:rPr>
          <w:b/>
        </w:rPr>
        <w:t>Nota final (al “Apparátchik” de Bruselas): La “adversidad” de Europa “son ustedes”</w:t>
      </w:r>
    </w:p>
    <w:p w:rsidR="006B40B0" w:rsidRDefault="006B40B0" w:rsidP="006B40B0">
      <w:pPr>
        <w:pStyle w:val="NormalWeb"/>
        <w:jc w:val="both"/>
        <w:rPr>
          <w:b/>
        </w:rPr>
      </w:pPr>
      <w:r>
        <w:rPr>
          <w:b/>
        </w:rPr>
        <w:t xml:space="preserve">En este escenario de pesadilla donde la Unión Europea exhibe sus desgracias, iluminados “burócratas depredadores”, lo mejor que pueden hacer ustedes es “dejar en libertad a los ciudadanos europeos”, “abandonar sus juguetes preferidos”, y ante todo, “no hacer (más) daño”, porque si no, más pronto que tarde, serán culpables de la desaparición, con estrépito y deshonor, de la Unión Europea, de la escena mundial. </w:t>
      </w:r>
    </w:p>
    <w:p w:rsidR="006B40B0" w:rsidRDefault="006B40B0" w:rsidP="006B40B0">
      <w:pPr>
        <w:pStyle w:val="NormalWeb"/>
        <w:jc w:val="both"/>
        <w:rPr>
          <w:b/>
        </w:rPr>
      </w:pPr>
      <w:r>
        <w:rPr>
          <w:b/>
        </w:rPr>
        <w:lastRenderedPageBreak/>
        <w:t>Tengo claro que es muy difícil pedir coherencia a unos maestros del cortoplacismo,   improvisadores habituales, especializados en crear pobres para socorrerlos después, escapistas de todo a 100 (“no se podía saber y lo estamos haciendo mejor que nadie”), cargados  de discursos de baratija que se pretenden épicos y derivan en ridículo: “Nos vamos  a dejar la piel”, “vamos a por todas”, “haremos todo y más”, “no vamos a dejar a nadie atrás” “saldremos más fuertes”. “El culpable de la pandemia fue un virus y el de la inflación, Putin”. Tal cual. Y en ambos casos, la Comisión Europea reaccionó -está reaccionando- en forma eficaz y ejemplar. Mejor que nadie.</w:t>
      </w:r>
    </w:p>
    <w:p w:rsidR="006B40B0" w:rsidRDefault="006B40B0" w:rsidP="006B40B0">
      <w:pPr>
        <w:pStyle w:val="NormalWeb"/>
        <w:jc w:val="both"/>
        <w:rPr>
          <w:b/>
        </w:rPr>
      </w:pPr>
      <w:r>
        <w:rPr>
          <w:b/>
        </w:rPr>
        <w:t>Y así, de “plan de choque” en “plan de choque”, el “apparátchik” hipertrofiado de Bruselas, se va llevando por delante a las clases medias y bajas, de una Unión Europea, “en vías de subdesarrollo”.</w:t>
      </w:r>
    </w:p>
    <w:p w:rsidR="006B40B0" w:rsidRDefault="006B40B0" w:rsidP="006B40B0">
      <w:pPr>
        <w:pStyle w:val="NormalWeb"/>
        <w:jc w:val="both"/>
        <w:rPr>
          <w:b/>
        </w:rPr>
      </w:pPr>
      <w:r>
        <w:rPr>
          <w:b/>
        </w:rPr>
        <w:t>Si no fuera tan grave, daría risa. Pero, de seguir así, van a terminar mandando a la Unión Europea a la mierda. El tiempo será testigo.</w:t>
      </w:r>
    </w:p>
    <w:p w:rsidR="006B40B0" w:rsidRPr="00B331DD" w:rsidRDefault="006B40B0" w:rsidP="006B40B0">
      <w:pPr>
        <w:spacing w:line="240" w:lineRule="auto"/>
        <w:jc w:val="both"/>
        <w:rPr>
          <w:rFonts w:ascii="Times New Roman" w:hAnsi="Times New Roman" w:cs="Times New Roman"/>
          <w:b/>
          <w:sz w:val="24"/>
          <w:szCs w:val="24"/>
          <w:shd w:val="clear" w:color="auto" w:fill="FAFAFA"/>
        </w:rPr>
      </w:pPr>
      <w:r w:rsidRPr="00B331DD">
        <w:rPr>
          <w:rFonts w:ascii="Times New Roman" w:hAnsi="Times New Roman" w:cs="Times New Roman"/>
          <w:b/>
          <w:sz w:val="24"/>
          <w:szCs w:val="24"/>
          <w:shd w:val="clear" w:color="auto" w:fill="FAFAFA"/>
        </w:rPr>
        <w:t>¿Podemos estar ante una fórmula posmoderna de la “banalización del mal”?</w:t>
      </w:r>
    </w:p>
    <w:p w:rsidR="006B40B0" w:rsidRDefault="006B40B0" w:rsidP="006B40B0">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Parafraseando el concepto acuñado por la filósofa alemana Hannah Arendt se podría describir cómo un sistema de poder político, tecnológico, económico, y social,  a través del cual se pretende abducir, anestesiar, manipular, intoxicar, desinformar, trivializar, espiar, controlar, atemorizar, a los seres humanos, empleando procedimientos burocráticos ejecutados por funcionarios incapaces de pensar en las consecuencias éticas y morales de sus actos.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Paradigmas, mantras, mitos, sectarismos, fanatismos, ignorancia, adicciones, superioridad moral, amnesias inducidas, entretenimientos pueriles, redes sociales opioides, estupideces digitales, y otras inmundicias intelectuales, forman parte de la caja de herramientas de los “borradores de cabeza”; unos individuos avaros, codiciosos, arrogantes, soberbios, fatuos, y faltos de ética, que desde sus púlpitos en Wall Street, Silicon Valley o Davos, no dudan en entregar el poder mundial al Partido Comunista de China, a cambio de asegurar sus negocios, y que se valen de unos zombis radicalizados, dogmáticos, racistas, irresponsables, y sobrados de ignorancia (iletrados o analfabetos funcionales), para suministrar el placebo del capitalismo “woke” que distraiga, entretenga, controle, y arre a la manada. Un “soma” (droga feliz) para lograr que los avestruces (sopistas), sigan sin sacar la cabeza del agujero. </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muchos científicos que consideran obvio que la ciencia nos proporciona verdades sobre el mundo y se molestan solo con la sugerencia de que podría no ser así. Lo normal es atribuir a nuestros enunciados un cierto grado de aproximación a la verdad o un cierto grado de verosimilitud (un término técnico reivindicado por Karl Popper.</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dejamos de lado a los que consideran que la verdad no existe (posverdad), o que es indefinible, o que es redundante, un relativista diría que lo verdadero es lo que un determinado individuo, normalmente uno mismo, o una determinada comunidad considera aceptable, un coherentista diría que verdadero es aquel enunciado que encaja bien, que es coherente, con el resto de enunciados que aceptamos, un pragmatista diría que lo verdadero es aquello que alcanzamos cuando logramos un estado ideal de conocimiento, como, por ejemplo, cuando alcancemos el final de la ciencia (si es que se llegara a él alguna vez), o cuando establezcamos una comunidad ideal de diálogo, capaz de manejar toda la información de forma no sesgada, o cuando estemos en situación de justificar con plenas garantías epistémicas todo lo que sostengamos”, dice Antonio Dieguez (El Confidencial - </w:t>
      </w:r>
      <w:r>
        <w:rPr>
          <w:rFonts w:ascii="Times New Roman" w:hAnsi="Times New Roman" w:cs="Times New Roman"/>
          <w:b/>
          <w:sz w:val="24"/>
          <w:szCs w:val="24"/>
        </w:rPr>
        <w:t>13/9/22</w:t>
      </w:r>
      <w:r>
        <w:rPr>
          <w:rFonts w:ascii="Times New Roman" w:hAnsi="Times New Roman" w:cs="Times New Roman"/>
          <w:sz w:val="24"/>
          <w:szCs w:val="24"/>
        </w:rPr>
        <w:t>).</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Pero la definición que sigue siendo más popular es la definición clásica, que es la que aceptan los filósofos llamados “realistas”. Según esta definición, la verdad consiste en la correspondencia de nuestros enunciados con la realidad. Esta definición no solo recoge el sentido que solemos darle a la verdad en la vida diaria, sino que es la que ha centrado el debate en filosofía de la ciencia, ya sea para asumir que cumple una función importante a la hora de entender el progreso científico o para rechazar tal cosa.</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cuestión entonces es: ¿busca la ciencia la verdad? Pues depende. No es una pregunta fácil. Unas veces sí la busca y otras veces no, pero lo interesante es averiguar cuándo y por qué lo hace o no lo hace.</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 la gran mayoría de los científicos podría traerles sin cuidado en su trabajo cotidiano eso de “buscar la verdad”, podrían estar interesados únicamente, en “hacer que las cosas funcionen lo mejor posible por el momento”, y aun así la tesis realista podría seguir siendo correcta. Además, no debe confundirse tampoco la verdad con la certeza. En la ciencia pueden lograrse muchas verdades aproximadas, pero no tantas certezas como se cree. En ella es frecuente tener que bregar con la incertidumbre, cosa que no sucede en las pseudociencias ni en la charlatanería, según parece”, agrega Dieguez.</w:t>
      </w:r>
    </w:p>
    <w:p w:rsidR="006B40B0" w:rsidRDefault="006B40B0" w:rsidP="006B40B0">
      <w:pPr>
        <w:shd w:val="clear" w:color="auto" w:fill="FFFFFF"/>
        <w:rPr>
          <w:rFonts w:ascii="Times New Roman" w:hAnsi="Times New Roman" w:cs="Times New Roman"/>
          <w:sz w:val="24"/>
          <w:szCs w:val="24"/>
        </w:rPr>
      </w:pPr>
      <w:r>
        <w:rPr>
          <w:rFonts w:ascii="Times New Roman" w:hAnsi="Times New Roman" w:cs="Times New Roman"/>
          <w:sz w:val="24"/>
          <w:szCs w:val="24"/>
        </w:rPr>
        <w:t>El “idioma” del suelo (cómo arruinarse sin conseguir nada a cambio): “me cago en la leche”</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La degradación del debate: la lucha contra el “calentamiento global” congela la actividad económica real y termina afectando por exceso a las partes más vulnerables de la sociedad.</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India (1.400 millones) y China (1.600 millones) no firman acuerdos climáticos, pero Xi Jinping es el padrino de Davos y la Agenda 2030 para Occidente.</w:t>
      </w:r>
    </w:p>
    <w:p w:rsidR="006B40B0" w:rsidRDefault="006B40B0" w:rsidP="006B40B0">
      <w:pPr>
        <w:shd w:val="clear" w:color="auto" w:fill="FFFFFF"/>
        <w:spacing w:line="240" w:lineRule="auto"/>
        <w:jc w:val="both"/>
        <w:rPr>
          <w:rFonts w:ascii="Times New Roman" w:hAnsi="Times New Roman" w:cs="Times New Roman"/>
          <w:color w:val="333333"/>
          <w:sz w:val="24"/>
          <w:szCs w:val="24"/>
          <w:shd w:val="clear" w:color="auto" w:fill="FFFFFF"/>
        </w:rPr>
      </w:pPr>
      <w:r>
        <w:rPr>
          <w:rFonts w:ascii="Times New Roman" w:hAnsi="Times New Roman" w:cs="Times New Roman"/>
          <w:color w:val="333333"/>
          <w:sz w:val="24"/>
          <w:szCs w:val="24"/>
          <w:shd w:val="clear" w:color="auto" w:fill="FFFFFF"/>
        </w:rPr>
        <w:t>India y China -un tercio de los habitantes del planeta- se negaron a firmar en Glasgow 21 la renuncia a las energías fósiles: gas, petróleo y, especialmente, carbón. El 88% de la energía en China es de origen fósil. Para aumentar la esperanza de vida humana es necesaria energía barata.</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Los países en desarrollo, con China y la India a la cabeza, seguirán aumentando su consumo energético en las próximas décadas, al menos un 30%. La UE no llega al 10% de la emisión de CO2 en el mundo. Lo que haga no tiene ninguna incidencia mundial si el CO3 fuera letal. Y no lo es.</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La subida del nivel del mar es de 3mm por año, 30 cm por siglo. Y no afecta a las costas rocosas. Las otras deben prohibir edificar cerca del mar, pero no dejan de aumentar las ganadas al mar, como en Bélgica y Holanda, y deltas gigantescos como el del Ganges. Hablar de “refugiados climáticos” es un invento mediático. Serán refugiados en paro huyendo del ecologismo.</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La subida real de la temperatura en la atmósfera es de 0,6º por siglo. En 2050, 1,3º superior a la de 1850, por debajo del 1,5 º del Acuerdo de París. Ni “urgencia climática”, ni “efecto invernadero” producido por el hombre.</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La subida actual de la temperatura es muy inferior a las épocas inter-glaciares. La geología, la historia, la literatura hablan de esos cambios del clima a los que la especie se fue adaptando y los aprovechó en su beneficio.</w:t>
      </w:r>
    </w:p>
    <w:p w:rsidR="006B40B0" w:rsidRDefault="006B40B0" w:rsidP="006B40B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 xml:space="preserve">La producción de CO2 por los humanos es sólo el 1% del que hay en la atmósfera. Casi todo es absorbido por los océanos y la vegetación. (Fuente: Libertad Digital - </w:t>
      </w:r>
      <w:r>
        <w:rPr>
          <w:rFonts w:ascii="Times New Roman" w:hAnsi="Times New Roman" w:cs="Times New Roman"/>
          <w:b/>
          <w:color w:val="202124"/>
          <w:sz w:val="24"/>
          <w:szCs w:val="24"/>
        </w:rPr>
        <w:t>4/9/22</w:t>
      </w:r>
      <w:r>
        <w:rPr>
          <w:rFonts w:ascii="Times New Roman" w:hAnsi="Times New Roman" w:cs="Times New Roman"/>
          <w:color w:val="202124"/>
          <w:sz w:val="24"/>
          <w:szCs w:val="24"/>
        </w:rPr>
        <w:t>)</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Entonces, ¿por qué quieren prohibirnos comer carne, en los países avanzados?</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razones ecológicas? Hay otros sectores económicos más dañinos, y nadie hace nada.</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cuidado de la salud? Si ese fuera el caso, ¿por qué no empezar por prohibir fumar?</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lo uno o por lo otro: ¿por qué no dan el ejemplo los “ricos y famosos”</w:t>
      </w:r>
      <w:r w:rsidR="0027299F">
        <w:rPr>
          <w:rFonts w:ascii="Times New Roman" w:hAnsi="Times New Roman" w:cs="Times New Roman"/>
          <w:sz w:val="24"/>
          <w:szCs w:val="24"/>
        </w:rPr>
        <w:t xml:space="preserve"> que comen chuletones de oro</w:t>
      </w:r>
      <w:r>
        <w:rPr>
          <w:rFonts w:ascii="Times New Roman" w:hAnsi="Times New Roman" w:cs="Times New Roman"/>
          <w:sz w:val="24"/>
          <w:szCs w:val="24"/>
        </w:rPr>
        <w:t>, viajan en jets privados, navegan en mega yates privados, o aumentan su sensación de invencibilidad, abusando de los opioides, el fentanilo, la etorfina, o del tusi?</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para que puedan comer carne de vaca en China? (Cuando descubran el chuletón, no querrán comer, nunca más, perros, gusanos, insectos, murciélagos, o pangolines).</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para que puedan hacer negocio los interesados en productos alternativos (Bill Gates)?</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solo un ejercicio de abuso de poder, con el intento de someter a la población?</w:t>
      </w:r>
    </w:p>
    <w:p w:rsidR="006B40B0" w:rsidRDefault="006B40B0" w:rsidP="006B40B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un caso destacado (leading case) de ingeniería social? ¿Cuál será el siguiente?</w:t>
      </w:r>
    </w:p>
    <w:p w:rsidR="006B40B0" w:rsidRDefault="006B40B0" w:rsidP="006B40B0">
      <w:pPr>
        <w:spacing w:line="240" w:lineRule="auto"/>
        <w:jc w:val="both"/>
        <w:rPr>
          <w:rFonts w:ascii="Times New Roman" w:hAnsi="Times New Roman" w:cs="Times New Roman"/>
          <w:color w:val="FF0000"/>
          <w:sz w:val="20"/>
          <w:szCs w:val="20"/>
        </w:rPr>
      </w:pPr>
      <w:r>
        <w:rPr>
          <w:rFonts w:ascii="Times New Roman" w:hAnsi="Times New Roman" w:cs="Times New Roman"/>
          <w:b/>
          <w:sz w:val="24"/>
          <w:szCs w:val="24"/>
        </w:rPr>
        <w:t>Cuando la estupidez juega un papel importante (el ecologismo extremo -radical- es prepotente, ciego, arbitrario, perjudicial, y tremendamente cruel)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¿Rozando el Apocalipsis? Siguiendo la “huella”… de carbono </w:t>
      </w:r>
    </w:p>
    <w:p w:rsidR="006B40B0" w:rsidRDefault="006B40B0" w:rsidP="006B40B0">
      <w:pPr>
        <w:pStyle w:val="NormalWeb"/>
        <w:shd w:val="clear" w:color="auto" w:fill="FFFFFF"/>
        <w:spacing w:after="360" w:afterAutospacing="0"/>
        <w:jc w:val="both"/>
        <w:rPr>
          <w:b/>
        </w:rPr>
      </w:pPr>
      <w:r>
        <w:rPr>
          <w:b/>
        </w:rPr>
        <w:t>Ideas “insostenibles”, para un mundo “sostenible” (engordando la sinrazón)</w:t>
      </w:r>
    </w:p>
    <w:p w:rsidR="006B40B0" w:rsidRDefault="006B40B0" w:rsidP="006B40B0">
      <w:pPr>
        <w:pStyle w:val="NormalWeb"/>
        <w:spacing w:before="0" w:beforeAutospacing="0" w:after="300" w:afterAutospacing="0"/>
        <w:jc w:val="both"/>
        <w:rPr>
          <w:b/>
        </w:rPr>
      </w:pPr>
      <w:r>
        <w:rPr>
          <w:b/>
        </w:rPr>
        <w:t xml:space="preserve">Entre “facciones” y “ficciones” (¿clima vs. capitalismo?) </w:t>
      </w:r>
    </w:p>
    <w:p w:rsidR="006B40B0" w:rsidRDefault="006B40B0" w:rsidP="006B40B0">
      <w:pPr>
        <w:pStyle w:val="NormalWeb"/>
        <w:spacing w:before="0" w:beforeAutospacing="0" w:after="300" w:afterAutospacing="0"/>
        <w:jc w:val="both"/>
      </w:pPr>
      <w:r>
        <w:t>Hay que evitar los pedos de las vacas…</w:t>
      </w:r>
    </w:p>
    <w:p w:rsidR="006B40B0" w:rsidRDefault="006B40B0" w:rsidP="006B40B0">
      <w:pPr>
        <w:pStyle w:val="NormalWeb"/>
        <w:spacing w:before="0" w:beforeAutospacing="0" w:after="300" w:afterAutospacing="0"/>
        <w:jc w:val="both"/>
      </w:pPr>
      <w:r>
        <w:t>No hay que comer más carne…</w:t>
      </w:r>
    </w:p>
    <w:p w:rsidR="006B40B0" w:rsidRDefault="006B40B0" w:rsidP="006B40B0">
      <w:pPr>
        <w:pStyle w:val="NormalWeb"/>
        <w:spacing w:before="0" w:beforeAutospacing="0" w:after="300" w:afterAutospacing="0"/>
        <w:jc w:val="both"/>
      </w:pPr>
      <w:r>
        <w:t>Hay que dejar de viajar en avión…</w:t>
      </w:r>
    </w:p>
    <w:p w:rsidR="006B40B0" w:rsidRDefault="006B40B0" w:rsidP="006B40B0">
      <w:pPr>
        <w:pStyle w:val="NormalWeb"/>
        <w:spacing w:before="0" w:beforeAutospacing="0" w:after="300" w:afterAutospacing="0"/>
        <w:jc w:val="both"/>
      </w:pPr>
      <w:r>
        <w:t>No hay que usar el automóvil particular…</w:t>
      </w:r>
    </w:p>
    <w:p w:rsidR="006B40B0" w:rsidRDefault="006B40B0" w:rsidP="006B40B0">
      <w:pPr>
        <w:pStyle w:val="NormalWeb"/>
        <w:spacing w:before="0" w:beforeAutospacing="0" w:after="300" w:afterAutospacing="0"/>
        <w:jc w:val="both"/>
      </w:pPr>
      <w:r>
        <w:t>No hay que usar la calefacción…</w:t>
      </w:r>
    </w:p>
    <w:p w:rsidR="006B40B0" w:rsidRDefault="006B40B0" w:rsidP="006B40B0">
      <w:pPr>
        <w:pStyle w:val="NormalWeb"/>
        <w:spacing w:before="0" w:beforeAutospacing="0" w:after="300" w:afterAutospacing="0"/>
        <w:jc w:val="both"/>
      </w:pPr>
      <w:r>
        <w:t>No hay que usar el aire acondicionado…</w:t>
      </w:r>
    </w:p>
    <w:p w:rsidR="006B40B0" w:rsidRDefault="006B40B0" w:rsidP="006B40B0">
      <w:pPr>
        <w:pStyle w:val="NormalWeb"/>
        <w:spacing w:before="0" w:beforeAutospacing="0" w:after="300" w:afterAutospacing="0"/>
        <w:jc w:val="both"/>
      </w:pPr>
      <w:r>
        <w:t>Todo debe ser verde… ecológico… ecosostenible… reciclable… circular…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que Al Gore (político, economista y filántropo estadounidense que sirvió como el 45º vicepresidente de los Estados Unidos bajo el mandato del presidente Bill Clinton; fue el candidato del Partido Demócrata para la elección presidencial de 2000 y perdió contra George W. Busch), protagonizara el documental “An Inconvenient True” (“Una Verdad Incómoda”) (2006), en el que se realizaba un análisis científico sobre las causas del cambio climático y las consecuencias que tendría para el mundo, por lo que instaba al desarrollo de energías limpias para evitar la destrucción del planeta, ganando el Oscar, y haciéndose (más) rico, como conferencista internacional del ecologismo “sandía” (verde por fuera y rojo por dentro)… ha llovido mucho, a veces demasiado… y casi nunca al gusto de todos.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ex vicepresidente del gobierno estadounidense recibió el premio Príncipe de Asturias de Cooperación Internacional 2007: “por su decisiva contribución a la solución de los graves problemas causados por el cambio climático que amenaza el planeta”.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en 2007, fue galardonado con el Premio Nobel de la Paz: “por su contribución a la reflexión y acción mundial contra el cambio climático”.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Profesor invitado en la Universidad Estatal de Tennessee Central, la Escuela de Posgrado de Periodismo de la Universidad de Columbia, la Universidad Fisk y la Universidad de California, Los Ángeles.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Fundador y presidente de la Alianza para la Protección de Clima; cofundador y presidente de la Generation Investment Management y Current TV.</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Miembro del Consejo de administración de Apple Inc. y asesor sénior de Google. Socio en la firma de capital de riesgo Kleiner Perkins Caufield &amp; Byer. Perteneció al Consejo de administración de World Resources Institute.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Desde Al Gore en adelante, mientras todo se torna más verde, ecológico, cercano, amigable, animalista, empático, progresista, moralmente superior, participativo, asociativo, feminista, igualitario, LGTBIQ, virtual, interactivo, viral, light, cool… en la política y en la economía, como en la vida, cada uno se queda con la explicación que más satisface sus intereses.</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¿Ecologistas o “ecolojetas”?… ¡al rincón de pensar!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retrato robot de los llamados “ecolojetas” es bien conocido: joven urbano, inmerso en el mercado pletórico, consumidor de mercancías que transitan, como él mismo, por las autovías a las que se opone. En muchos casos, propietario de un todoterreno de muchos caballos, o de un vehículo híbrido o eléctrico, conectado a la red de la que consume los kilovatios que, en un alto porcentaje, proceden de centrales eléctricas, cuya producción critican. Por supuesto, se opone a la energía nuclear; pero también a la generada en las centrales térmicas y a la eólica (cuando entorpece los flujos migratorios de las aves) y, en general, aunque viaje en avión, se le cae la baba con la posibilidad de retornar al primitivismo.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Lo fundamental es que, al tomar como parámetro de su acción “política” al mito de la “Naturaleza”, los ecologistas saltan por encima de las personas y de la nación. No les interesa su país, sino un ente indefinido y metafísico, portador de la “verdad” y la “bondad” perfectas (hasta el punto de que los tsunamis, terremotos y otros desastres se imputan a los “pecados” del hombre y su industria). Por esto les importa más el excremento de un lince, las encinas o las flores de primavera, que la vida de las personas que habitan el planeta.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Los “ecolojetas en acción” (presuntos expertos) jalean los informes sobre el cambio climático y sus conclusiones abrumadoras: el planeta va hacia la catástrofe, la culpa es nuestra y, ya no se puede hacer nada por evitarlo. Escenarios catastrofistas. Titulares apocalípticos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Hace 20 años que el mundo tal y como lo conocemos se iba a acabar en 20 años, no ha pasado nada de eso y sí han ocurrido otras cosas de las que nadie habla… En realidad, lo que ha ocurrido en estas dos décadas es la constatación de que, cuando no se la ata con políticas suicidas, la Humanidad tiene una capacidad casi infinita para afrontar retos incluso tan grandes como un posible -veremos si probable- calentamiento global que, por ahora, no ha matado a nadie.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Hace dos décadas nos decían exactamente lo mismo que nos dicen ahora: subida de las temperaturas, islas y playas tragadas inmisericordemente por el océano, palmeras en el norte de España, hambrunas… Y, por supuesto, nada de eso ha ocurrido.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Ustedes comprenderán que, con esos antecedentes, no pueda considerar a los “calentólogos” como una fuente muy fiable de predicciones, pero hay algo que todavía me hace desconfiar más: que ellos tampoco se las creen; así tenemos a los ecologistas negándose a recurrir a la energía nuclear, una alternativa energética completamente libre de CO2 pero que, sin embargo, lleva décadas frenada en buena parte del mundo -por ejemplo, en España- pese a tener más capacidad, ser mucho más barata y ofrecer un suministro infinitamente más fiable que sus competidoras. Sí, las centrales nucleares generan residuos que hay que gestionar, pero ¿qué importa eso cuando se dice que está en juego el propio planeta?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 xml:space="preserve"> - “El “Gran Reseteo” de Davos, y la “fórmula de la felicidad”, según Xi Jinping - ¿Está Occidente “preparado” para que China tome el relevo del Poder Mundial? (Parte I)”</w:t>
      </w:r>
      <w:r>
        <w:rPr>
          <w:rFonts w:ascii="Times New Roman" w:hAnsi="Times New Roman" w:cs="Times New Roman"/>
          <w:sz w:val="24"/>
          <w:szCs w:val="24"/>
        </w:rPr>
        <w:t xml:space="preserve">, publicado el </w:t>
      </w:r>
      <w:r>
        <w:rPr>
          <w:rFonts w:ascii="Times New Roman" w:hAnsi="Times New Roman" w:cs="Times New Roman"/>
          <w:b/>
          <w:sz w:val="24"/>
          <w:szCs w:val="24"/>
        </w:rPr>
        <w:t>15/9/22</w:t>
      </w:r>
      <w:r>
        <w:rPr>
          <w:rFonts w:ascii="Times New Roman" w:hAnsi="Times New Roman" w:cs="Times New Roman"/>
          <w:sz w:val="24"/>
          <w:szCs w:val="24"/>
        </w:rPr>
        <w:t>, decía:</w:t>
      </w:r>
    </w:p>
    <w:p w:rsidR="006B40B0" w:rsidRPr="0027299F" w:rsidRDefault="006B40B0" w:rsidP="006B40B0">
      <w:pPr>
        <w:spacing w:line="240" w:lineRule="auto"/>
        <w:jc w:val="both"/>
        <w:rPr>
          <w:rFonts w:ascii="Times New Roman" w:hAnsi="Times New Roman" w:cs="Times New Roman"/>
          <w:b/>
          <w:color w:val="FF0000"/>
          <w:sz w:val="24"/>
          <w:szCs w:val="24"/>
        </w:rPr>
      </w:pPr>
      <w:r w:rsidRPr="0027299F">
        <w:rPr>
          <w:rFonts w:ascii="Times New Roman" w:eastAsia="Times New Roman" w:hAnsi="Times New Roman" w:cs="Times New Roman"/>
          <w:b/>
          <w:bCs/>
          <w:color w:val="FF0000"/>
          <w:spacing w:val="-5"/>
          <w:kern w:val="36"/>
          <w:sz w:val="24"/>
          <w:szCs w:val="24"/>
          <w:lang w:eastAsia="es-ES"/>
        </w:rPr>
        <w:t>I</w:t>
      </w:r>
      <w:r w:rsidRPr="0027299F">
        <w:rPr>
          <w:rFonts w:ascii="Times New Roman" w:hAnsi="Times New Roman" w:cs="Times New Roman"/>
          <w:b/>
          <w:color w:val="FF0000"/>
          <w:sz w:val="24"/>
          <w:szCs w:val="24"/>
        </w:rPr>
        <w:t>ntroducción: “En 2030 no tendrás nada y serás feliz” (Xi Jinping dixit)</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u w:val="single"/>
        </w:rPr>
        <w:t>Qué es el Gran Reseteo, o Gran Reinicio</w:t>
      </w:r>
      <w:r>
        <w:rPr>
          <w:rFonts w:ascii="Times New Roman" w:hAnsi="Times New Roman" w:cs="Times New Roman"/>
          <w:sz w:val="24"/>
          <w:szCs w:val="24"/>
        </w:rPr>
        <w:t xml:space="preserve">?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Reseteo, o Gran Reinicio, da nombre a la propuesta del Foro Económico Mundial (WEF por las siglas en inglés) de transformar el modelo económico tras la pandemia. El WEF propone reconstruir la economía mundial y las relaciones internacionales de forma sostenible después de los daños producidos por el Covid-19. El plan, cuyo nombre original en inglés es The Great Reset, fue presentado en la sede del Foro en Davos (Suiza) en mayo de 2020 por el príncipe Carlos de Gales y el director de la organización, el economista alemán Klaus Schwab.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agosto de 2021 el Foro Económico Mundial, celebró una reunión virtual por razones sanitarias (que estaba programada en Singapur) para profundizar en su propuesta y alinearla con la Agenda 2030, la hoja de ruta de la ONU para el desarrollo.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políticas económicas concretas.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Foro Económico Mundial es una organización no gubernamental que, cada año desde 1971, celebra en Davos (Suiza)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 mejorar.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w:t>
      </w:r>
      <w:r>
        <w:rPr>
          <w:rFonts w:ascii="Times New Roman" w:hAnsi="Times New Roman" w:cs="Times New Roman"/>
          <w:sz w:val="24"/>
          <w:szCs w:val="24"/>
        </w:rPr>
        <w:lastRenderedPageBreak/>
        <w:t>ha sido apoyada por líderes políticos como Joe Biden, Emmanuel Macron o Justin Trudeau, presidentes de Estados Unidos, Francia y Canadá, y también por diversas celebridades, como la actriz británica Lily Cole.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 por parte de los economistas.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Asistentes al foro de Davos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¿Quién va a Davos? De los diez países con más asistentes al WEF de 2020, la mayoría son occidentales, salvo India, Japón y China. Fuente: Statista</w:t>
      </w:r>
    </w:p>
    <w:p w:rsidR="00DA27AD" w:rsidRDefault="006B40B0" w:rsidP="00D65ABE">
      <w:pPr>
        <w:spacing w:line="240" w:lineRule="auto"/>
        <w:jc w:val="both"/>
        <w:rPr>
          <w:rFonts w:ascii="Times New Roman" w:hAnsi="Times New Roman"/>
          <w:b/>
          <w:sz w:val="24"/>
          <w:szCs w:val="24"/>
        </w:rPr>
      </w:pPr>
      <w:r>
        <w:rPr>
          <w:noProof/>
          <w:lang w:eastAsia="es-ES"/>
        </w:rPr>
        <w:drawing>
          <wp:inline distT="0" distB="0" distL="0" distR="0" wp14:anchorId="28C5432C" wp14:editId="32AEB33F">
            <wp:extent cx="5731510" cy="2818151"/>
            <wp:effectExtent l="0" t="0" r="2540" b="1270"/>
            <wp:docPr id="146" name="Imagen 146"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descr="Asistentes foro de Davos"/>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31510" cy="2818151"/>
                    </a:xfrm>
                    <a:prstGeom prst="rect">
                      <a:avLst/>
                    </a:prstGeom>
                    <a:noFill/>
                    <a:ln>
                      <a:noFill/>
                    </a:ln>
                  </pic:spPr>
                </pic:pic>
              </a:graphicData>
            </a:graphic>
          </wp:inline>
        </w:drawing>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la polémica principal tiene que ver con la teoría de la conspiración surgida en torno al Gran Reinicio, que considera al WEF como un club de millonarios globalistas, que pretenden eliminar los Estados para formar un único Gobierno global. Aseguran que el Gran Reseteo es un plan para establecer una dictadura tecnológica gobernada por Klaus Schwab, director del WEF, y Bill Gates, fundador de Microsoft. La polémica la ha facilitado, en parte, el enigmático nombre del plan, así como alguno de sus patrocinadores o beneficiarios.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y todo, no puede decirse que no sea popular. El término “Great Reset” había recibido más de ocho millones de interacciones en Facebook y se ha compartido casi dos millones de veces en Twitter desde que se lanzó la iniciativa, hasta junio de 2021 según investigaciones de “BBC Monitoring”. </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Pantalla total: ¿cómo promueven el “mantra” del Gran Reseteo los Apóstoles de Davos?</w:t>
      </w:r>
    </w:p>
    <w:p w:rsidR="006B40B0" w:rsidRDefault="006B40B0" w:rsidP="006B40B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Ahora es el momento de un “gran reinicio</w:t>
      </w:r>
      <w:r>
        <w:rPr>
          <w:rFonts w:ascii="Times New Roman" w:hAnsi="Times New Roman" w:cs="Times New Roman"/>
          <w:sz w:val="24"/>
          <w:szCs w:val="24"/>
        </w:rPr>
        <w:t>” (</w:t>
      </w:r>
      <w:r>
        <w:rPr>
          <w:rFonts w:ascii="Times New Roman" w:hAnsi="Times New Roman" w:cs="Times New Roman"/>
          <w:b/>
          <w:sz w:val="24"/>
          <w:szCs w:val="24"/>
        </w:rPr>
        <w:t>3/6/20</w:t>
      </w:r>
      <w:r>
        <w:rPr>
          <w:rFonts w:ascii="Times New Roman" w:hAnsi="Times New Roman" w:cs="Times New Roman"/>
          <w:sz w:val="24"/>
          <w:szCs w:val="24"/>
        </w:rPr>
        <w:t>)</w:t>
      </w:r>
    </w:p>
    <w:p w:rsidR="006B40B0" w:rsidRDefault="006B40B0" w:rsidP="006B40B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En cada crisis, hay una oportunidad.</w:t>
      </w:r>
    </w:p>
    <w:p w:rsidR="006B40B0" w:rsidRDefault="006B40B0" w:rsidP="006B40B0">
      <w:pPr>
        <w:spacing w:before="100" w:beforeAutospacing="1" w:after="100" w:afterAutospacing="1"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(Por Klaus Schwab - Founder and Executive Chairman, World Economic Forum)</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Podemos salir de esta crisis un mundo mejor, si actuamos rápidamente y conjuntamente, escribe el profesor Klaus Schwab.</w:t>
      </w:r>
    </w:p>
    <w:p w:rsidR="006B40B0" w:rsidRDefault="006B40B0" w:rsidP="006B40B0">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Los cambios que ya hemos visto en respuesta a COVID-19 prueban que </w:t>
      </w:r>
      <w:r>
        <w:rPr>
          <w:rFonts w:ascii="Times New Roman" w:hAnsi="Times New Roman" w:cs="Times New Roman"/>
          <w:sz w:val="24"/>
          <w:szCs w:val="24"/>
          <w:u w:val="single"/>
        </w:rPr>
        <w:t>es posible un restablecimiento de nuestros fundamentos económicos y sociales.</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Esta es nuestra mejor oportunidad para instigar el capitalismo de las partes interesadas, y así es como se puede lograr.</w:t>
      </w:r>
    </w:p>
    <w:p w:rsidR="006B40B0" w:rsidRDefault="006B40B0" w:rsidP="006B40B0">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Puede que las medidas de confinamiento decretadas como consecuencia de la COVID-19 empiecen a relajarse gradualmente, pero </w:t>
      </w:r>
      <w:r>
        <w:rPr>
          <w:rFonts w:ascii="Times New Roman" w:hAnsi="Times New Roman" w:cs="Times New Roman"/>
          <w:sz w:val="24"/>
          <w:szCs w:val="24"/>
          <w:u w:val="single"/>
        </w:rPr>
        <w:t>la ansiedad con respecto a las perspectivas mundiales en materia económica y social no deja de crecer</w:t>
      </w:r>
      <w:r>
        <w:rPr>
          <w:rFonts w:ascii="Times New Roman" w:hAnsi="Times New Roman" w:cs="Times New Roman"/>
          <w:sz w:val="24"/>
          <w:szCs w:val="24"/>
        </w:rPr>
        <w:t xml:space="preserve">. Existen buenas razones para preocuparse: </w:t>
      </w:r>
      <w:r>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Dicho de otro modo: nos hace falta un “Gran Reinicio” del capitalismo.</w:t>
      </w:r>
    </w:p>
    <w:p w:rsidR="006B40B0" w:rsidRDefault="006B40B0" w:rsidP="006B40B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u w:val="single"/>
        </w:rPr>
        <w:t>Existen numerosas razones para apostar por un Gran Reinicio, pero la más urgente es la COVID-19.</w:t>
      </w:r>
      <w:r>
        <w:rPr>
          <w:rFonts w:ascii="Times New Roman" w:hAnsi="Times New Roman" w:cs="Times New Roman"/>
          <w:sz w:val="24"/>
          <w:szCs w:val="24"/>
        </w:rPr>
        <w:t xml:space="preserve"> La pandemia, que ya ha causado cientos de miles de fallecimientos, representa una de las peores crisis de la sanidad pública de nuestra historia reciente. Y teniendo en cuenta que el número de víctimas sigue creciendo en muchos lugares del mundo, todavía tardaremos mucho en ver el final.</w:t>
      </w:r>
    </w:p>
    <w:p w:rsidR="006B40B0" w:rsidRDefault="006B40B0" w:rsidP="006B40B0">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Todo esto empeorará las crisis climática y social que ya estábamos viviendo</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Algunos países ya han utilizado la crisis provocada por la COVID-19 como excusa para rebajar las medidas de protección y cumplimiento medioambiental. Y los sentimientos de frustración con respecto a los problemas sociales como el aumento de la desigualdad -el patrimonio acumulado de los multimillonarios estadounidenses ha aumentado durante la crisis- se están intensificando.</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 xml:space="preserve">Si no se abordan, estas crisis, sumadas a la COVID-19, se intensificarán y harán que el mundo sea aún menos sostenible, menos equitativo y más frágil. Para evitar este escenario no bastará con medidas graduales y soluciones ad hoc. </w:t>
      </w:r>
      <w:r>
        <w:rPr>
          <w:rFonts w:ascii="Times New Roman" w:hAnsi="Times New Roman" w:cs="Times New Roman"/>
          <w:color w:val="FF0000"/>
          <w:sz w:val="24"/>
          <w:szCs w:val="24"/>
          <w:u w:val="single"/>
        </w:rPr>
        <w:t>Debemos forjar unos cimientos completamente nuevos sobre los que sustentar nuestros sistemas económicos y sociales.</w:t>
      </w:r>
    </w:p>
    <w:p w:rsidR="006B40B0" w:rsidRDefault="006B40B0" w:rsidP="006B40B0">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sz w:val="24"/>
          <w:szCs w:val="24"/>
        </w:rPr>
        <w:lastRenderedPageBreak/>
        <w:t xml:space="preserve">Para ello se requiere un nivel de cooperación y ambición sin precedentes, pero no es un sueño imposible. Es más, </w:t>
      </w:r>
      <w:r>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6B40B0" w:rsidRDefault="006B40B0" w:rsidP="006B40B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Asimismo, los ciudadanos han demostrado con creces que están dispuestos a hacer sacrificios para el bien de la atención sanitaria y otros trabajadores esenciales y grupos de población vulnerables, como los ancianos. Y muchas empresas han intensificado las medidas para ayudar a sus trabajadores, clientes y comunidades locales en lo que constituye un cambio hacia el tipo de capitalismo de las partes interesadas por el que ya habían abogado de boquilla.</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 Harán falta unos gobiernos más robustos y eficaces, aunque esto no implica un impulso ideológico hacia gobiernos más grandes. Y se requerirá la colaboración entre los sectores público y privado en cada etapa del camino.</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b/>
          <w:color w:val="FF0000"/>
          <w:sz w:val="24"/>
          <w:szCs w:val="24"/>
          <w:u w:val="single"/>
        </w:rPr>
        <w:t xml:space="preserve">La agenda del Gran Reinicio tendrá tres componentes principales. El primero orientará el mercado hacia unos resultados más justos. </w:t>
      </w:r>
      <w:r>
        <w:rPr>
          <w:rFonts w:ascii="Times New Roman" w:hAnsi="Times New Roman" w:cs="Times New Roman"/>
          <w:color w:val="FF0000"/>
          <w:sz w:val="24"/>
          <w:szCs w:val="24"/>
          <w:u w:val="single"/>
        </w:rPr>
        <w:t>Para ello, los gobiernos deberían mejorar la coordinación (por ejemplo, en materia de políticas tributarias, reglamentarias y fiscales), actualizar los acuerdos comerciales, y crear las condiciones de una «economía de las partes interesadas». En un momento de reducción de las bases impositivas y crecimiento de la deuda pública, los gobiernos tienen un poderoso incentivo para impulsar estas medidas.</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 el comercio y la competencia.</w:t>
      </w:r>
    </w:p>
    <w:p w:rsidR="006B40B0" w:rsidRDefault="006B40B0" w:rsidP="006B40B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b/>
          <w:color w:val="FF0000"/>
          <w:sz w:val="24"/>
          <w:szCs w:val="24"/>
          <w:u w:val="single"/>
        </w:rPr>
        <w:t>El segundo componente de la agenda del Gran Reinicio garantizaría que las inversiones promuevan objetivos comunes, como la igualdad y la sostenibilidad</w:t>
      </w:r>
      <w:r>
        <w:rPr>
          <w:rFonts w:ascii="Times New Roman" w:hAnsi="Times New Roman" w:cs="Times New Roman"/>
          <w:sz w:val="24"/>
          <w:szCs w:val="24"/>
        </w:rPr>
        <w:t>. En este sentido, los programas de gasto a gran escala que están aplicando muchos gobiernos representan una gran oportunidad para el progreso. Por un lado, la Comisión Europea ha dado a conocer su intención de poner en marcha un fondo de recuperación de 750.000 millones de euros (826.000 millones de dólares de los Estados Unidos). Los Estados Unidos, China y el Japón también tienen planes ambiciosos de estímulo económico.</w:t>
      </w:r>
    </w:p>
    <w:p w:rsidR="006B40B0" w:rsidRDefault="006B40B0" w:rsidP="006B40B0">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creación de infraestructura urbana “verde” y en proponer incentivos para que las industrias mejoren su trayectoria de métricas medioambientales, sociales y de gobernanza.</w:t>
      </w:r>
    </w:p>
    <w:p w:rsidR="006B40B0" w:rsidRDefault="006B40B0" w:rsidP="006B40B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b/>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Pr>
          <w:rFonts w:ascii="Times New Roman" w:hAnsi="Times New Roman" w:cs="Times New Roman"/>
          <w:sz w:val="24"/>
          <w:szCs w:val="24"/>
        </w:rPr>
        <w:t xml:space="preserve"> Durante la crisis de la COVID-19, las </w:t>
      </w:r>
      <w:r>
        <w:rPr>
          <w:rFonts w:ascii="Times New Roman" w:hAnsi="Times New Roman" w:cs="Times New Roman"/>
          <w:sz w:val="24"/>
          <w:szCs w:val="24"/>
        </w:rPr>
        <w:lastRenderedPageBreak/>
        <w:t>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lanzasen iniciativas concertadas similares en todos los sectores.</w:t>
      </w:r>
    </w:p>
    <w:p w:rsidR="006B40B0" w:rsidRDefault="006B40B0" w:rsidP="006B40B0">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w:t>
      </w:r>
      <w:r>
        <w:rPr>
          <w:rFonts w:ascii="Times New Roman" w:hAnsi="Times New Roman" w:cs="Times New Roman"/>
          <w:color w:val="FF0000"/>
          <w:sz w:val="24"/>
          <w:szCs w:val="24"/>
          <w:u w:val="single"/>
        </w:rPr>
        <w:t>Al contrario, la pandemia representa una oportunidad, inusual y reducida, para reflexionar, reimaginar y reiniciar nuestro mundo y forjar un futuro más sano, más equitativo y más próspero.</w:t>
      </w:r>
    </w:p>
    <w:p w:rsidR="000B4D93"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Davos (2021-2022) puso el huevo… y China (2022-…?) se lo comió, se lo comió…</w:t>
      </w:r>
    </w:p>
    <w:p w:rsidR="006B40B0" w:rsidRPr="000B4D93"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Xi Jinping inaugura Davos como invitado de honor y advierte: “El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28/1/21</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mandatario comunista ha inaugurado la cumbre con un discurso triunfalista y un manual de órdenes dirigidas a los líderes mundiales.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lastRenderedPageBreak/>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Pr>
          <w:rFonts w:ascii="Times New Roman" w:hAnsi="Times New Roman" w:cs="Times New Roman"/>
          <w:sz w:val="24"/>
          <w:szCs w:val="24"/>
        </w:rPr>
        <w:t xml:space="preserve">. </w:t>
      </w:r>
      <w:r>
        <w:rPr>
          <w:rFonts w:ascii="Times New Roman" w:hAnsi="Times New Roman" w:cs="Times New Roman"/>
          <w:sz w:val="24"/>
          <w:szCs w:val="24"/>
          <w:u w:val="single"/>
        </w:rPr>
        <w:t>El propio embajador taiwanés en España, José María Liu, denunció esta situación a Libertad Digital en una video-entrevista.</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Pr>
          <w:rFonts w:ascii="Times New Roman" w:hAnsi="Times New Roman" w:cs="Times New Roman"/>
          <w:b/>
          <w:color w:val="FF0000"/>
          <w:sz w:val="24"/>
          <w:szCs w:val="24"/>
          <w:u w:val="single"/>
        </w:rPr>
        <w:t>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Pr>
          <w:rFonts w:ascii="Times New Roman" w:hAnsi="Times New Roman" w:cs="Times New Roman"/>
          <w:color w:val="FF0000"/>
          <w:sz w:val="24"/>
          <w:szCs w:val="24"/>
          <w:u w:val="single"/>
        </w:rPr>
        <w:t>. Sin embargo, China está lejos de ser un lugar que preserva las libertades de los ciudadanos.</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Partido Comunista Chino como “centros de educación ideológica y entrenamiento profesional”.</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Pr>
          <w:rFonts w:ascii="Times New Roman" w:hAnsi="Times New Roman" w:cs="Times New Roman"/>
          <w:sz w:val="24"/>
          <w:szCs w:val="24"/>
        </w:rPr>
        <w:t xml:space="preserve">. </w:t>
      </w:r>
      <w:r>
        <w:rPr>
          <w:rFonts w:ascii="Times New Roman" w:hAnsi="Times New Roman" w:cs="Times New Roman"/>
          <w:sz w:val="24"/>
          <w:szCs w:val="24"/>
          <w:u w:val="single"/>
        </w:rPr>
        <w:t>Tampoco lo ha hecho EEUU</w:t>
      </w:r>
      <w:r>
        <w:rPr>
          <w:rFonts w:ascii="Times New Roman" w:hAnsi="Times New Roman" w:cs="Times New Roman"/>
          <w:sz w:val="24"/>
          <w:szCs w:val="24"/>
        </w:rPr>
        <w:t xml:space="preserve">, después de que Trump pusiera los puntos sobre las íes al Partido Comunista Chino. </w:t>
      </w:r>
      <w:r>
        <w:rPr>
          <w:rFonts w:ascii="Times New Roman" w:hAnsi="Times New Roman" w:cs="Times New Roman"/>
          <w:sz w:val="24"/>
          <w:szCs w:val="24"/>
          <w:u w:val="single"/>
        </w:rPr>
        <w:t>La Administración de Joe Biden</w:t>
      </w:r>
      <w:r>
        <w:rPr>
          <w:rFonts w:ascii="Times New Roman" w:hAnsi="Times New Roman" w:cs="Times New Roman"/>
          <w:sz w:val="24"/>
          <w:szCs w:val="24"/>
        </w:rPr>
        <w:t xml:space="preserve">, en cambio, </w:t>
      </w:r>
      <w:r>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6B40B0" w:rsidRDefault="006B40B0" w:rsidP="006B40B0">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6B40B0" w:rsidRDefault="006B40B0" w:rsidP="006B40B0">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 xml:space="preserve">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w:t>
      </w:r>
      <w:r>
        <w:rPr>
          <w:rFonts w:ascii="Times New Roman" w:hAnsi="Times New Roman" w:cs="Times New Roman"/>
          <w:color w:val="FF0000"/>
          <w:sz w:val="24"/>
          <w:szCs w:val="24"/>
          <w:u w:val="single"/>
        </w:rPr>
        <w:lastRenderedPageBreak/>
        <w:t>polémicos eslóganes bajo el título de “El Gran Reinicio”.</w:t>
      </w:r>
      <w:r>
        <w:rPr>
          <w:rFonts w:ascii="Times New Roman" w:hAnsi="Times New Roman" w:cs="Times New Roman"/>
          <w:color w:val="FF0000"/>
          <w:sz w:val="24"/>
          <w:szCs w:val="24"/>
        </w:rPr>
        <w:t xml:space="preserve"> </w:t>
      </w:r>
      <w:r>
        <w:rPr>
          <w:rFonts w:ascii="Times New Roman" w:hAnsi="Times New Roman" w:cs="Times New Roman"/>
          <w:sz w:val="24"/>
          <w:szCs w:val="24"/>
        </w:rPr>
        <w:t>En España, por ejemplo, la agenda 2030 está a cargo del vicepresidente comunista Pablo Iglesias.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Klaus Schwab, el fundador marxista de Davos, trabaja para que estas directrices se cumplan y los países sigan un mismo guion. No es de extrañar que el economista alemán muestre su simpatía por Xi Jinping y haya despreciado, junto a otros millonarios, como Bill Gates, y políticos colaboradores de Davos, al gobierno de Donald Trump.</w:t>
      </w:r>
    </w:p>
    <w:p w:rsidR="006B40B0" w:rsidRDefault="006B40B0" w:rsidP="006B40B0">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En 2030 no tendrás nada y serás feliz”: el proyecto comunista mundial que aplauden Macron y Merkel en Davos</w:t>
      </w:r>
      <w:r>
        <w:rPr>
          <w:rFonts w:ascii="Times New Roman" w:hAnsi="Times New Roman" w:cs="Times New Roman"/>
          <w:sz w:val="24"/>
          <w:szCs w:val="24"/>
        </w:rPr>
        <w:t xml:space="preserve"> (Libertad Digital - </w:t>
      </w:r>
      <w:r>
        <w:rPr>
          <w:rFonts w:ascii="Times New Roman" w:hAnsi="Times New Roman" w:cs="Times New Roman"/>
          <w:b/>
          <w:sz w:val="24"/>
          <w:szCs w:val="24"/>
        </w:rPr>
        <w:t>31/1/21</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China ya no admitirá que ningún país, empezando por los USA, discuta su poder militar, ni económico, ni político, o sea, dictatorial.</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(Por Federico Jiménez Losantos)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A 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 con un límite brevísimo: 2030.</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 si nada hacemos, nada pasará.</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eclipse de los USA de Biden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 sí hubiera ido. Y coincidido.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para afianzar el multilateralismo.</w:t>
      </w:r>
    </w:p>
    <w:p w:rsidR="0006728A" w:rsidRDefault="0006728A" w:rsidP="006B40B0">
      <w:pPr>
        <w:spacing w:line="240" w:lineRule="auto"/>
        <w:jc w:val="both"/>
        <w:rPr>
          <w:rFonts w:ascii="Times New Roman" w:hAnsi="Times New Roman" w:cs="Times New Roman"/>
          <w:sz w:val="24"/>
          <w:szCs w:val="24"/>
        </w:rPr>
      </w:pPr>
    </w:p>
    <w:p w:rsidR="0006728A" w:rsidRDefault="0006728A" w:rsidP="006B40B0">
      <w:pPr>
        <w:spacing w:line="240" w:lineRule="auto"/>
        <w:jc w:val="both"/>
        <w:rPr>
          <w:rFonts w:ascii="Times New Roman" w:hAnsi="Times New Roman" w:cs="Times New Roman"/>
          <w:sz w:val="24"/>
          <w:szCs w:val="24"/>
        </w:rPr>
      </w:pP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Tres agentes siniestros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Davos por tres agentes siniestros.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primer criminal es el mayordomo: el Foro Económico Mundial, un coloquio de economistas progres convertido en la típica organización-pantalla comunista, como las que Münzenberg creó para Stalin, cuyo jefe actual Xi Jinping fue recibido así por el fundador del WEF Klaus Schwab:</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“Tenemos que comenzar una nueva era global y contamos con usted. Muchas gracias, señor presidente, por esta declaración de principios y por recordarnos que somos parte de una comunidad global que comparte el mismo futuro común”.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Occidente servil, ciego, rastrero.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Porque el segundo agente y la verdadera estrella de Davos fue Xi Jinping. Su discurso, arrogante y falaz, fue de puro autobombo comunista: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equilibrada y beneficiosa para todos”.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No hay más que ver lo inclusivo que este padrecito de los pueblos, como se proclamaba Stalin, es con los chinos que no le obedecen para ver que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donde no haga trampas, como suele?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se van a respetar sus productos?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Macron resetea sus ideas y se hace rojo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Trabajará como Schroeder en Gazprom.</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Chapoteando en ese engendro maoísta y xinpingiano llamado “el gran reseteo”, la autocrítica y el lavado de cerebro comunistas de siempre, Macron, que viene de la Banca Rostchild, fue </w:t>
      </w:r>
      <w:r>
        <w:rPr>
          <w:rFonts w:ascii="Times New Roman" w:hAnsi="Times New Roman" w:cs="Times New Roman"/>
          <w:sz w:val="24"/>
          <w:szCs w:val="24"/>
        </w:rPr>
        <w:lastRenderedPageBreak/>
        <w:t>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pero al precio de la desigualdad”</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Está a la vista que Taiwán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Greta Zombi, en su jet, aplaudiría.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lo prescriben, no lo practican.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Las frases de Davos que harán licuarse a Pablo Iglesias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 vídeo es digno de ver y temer.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“No poseerás nada y serás feliz”</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“Podrás alquilar cualquier cosa que necesites y te la llevará un dron a casa”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puedo alquilar nada si no tengo dinero ni casa en propiedad? ¿El Estado Comunista, el Gran Hermano decidirá el dron que me abastecerá?</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“Estados Unidos no será la primera potencia mundial. Un puñado de países lo sustituirán”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¿Qué puñado? ¿Y de quién será el puño: China, Rusia, Irán? ¡Mal cambio!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tendrás que esperar a un donante de órgano. No se harán trasplantes de órganos, sino que éstos se crearán.”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¿Se negará a los que quieran tener propiedades? ¿Quién los adjudicará?</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“Comerás menos carne. No será un alimento básico. Para el bien del medio ambiente y de tu propia salud”.</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¡Oh, Gran Hermano Vegetariano! ¿Podremos opinar sobre nuestra dieta?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“Mil millones de personas tendrán que desplazarse por el cambio climático. Tendremos que hacer un mejor trabajo de bienvenida e integración de esos refugiados”.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¿Para qué gastar en el cambio climático, si se sabemos los que se van a desplazar? ¿Y quién dice que lo hacen o harán por el cambio climático?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“Las empresas pagan por el Dióxido de carbono. Habrá un precio global estandarizado para el carbón. Esto acelerará la desaparición del uso de combustibles fósiles”.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Las empresas ya pagan, y los consumidores en la factura, los cambios de política energética. ¿Quién fijará el precio del carbón: el Soviet Supremo? ¿Qué hay de la energía nuclear?</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 humanidad podría viajar a Marte”.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“Los científicos están trabajando para hacer una estancia saludable en el espacio, lo cual puede facilitar la investigación”.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¿Quién los paga, y para qué, si ya no tenemos nada y somos felices aquí?</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“Los valores occidentales serán puestos a prueba”.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¿Por quién? ¿Y los no occidentales? ¿Y Xi Jinping, Putin y Kim Jong Un?</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“Los valores que sustentan nuestras democracias deben ser considerados”.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O sea, anulados. En eso coinciden comunistas como Iglesias, yihadistas y demás liberticidas.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 enseñanza de Davos es que el comunismo está más vivo que nunca y que cada vez hay más idiotas dispuestos a imponérnoslo.</w:t>
      </w:r>
    </w:p>
    <w:p w:rsidR="006B40B0" w:rsidRDefault="006B40B0" w:rsidP="006B40B0">
      <w:pPr>
        <w:pStyle w:val="NormalWeb"/>
        <w:shd w:val="clear" w:color="auto" w:fill="FFFFFF"/>
        <w:jc w:val="both"/>
        <w:rPr>
          <w:b/>
        </w:rPr>
      </w:pPr>
      <w:r>
        <w:rPr>
          <w:b/>
        </w:rPr>
        <w:t>Nota (I): En busca de un nuevo “cielo protector” para el capitalismo occidental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tiempos actuales ya no son los que fueron, y para recordarlo vino el presidente de China, Xi Jinping, con contundentes mensajes desde el Foro de Davos. Primero, con la pandemia, en la que China, con los datos oficiales, ha salido sin graves daños, ni sanitarios ni, evidentemente, económicos. Varias decenas de miles de fallecimientos en un país de más de mil cuatrocientos millones de personas son la evidencia de una gestión muy eficaz. Y en lo económico, China ha sido el único país cuya economía ha crecido ante el desplome de las economías occidentales. Con todo, los mensajes de Xi Jinping en Davos son diametralmente opuestos a los de Biden. Contra el liderazgo americano, Xi Jinping propone una coordinación global para promover una economía sostenible, inclusiva y balanceada. Contra el buscado predominio democrático occidental, propone </w:t>
      </w:r>
      <w:r>
        <w:rPr>
          <w:rFonts w:ascii="Times New Roman" w:hAnsi="Times New Roman" w:cs="Times New Roman"/>
          <w:b/>
          <w:sz w:val="24"/>
          <w:szCs w:val="24"/>
        </w:rPr>
        <w:lastRenderedPageBreak/>
        <w:t>abandonar los prejuicios ideológicos en un entorno de coexistencia pacífica. En la idea de Biden de promover las alianzas entre iguales dejando de lado a los otros y potenciar las clases medias para competir contra China, Xi Jinping propone disminuir las diferencias entre países desarrollados y países en vías de desarrollo, para concluir que se debería trabajar entre todos contra los desafíos globales y así crear un mejor futuro para la humanidad.</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Xi Jinping continuó su disertación abogando por la cooperación en lugar de la confrontación; propuso promover el cumplimiento de las leyes internacionales en lugar de buscar cada uno las suyas; y, para terminar, ser abiertos e inclusivos en lugar de cerrados y contrarios al cambio. De esta manera, según Xi, China trata de llevar a cabo una estrategia en la que todos ganen, manteniendo un desarrollo sostenible en base a la innovación, la ciencia y la tecnología, facilitando un nuevo tipo de relaciones internacionales.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Todo apunta a que estas dos visiones acabarán chocando, pues una, la de Biden, se ajusta a una primacía moral como base de un liderazgo superior, mientras que la otra, la de Xi Jinping, camina al hilo de la estrategia de Deng Xiaoping, el gran transformador de la China actual: observa y analiza con calma; fortalece tu propia posición; emprende los cambios con confianza; oculta tu verdadero potencial; contribuye con tu parte; y nunca te conviertas en un líder. De momento, todo parece que China lleva la delantera.</w:t>
      </w:r>
    </w:p>
    <w:p w:rsidR="006B40B0" w:rsidRDefault="006B40B0" w:rsidP="006B40B0">
      <w:pPr>
        <w:pStyle w:val="NormalWeb"/>
        <w:shd w:val="clear" w:color="auto" w:fill="FFFFFF"/>
        <w:jc w:val="both"/>
        <w:rPr>
          <w:b/>
        </w:rPr>
      </w:pPr>
      <w:r>
        <w:rPr>
          <w:b/>
        </w:rPr>
        <w:t xml:space="preserve">Nota (II): El riesgo de Occidente, a la luz de la crisis sanitaria -2020-, causada, negada, o desinformada por China, y/o de la invasión de Ucrania por parte de Rusia -2022-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independencia económica, y la seguridad alimentaria, energética, o militar tienen un precio, ¿quién lo paga? ¿Hasta dónde se deben soportar chantajes? ¿Qué nivel de dependencia, o sesión de soberanía, puede ser calificado como una claudicación o rendición del Occidente?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que “relato” puede justificar Davos (el Gran Reseteo) los desastres que llaman a la puerta de los países occidentales?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¿Cómo sacudirse las responsabilidades del “multilateralismo” en este periodo negro en el que nos adentramos y que se prolongará, previsiblemente, por varios años, y durante las siguientes citas, de los “amos del universo” -presenciales o por video-conferencia- en la Montaña Mágica de Davos?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¿Continuarán con sus “excusas estúpidas, alegaciones asnales, y molicie argumental”?, como diría Erasmo.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¿Seguirán con la “matraca” de la perspectiva de género, el sexo fluido, el feminismo extremo, la resiliencia, el ecologismo radical, la taxonomía, el animalismo, la conectividad, la realidad virtual, la disrupción, las plataformas, el big data, el tráfico de datos, los algoritmos, la nube, la robotización, la inteligencia artificial, el metaverso, el bitcoin, el fintech, el empoderamiento, la altura de miras, el consenso, y el disfrute del momento sin confiar en el mañana?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Parece que vivimos tiempos en los que hacer el ridículo apenas tiene consecuencias (políticas o empresariales), o lo que es lo mismo, hay un montón de gente que está dispuesta a ser benevolente antes las payasadas.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 “Larga Marcha” del “capitalismo” chino (de Deng Xiaoping a Xi Jinping)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Gato negro, gato blanco”, así ha cambiado China 25 años después de la muerte de Deng Xiaoping</w:t>
      </w:r>
      <w:r>
        <w:rPr>
          <w:rFonts w:ascii="Times New Roman" w:hAnsi="Times New Roman" w:cs="Times New Roman"/>
          <w:sz w:val="24"/>
          <w:szCs w:val="24"/>
        </w:rPr>
        <w:t xml:space="preserve"> (El Español - </w:t>
      </w:r>
      <w:r>
        <w:rPr>
          <w:rFonts w:ascii="Times New Roman" w:hAnsi="Times New Roman" w:cs="Times New Roman"/>
          <w:b/>
          <w:sz w:val="24"/>
          <w:szCs w:val="24"/>
        </w:rPr>
        <w:t>19/2/22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El gigante asiático se ha transformado como país en el siglo XXI multiplicando su PIB y convirtiéndose en el máximo competidor con EEUU. </w:t>
      </w:r>
    </w:p>
    <w:p w:rsidR="006B40B0" w:rsidRDefault="006B40B0" w:rsidP="006B40B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“Gato negro o gato blanco, lo importante es que cace ratones”. La expresión de Deng Xiaoping, pronunciada en 1962 ante el comité central del Partido Comunista Chino, presidido por entonces por Mao Zedong, resume a la perfección la filosofía política del pragmático líder revolucionario…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¿“Gatazos” o “gatitos”?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¿Piensan los “gatazos” de Wall Street, Silicon Valley, o Davos… que van a poder “arrear” a los “gatos negros o blancos” chinos? ¿Cree Jamie Dimon (JPMorgan Chase), Larry Fink (BlackRock y Vanguard), David Solomon (Goldman Sachs), Mark Zuckerberg (Facebook - Meta), Jeffrey Bezos (Amazon), Tim Cook (Apple), Larry Page (Google), Sundar Pichai (Google), Steven Ballmer (Microsoft), Bill Gates (Microsoft), Satya Nadella (Microsoft), Reed Hastings (Netflix), o Klaus M. Schwab (World Economic Forum) y sus “titiriteros”… que va a poder “abducir” a “Winnie the Pooh” (Xi Jinping)?</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¿Presumen los “amos del universo” y sus “procuradores”, que se moverán tan fácil por los pasillos de la Cuidad Prohibida de Beijing (China), como lo hacen por los pasillos de la Casa Blanca, del Capitolio de Washington (Estados Unidos), o por los despachos de la Comisión Europea (Bruselas - Bélgica - Unión Europea)?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¿Creen realmente que “el fin de la historia” es la “cortina de humo” que crearon en Hollywood, traficaron en Wall Street, virtualizaron en Silicon Valley, y cabildearon en Washington S.A.?  ¿Suponen que en China también podrán ser el “poder en la sombra”?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Antes de “bendecir” el Gran Reseteo (capitulación ante China), piensen...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Al final, si la apuesta a favor de China, para que presida el “Gran Reseteo”, sale mal -como presumo- los “davosianos” deberán reconocer que: “el infierno fuimos nosotros”.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Al margen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Así nos lleva la Unión Europea a la “planificación verde” de la economía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En Lectures on the Philosophy of History, Hegel escribió que “si la experiencia y la historia nos enseñan algo es que los pueblos y los gobiernos nunca han aprendido nada de la historia, ni han actuado según los principios deducidos de las experiencias pasadas”.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 instituciones comunitarias han introducido una nueva regulación taxonómica que dicta qué inversiones son “buenas” y cuáles son “malas”.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Reglamento de Taxonomía establece criterios para determinar si una actividad económica califica como “ambientalmente sostenible” o no. Ya no son las empresas, sino los políticos y los funcionarios los que determinan qué inversiones se deben realizar. El impacto de tales decisiones nos lo encontramos, por ejemplo, en la discusión sobre si la energía nuclear y el gas deben calificar o no como sostenibles. Los miembros del Partido Verde de Alemania se oponen a la energía nuclear por razones ideológicas. Los franceses, en cambio, están a favor. ¿Y cuál es el resultado? Las consideraciones y los compromisos políticos entre estos grupos determinan en última instancia el panorama de inversión. Miles de millones fluyen a uno u otro sector dependiendo de esa negociación, en vez de moverse en base a decisiones de mercado. (Fuente: Libertad Digital - </w:t>
      </w:r>
      <w:r>
        <w:rPr>
          <w:rFonts w:ascii="Times New Roman" w:hAnsi="Times New Roman" w:cs="Times New Roman"/>
          <w:b/>
          <w:sz w:val="24"/>
          <w:szCs w:val="24"/>
        </w:rPr>
        <w:t>20/1/22</w:t>
      </w:r>
      <w:r>
        <w:rPr>
          <w:rFonts w:ascii="Times New Roman" w:hAnsi="Times New Roman" w:cs="Times New Roman"/>
          <w:sz w:val="24"/>
          <w:szCs w:val="24"/>
        </w:rPr>
        <w:t>)</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Lo mismo se aplica a los objetivos de emisiones de CO2 que se han fijado para toda la flota de automóviles vendidos en la UE. Ya no serán los fabricantes de automóviles, y en última instancia los consumidores, quienes decidan qué modelos van a más. Ahora es el Estado el que toma esa decisión. En Alemania, Oliver Luksic, experto en transporte del FDP y Secretario de Estado Parlamentario del Ministro Federal de Asuntos Digitales y Transporte, ha afirmado lo siguiente: “hemos entrado en la era de la economía verde planificada”, ya no se trata de oferta y demanda, sino de un Estado que nos dice qué automóviles se fabrican y cuáles no.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El tercer ejemplo: la Comisión Europea quiere obligar a los Estados miembros a hacer cumplir una serie de estándares mínimos de eficiencia energética en las construcciones. Así, los propietarios de bienes inmuebles deberán modernizar sus edificios antes de 2030 de acuerdo con especificaciones muy estrictas, al igual que deberán hacer los edificios públicos antes de 2027. El 15 por ciento de los aproximadamente 220 millones de hogares en la UE se verán afectados por esta directiva de “renovación obligatoria”. En la industria de la vivienda, la obligación incondicional de cumplir ciertos estándares, combinada con sanciones por incumplimiento de los mismos, equivale a una expropiación de uso, puesto que la libre disposición de la propiedad se empieza a volver imposible.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ecologistas de salón creen (o nos quieren hacer creer) que hay fronteras en el cielo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¿Si se produce un daño ambiental en el hemisferio sur, no afecta al hemisferio norte?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hay un accidente en una central nuclear en EEUU o en Francia, la nube radioactiva, se queda en los EEUU o en Francia?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¿Cuándo China quema carbón en sus centrales eléctricas, la polución no viaja más allá de sus fronteras?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podrán hacer “tongo” con el alcance del tsunami de Tonga?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Grave derrame de petróleo en la costa de Perú a causa de la erupción del volcán en la nación insular de Tonga (Pacifico Sur).  Distancia de Tonga a Lima: 10.345 km.</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Una erupción del volcán submarino Hunga-Tonga-Hunga-Ha'apai el 15/1/22 desencadenó poderosas olas en el Pacífico Sur, lo que colocó en alerta a varios países, entre ellos Estados Unidos, Japón y Chile.</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 derrame de petróleo se registró en la costa central de Perú, luego que un buque que abastecía a la refinería La Pampilla fuera golpeado por las olas provocadas por la erupción de un volcán subterráneo en Tonga. Fue descrito por las autoridades como un “desastre ecológico”.</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Las autoridades dicen que la fuga dañó unos 18.000 kilómetros cuadrados de zonas protegidas que contienen una variedad de plantas y animales.</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¿Hasta cuándo se seguirán firmando tratados de protección del medio ambiente, que los primeros que los incumplen son los países que más daño causan al hábitat?</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Unión Europea se niega a la utilización de la energía nuclear o el gas (por razones ecológicas), mientras tolera que China utilice carbón (más perjudicial para el medio ambiente) para producir energía?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es cierto que “la tierra es plana” (como dicen los globalistas), por qué no son iguales las reglas de jugo y compromisos, que aplican los principales países?  </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¿Cuándo veremos a los ecologistas de Greenpeace colgados de alguna chimenea en China?</w:t>
      </w:r>
    </w:p>
    <w:p w:rsidR="006B40B0" w:rsidRDefault="006B40B0" w:rsidP="006B40B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B40B0" w:rsidRPr="0027299F" w:rsidRDefault="006B40B0" w:rsidP="006B40B0">
      <w:pPr>
        <w:spacing w:line="240" w:lineRule="auto"/>
        <w:jc w:val="both"/>
        <w:rPr>
          <w:rFonts w:ascii="Times New Roman" w:hAnsi="Times New Roman" w:cs="Times New Roman"/>
          <w:b/>
          <w:color w:val="FF0000"/>
          <w:sz w:val="24"/>
          <w:szCs w:val="24"/>
        </w:rPr>
      </w:pPr>
      <w:r w:rsidRPr="0027299F">
        <w:rPr>
          <w:rFonts w:ascii="Times New Roman" w:hAnsi="Times New Roman" w:cs="Times New Roman"/>
          <w:b/>
          <w:color w:val="FF0000"/>
          <w:sz w:val="24"/>
          <w:szCs w:val="24"/>
        </w:rPr>
        <w:t>Aria di bravura: sobre la dictadura de las minorías (convocatoria a la rebelión)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Creo haber abundado en opiniones personales (sin miedo, y con pocas esperanzas), mientras escribía para nadie y para todos, sobre el “capitalismo woke”, así que me conformo con una breve coda final. Un último brindis al sol, desde el speaker</w:t>
      </w:r>
      <w:r w:rsidR="003F2346">
        <w:rPr>
          <w:rFonts w:ascii="Times New Roman" w:hAnsi="Times New Roman" w:cs="Times New Roman"/>
          <w:b/>
          <w:sz w:val="24"/>
          <w:szCs w:val="24"/>
        </w:rPr>
        <w:t>’s</w:t>
      </w:r>
      <w:r>
        <w:rPr>
          <w:rFonts w:ascii="Times New Roman" w:hAnsi="Times New Roman" w:cs="Times New Roman"/>
          <w:b/>
          <w:sz w:val="24"/>
          <w:szCs w:val="24"/>
        </w:rPr>
        <w:t xml:space="preserve"> corner de la resistencia.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las “minorías” impongan su criterio (cualquiera fuera) a las “mayorías”. Pueden (y merecen) solicitar respeto por sus ideas, pero no pueden establecer las reglas sociales de la mayoría de la población. ¿Desde cuándo un “mal menor”, es un “bien mayor”?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tolerar la ausencia de sentido del ridículo.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adoptar ideologías, paradigmas, mantras, dogmas, axiomas, premisas, o postulados, que sean ofensivos a la inteligencia.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el desorden irreparable de las ideas.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estar regido por el “todo o nada” y el “maximalismo”.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asumir el trabajo de abrirme camino entre tantos imbéciles morales.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perderme la vida real por culpa del Smartphone (un estudio reciente -Reino Unido- dice que “pasamos” (pasan) 5 horas al día, pegados a “nuestros” (vuestros) móviles).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Me niego a transformarme en un adicto a las nuevas tecnologías.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tragar todas las “evacuaciones” (mierdas) de la “factoría de ficciones”.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someterme a la dictadura de las “big tech”.</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Me niego a permitir que Elon Musk “conecte” mi cerebro a máquinas.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Tim Cook me meta un AirTag en el culo.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la verdad revelada de los titanes del metaverso (Zuckerberg y otros sospechosos habituales).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trafiquen con mis datos.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me impongan una realidad virtual.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me sometan a la manipulación (categorización) del big data.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sucumbir frívolamente (por avaricia, o por miseria) a los servicios ofrecidos por Amazon, Uber, Deliveroo, Airbnb, o a ser orientado por las sugerencias de un/a “personal shopper”, o a dejarme subyugar por  el estilo de vida de un/a “influencer”.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el nuevo orden internacional que quieren imponer China (con la ayuda de Wall Street y Silicon Valley) y Rusia (con la cobardía y servilismo de la Unión Europea).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comulgar con la insaciabilidad de los totalitarismos (a la hora de minar la autonomía intelectual y espiritual de los individuos).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dejarme condicionar por la potencia de los aparatos propagandísticos y represivos de los profetas del pensamiento único.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me espíen y vigilen, con el argumento (cínico) de la seguridad.</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los postulados del ecologismo radical.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la energía nuclear o el gas, no son verdes.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prescindir de la energía nuclear o de gas, mientras otros países permitan el uso del carbón como fuente de energía.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hacer sacrificios ecológicos no multilaterales (no simultáneos y proporcionales).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la culpa del daño ambiental la tengan los pedos de las vacas.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Me niego a aceptar que Davos me señale que alimentos debo comer para salvar el planeta.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las soflamas de Bill Gates en favor de la carne vegetal.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Me niego a que me obliguen a ser un herbívoro involuntario.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comer algas, lentejas, fonio (un cereal), okra (un vegetal), moringa (un árbol), espinacas y champiñones, involuntariamente, según la receta planetaria de Davos.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mi perro viva mejor que yo.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mi perro sea citado en un juicio como testigo.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Me niego a aceptar que decir “aburrirse como ostras” sea una expresión especista.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hablar de los derechos de una langosta, un cangrejo, un mosquito o una esponja.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igualar derechos con bienestar.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comer higos es comer insectos.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ordeñar vacas, sea una forma de esclavizarlas.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considerar que los “perros guía”, están en condiciones de servidumbre.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prohibir el foie gras, porque es el origen del maltrato a patos.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el fin de la pirotecnia, porque causa trastornos a los animales.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proteger a los animales del uso publicitario.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la abolición total de los zoológicos.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la abolición de las corridas de toros.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la prohibición de la caza del lobo cuando haya razones de seguridad ganadera.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los gallos violan a las gallinas.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los pájaros le disparen a las escopetas.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poner a los zorros a cuidar a las gallinas.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y adoptar todos los postulados de la ideología de género.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propugnar una igualdad de género y empoderamiento de las mujeres, más allá de la equidad (ecuanimidad) de oportunidades.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ser condescendiente con las mujeres empoderadas que no dan la talla.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ser complaciente con las feministas “progres” de los países avanzados, que no critican al trato (vejatorio) que se da a las mujeres en los países islámicos.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dar credibilidad y confianza a los movimientos sociales reivindicativos (del esnobismo progre, o el fanatismo racial).</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concurrir a los talleres de nuevas masculinidades.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ser un miembro más de la macrogranja de los Tartufos.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procesionar con Boris Karloff aunque haga el papel de San Francisco de Asís.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Me niego a bendecir estas caricaturas de la propia caricatura.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unos analfabetos funcionales dicten las reglas del lenguaje.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Me niego a utilizar estrambotes gramaticales como: él, ella, elle; todos, todas, todes; portavoz, portavoza; dirigente, dirigenta; miembros, miembras; autoridades, autoridadas; y similares variantes, que ofenden la gramática, la ortografía y la inteligencia.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se instalen baños únicos en los colegios (para no estigmatizar a los “queer”).</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ser habitante de una “matria”.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que unos ignorantes dirijan mi destino.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los supremacismos (de color, sexo, religión, raza…).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el sexo es una “autodeterminación” (identidad de género).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silenciar que las mujeres menstrúan, y los hombres eyaculan.</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decir que las personas de raza negra, son personas “no blancas”.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aceptar que las matemáticas denoten alguna supremacía blanca, porque califiquen las respuestas de correctas o incorrectas.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tragar toda esta monserga (imbecilidad) porque es “políticamente correcta”.</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Me niego a rendirme ante este “aluvión zoológico” del pensamiento único.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Pueden llamarme misógino, patriarcal, racista, retrógrado, reaccionario, unilateral, exagerado, neorrancio, malhumorado, neofascista, carca, viejuno, nostálgico… y hasta decadente, pero nunca me podrán considerar un ciego voluntario, sectario, fanático, anómico, amoral, frívolo, superficial, conformista, indiferente, insensato, permisivo, relativista, condescendiente, manipulable, intoxicable, sobornable, connivente… o con un atisbo de superioridad moral.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más allá de mí adjetivación, volvamos a lo importante: ¿En qué momento nos pasó esto? ¿Por qué hemos sido abducidos por una alienación social, o una demencia colectiva, tan grave, extendida, y profunda? ¿Puede ser un ensayo de ingeniería social, para manipular a las personas, para que hagan y digan lo que se quiere?...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(Septiembre 2022) Nos están jodiendo “vivos” (aunque “adormecidos” y “entretenidos”)</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Hay que utilizar la carne como trinchera y también, ya de paso (aunque excede el cometido de este Paper) el uso del dinero en efectivo, Nos quieren vigilar, controlar, y dirigir. Quieren decidir por nosotros, lo que es bueno o malo, para nosotros mismos.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nombre de la libertad (así sea en la de equivocarnos) no debemos dejar ningún resquicio a los zangolotinos, ni una medida a los sabiondos. No debemos permitirles que hagan (más) daño.</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asunto no va de vacas, carne, o medioambiente… lo que se trata es del abuso de “poder” (del establishment), y del ejercicio de la “libertad” (del ciudadano). Del poder de decidir sobre la vida de los demás (ingeniería social), o dejar que cada individuo resuelva lo que le conviene en su vida (educación, consumo, trabajo, familia, salud…).    </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Ya nos dejaron sin dinero (crisis 2008), sin sanidad (crisis 2020), sin suministros básicos, y energía (crisis 2022), y para 2030, nos quieren dejar sin comida (carne).</w:t>
      </w:r>
    </w:p>
    <w:p w:rsidR="006B40B0" w:rsidRDefault="006B40B0" w:rsidP="006B40B0">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¿Pueden unos falsarios indocumentados, burócratas impresentables, que han cometido tantos errores (voluntarios o involuntarios) decidir sobre la vida de la gente? ¿Políticos de plastilina, que no aciertan ni cuando rectifican, pueden resolver qué nos conviene? ¡No jodamos! Si los dejamos, no solo será Goodbye cows, sino que será Goodbye liberty.</w:t>
      </w:r>
    </w:p>
    <w:p w:rsidR="006B40B0" w:rsidRDefault="006B40B0" w:rsidP="006B40B0">
      <w:pPr>
        <w:spacing w:before="300"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Coda: la auténtica odisea no es el adiós a las vacas, la auténtica odisea es la de ya no ser individuo</w:t>
      </w:r>
    </w:p>
    <w:p w:rsidR="006B40B0" w:rsidRDefault="006B40B0" w:rsidP="006B40B0">
      <w:pPr>
        <w:spacing w:before="300"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“angustia de saber”, que el objetivo final es el control absoluto de la vida cotidiana (entre alarmismos inexactos -cambio climático-, y postulados radicales -teología verde-)</w:t>
      </w:r>
    </w:p>
    <w:p w:rsidR="006B40B0" w:rsidRDefault="006B40B0" w:rsidP="006B40B0">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grandes bonetes (“progres”) de EEUU y la UE están “guiando” a sus países por la senda (camino de servidumbre) del Gran Timonel (Xi Jinping). Entonces, las menos damnificadas serán las vacas. Las campanas doblarán por los ciudadanos, por su libertad perdida, por su futuro dirigido, por su obediencia debida… (¿será esta la “Next Generation” proclamada?). </w:t>
      </w:r>
    </w:p>
    <w:p w:rsidR="006B40B0" w:rsidRDefault="006B40B0" w:rsidP="006B40B0">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 vez es diferente, ya dicen algunos. Permítanme dudarlo. Porque esta película no puede tener un buen final. Si ganan los “davosianos” (Gran Reseteo, Agenda 2030, Green Deal), los ciudadanos de los “países avanzados” (ahora, en vías de subdesarrollo) demostraremos que somos más tontos que ayer, pero menos que mañana.</w:t>
      </w:r>
    </w:p>
    <w:p w:rsidR="006B40B0" w:rsidRDefault="006B40B0" w:rsidP="006B40B0">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malvado e inmoral comunismo, no lo sufrirán las vacas. La miserabilidad de sus dirigentes, no la soportarán las ovejas. El trato a todos los humanos como si fueran robots a los que programar, no lo padecerán las cabras. </w:t>
      </w:r>
    </w:p>
    <w:p w:rsidR="006B40B0" w:rsidRDefault="006B40B0" w:rsidP="006B40B0">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supuesto, este destrozo autoinfligido no es obra de los comunistas. Son los académicos, economistas y políticos de las llamadas “democracias liberales” los que lideran el proceso (de liberticidio). Han descubierto que el sistema (especulativo, cortoplacista, de extracción de rentas) solo puede mantenerse a base de una enorme coacción. Para eso confían en el PCCH.</w:t>
      </w:r>
    </w:p>
    <w:p w:rsidR="006B40B0" w:rsidRDefault="006B40B0" w:rsidP="006B40B0">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¿Gran Reseteo? ¿Nueva Normalidad?... estos “ladronazos” (mesiánicos, fatuos, arrogantes) que han querido jugar a los dados con Dios (economía de casino), que ahora quieren arrogarse el papel de Dios (estableciendo lo que podemos comer, hacer, o pensar), van a terminar postrándose ante un dios menor (el comunismo chino), para salvar el culo.</w:t>
      </w:r>
    </w:p>
    <w:p w:rsidR="001456E8" w:rsidRPr="0027299F" w:rsidRDefault="00850077" w:rsidP="001456E8">
      <w:pPr>
        <w:spacing w:line="240" w:lineRule="auto"/>
        <w:jc w:val="both"/>
        <w:rPr>
          <w:rFonts w:ascii="Times New Roman" w:hAnsi="Times New Roman" w:cs="Times New Roman"/>
          <w:b/>
          <w:sz w:val="24"/>
          <w:szCs w:val="24"/>
        </w:rPr>
      </w:pPr>
      <w:r w:rsidRPr="0027299F">
        <w:rPr>
          <w:rFonts w:ascii="Times New Roman" w:hAnsi="Times New Roman" w:cs="Times New Roman"/>
          <w:b/>
          <w:sz w:val="24"/>
          <w:szCs w:val="24"/>
        </w:rPr>
        <w:t>Nota</w:t>
      </w:r>
      <w:r w:rsidR="00506912" w:rsidRPr="0027299F">
        <w:rPr>
          <w:rFonts w:ascii="Times New Roman" w:hAnsi="Times New Roman" w:cs="Times New Roman"/>
          <w:b/>
          <w:sz w:val="24"/>
          <w:szCs w:val="24"/>
        </w:rPr>
        <w:t xml:space="preserve"> (1/7/23)</w:t>
      </w:r>
      <w:r w:rsidR="001D0570" w:rsidRPr="0027299F">
        <w:rPr>
          <w:rFonts w:ascii="Times New Roman" w:hAnsi="Times New Roman" w:cs="Times New Roman"/>
          <w:b/>
          <w:sz w:val="24"/>
          <w:szCs w:val="24"/>
        </w:rPr>
        <w:t>: una larga reseña de sucesos europeos, antes que nos borren la memoria</w:t>
      </w:r>
    </w:p>
    <w:p w:rsidR="00506912" w:rsidRPr="0027299F" w:rsidRDefault="00850077" w:rsidP="001456E8">
      <w:pPr>
        <w:spacing w:line="240" w:lineRule="auto"/>
        <w:jc w:val="both"/>
        <w:rPr>
          <w:rFonts w:ascii="Times New Roman" w:hAnsi="Times New Roman" w:cs="Times New Roman"/>
          <w:b/>
          <w:sz w:val="24"/>
          <w:szCs w:val="24"/>
        </w:rPr>
      </w:pPr>
      <w:r w:rsidRPr="0027299F">
        <w:rPr>
          <w:rFonts w:ascii="Times New Roman" w:hAnsi="Times New Roman" w:cs="Times New Roman"/>
          <w:b/>
          <w:sz w:val="24"/>
          <w:szCs w:val="24"/>
        </w:rPr>
        <w:t>Pido que sepan disculpar (los pacientes lectores) esta reseña algo desordenada, casi un</w:t>
      </w:r>
      <w:r w:rsidR="00612F45" w:rsidRPr="0027299F">
        <w:rPr>
          <w:rFonts w:ascii="Times New Roman" w:hAnsi="Times New Roman" w:cs="Times New Roman"/>
          <w:b/>
          <w:sz w:val="24"/>
          <w:szCs w:val="24"/>
        </w:rPr>
        <w:t xml:space="preserve">a </w:t>
      </w:r>
      <w:r w:rsidR="00506912" w:rsidRPr="0027299F">
        <w:rPr>
          <w:rFonts w:ascii="Times New Roman" w:hAnsi="Times New Roman" w:cs="Times New Roman"/>
          <w:b/>
          <w:sz w:val="24"/>
          <w:szCs w:val="24"/>
        </w:rPr>
        <w:t>“</w:t>
      </w:r>
      <w:r w:rsidR="00612F45" w:rsidRPr="0027299F">
        <w:rPr>
          <w:rFonts w:ascii="Times New Roman" w:hAnsi="Times New Roman" w:cs="Times New Roman"/>
          <w:b/>
          <w:sz w:val="24"/>
          <w:szCs w:val="24"/>
        </w:rPr>
        <w:t>catarsis</w:t>
      </w:r>
      <w:r w:rsidR="00506912" w:rsidRPr="0027299F">
        <w:rPr>
          <w:rFonts w:ascii="Times New Roman" w:hAnsi="Times New Roman" w:cs="Times New Roman"/>
          <w:b/>
          <w:sz w:val="24"/>
          <w:szCs w:val="24"/>
        </w:rPr>
        <w:t>”</w:t>
      </w:r>
      <w:r w:rsidR="00612F45" w:rsidRPr="0027299F">
        <w:rPr>
          <w:rFonts w:ascii="Times New Roman" w:hAnsi="Times New Roman" w:cs="Times New Roman"/>
          <w:b/>
          <w:sz w:val="24"/>
          <w:szCs w:val="24"/>
        </w:rPr>
        <w:t>, que he denominado</w:t>
      </w:r>
      <w:r w:rsidRPr="0027299F">
        <w:rPr>
          <w:rFonts w:ascii="Times New Roman" w:hAnsi="Times New Roman" w:cs="Times New Roman"/>
          <w:b/>
          <w:sz w:val="24"/>
          <w:szCs w:val="24"/>
        </w:rPr>
        <w:t xml:space="preserve"> “</w:t>
      </w:r>
      <w:r w:rsidR="001D0570" w:rsidRPr="0027299F">
        <w:rPr>
          <w:rFonts w:ascii="Times New Roman" w:hAnsi="Times New Roman" w:cs="Times New Roman"/>
          <w:b/>
          <w:sz w:val="24"/>
          <w:szCs w:val="24"/>
        </w:rPr>
        <w:t>D</w:t>
      </w:r>
      <w:r w:rsidRPr="0027299F">
        <w:rPr>
          <w:rFonts w:ascii="Times New Roman" w:hAnsi="Times New Roman" w:cs="Times New Roman"/>
          <w:b/>
          <w:sz w:val="24"/>
          <w:szCs w:val="24"/>
        </w:rPr>
        <w:t>iario de abordo”</w:t>
      </w:r>
      <w:r w:rsidR="00612F45" w:rsidRPr="0027299F">
        <w:rPr>
          <w:rFonts w:ascii="Times New Roman" w:hAnsi="Times New Roman" w:cs="Times New Roman"/>
          <w:b/>
          <w:sz w:val="24"/>
          <w:szCs w:val="24"/>
        </w:rPr>
        <w:t>. Podría haberla llamado, sin exageración alguna “</w:t>
      </w:r>
      <w:r w:rsidR="001D0570" w:rsidRPr="0027299F">
        <w:rPr>
          <w:rFonts w:ascii="Times New Roman" w:hAnsi="Times New Roman" w:cs="Times New Roman"/>
          <w:b/>
          <w:sz w:val="24"/>
          <w:szCs w:val="24"/>
        </w:rPr>
        <w:t>Memorias de</w:t>
      </w:r>
      <w:r w:rsidR="00612F45" w:rsidRPr="0027299F">
        <w:rPr>
          <w:rFonts w:ascii="Times New Roman" w:hAnsi="Times New Roman" w:cs="Times New Roman"/>
          <w:b/>
          <w:sz w:val="24"/>
          <w:szCs w:val="24"/>
        </w:rPr>
        <w:t xml:space="preserve"> guerra”. A los largo de los años transcurridos entre 2008 y 2023, he sido testigo de algunos acontecimientos en Europa, que nunca hubiera imaginado. </w:t>
      </w:r>
      <w:r w:rsidR="001D0570" w:rsidRPr="0027299F">
        <w:rPr>
          <w:rFonts w:ascii="Times New Roman" w:hAnsi="Times New Roman" w:cs="Times New Roman"/>
          <w:b/>
          <w:sz w:val="24"/>
          <w:szCs w:val="24"/>
        </w:rPr>
        <w:t>Como en el monólogo final del replicante Roy Batty en la película Blade Runner (1982) en “Lágrimas en la lluvia”</w:t>
      </w:r>
      <w:r w:rsidR="00506912" w:rsidRPr="0027299F">
        <w:rPr>
          <w:rFonts w:ascii="Times New Roman" w:hAnsi="Times New Roman" w:cs="Times New Roman"/>
          <w:b/>
          <w:sz w:val="24"/>
          <w:szCs w:val="24"/>
        </w:rPr>
        <w:t>, que se inspiró en</w:t>
      </w:r>
      <w:r w:rsidR="001D0570" w:rsidRPr="0027299F">
        <w:rPr>
          <w:rFonts w:ascii="Times New Roman" w:hAnsi="Times New Roman" w:cs="Times New Roman"/>
          <w:b/>
          <w:sz w:val="24"/>
          <w:szCs w:val="24"/>
        </w:rPr>
        <w:t xml:space="preserve"> la ópera Tannhäuser de Richard Wagner, podría decir: “Yo he visto cosas que vosotros no creeríais. Naves de ataque en llamas más allá del hombro de Orión. Miré rayos-C brillar en la oscuridad cerca de la Puerta de Tannhäuser. Todos esos momentos se perderán en el tiempo, como l</w:t>
      </w:r>
      <w:r w:rsidR="00506912" w:rsidRPr="0027299F">
        <w:rPr>
          <w:rFonts w:ascii="Times New Roman" w:hAnsi="Times New Roman" w:cs="Times New Roman"/>
          <w:b/>
          <w:sz w:val="24"/>
          <w:szCs w:val="24"/>
        </w:rPr>
        <w:t>ágrimas en la lluvia</w:t>
      </w:r>
      <w:r w:rsidR="001D0570" w:rsidRPr="0027299F">
        <w:rPr>
          <w:rFonts w:ascii="Times New Roman" w:hAnsi="Times New Roman" w:cs="Times New Roman"/>
          <w:b/>
          <w:sz w:val="24"/>
          <w:szCs w:val="24"/>
        </w:rPr>
        <w:t>”...</w:t>
      </w:r>
      <w:r w:rsidR="00612F45" w:rsidRPr="0027299F">
        <w:rPr>
          <w:rFonts w:ascii="Times New Roman" w:hAnsi="Times New Roman" w:cs="Times New Roman"/>
          <w:b/>
          <w:sz w:val="24"/>
          <w:szCs w:val="24"/>
        </w:rPr>
        <w:t xml:space="preserve"> </w:t>
      </w:r>
      <w:r w:rsidR="0027299F">
        <w:rPr>
          <w:rFonts w:ascii="Times New Roman" w:hAnsi="Times New Roman" w:cs="Times New Roman"/>
          <w:b/>
          <w:sz w:val="24"/>
          <w:szCs w:val="24"/>
        </w:rPr>
        <w:t xml:space="preserve">Ha sido un intento leal, para que </w:t>
      </w:r>
      <w:r w:rsidR="00506912" w:rsidRPr="0027299F">
        <w:rPr>
          <w:rFonts w:ascii="Times New Roman" w:hAnsi="Times New Roman" w:cs="Times New Roman"/>
          <w:b/>
          <w:sz w:val="24"/>
          <w:szCs w:val="24"/>
        </w:rPr>
        <w:t>no</w:t>
      </w:r>
      <w:r w:rsidR="0027299F">
        <w:rPr>
          <w:rFonts w:ascii="Times New Roman" w:hAnsi="Times New Roman" w:cs="Times New Roman"/>
          <w:b/>
          <w:sz w:val="24"/>
          <w:szCs w:val="24"/>
        </w:rPr>
        <w:t xml:space="preserve"> se olvide</w:t>
      </w:r>
      <w:r w:rsidR="00506912" w:rsidRPr="0027299F">
        <w:rPr>
          <w:rFonts w:ascii="Times New Roman" w:hAnsi="Times New Roman" w:cs="Times New Roman"/>
          <w:b/>
          <w:sz w:val="24"/>
          <w:szCs w:val="24"/>
        </w:rPr>
        <w:t xml:space="preserve"> lo inolvidable.</w:t>
      </w:r>
    </w:p>
    <w:p w:rsidR="001456E8" w:rsidRPr="0027299F" w:rsidRDefault="001456E8" w:rsidP="001456E8">
      <w:pPr>
        <w:spacing w:line="240" w:lineRule="auto"/>
        <w:jc w:val="both"/>
        <w:rPr>
          <w:rFonts w:ascii="Times New Roman" w:hAnsi="Times New Roman" w:cs="Times New Roman"/>
          <w:b/>
          <w:sz w:val="24"/>
          <w:szCs w:val="24"/>
        </w:rPr>
      </w:pPr>
      <w:r w:rsidRPr="0027299F">
        <w:rPr>
          <w:rFonts w:ascii="Times New Roman" w:hAnsi="Times New Roman" w:cs="Times New Roman"/>
          <w:b/>
          <w:sz w:val="24"/>
          <w:szCs w:val="24"/>
        </w:rPr>
        <w:lastRenderedPageBreak/>
        <w:t>- Europa, al borde del plato vacío (las horas bajas de los gatopardianos)</w:t>
      </w:r>
    </w:p>
    <w:p w:rsidR="001456E8" w:rsidRDefault="001456E8" w:rsidP="001456E8">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EA5483E" wp14:editId="65D1440B">
            <wp:extent cx="5734048" cy="3016250"/>
            <wp:effectExtent l="0" t="0" r="635" b="0"/>
            <wp:docPr id="13" name="Imagen 13" descr="https://phantom-expansion.unidadeditorial.es/9e911dde2076ee3ffc45688d458f7422/crop/0x0/1018x679/resize/828/f/jpg/assets/multimedia/imagenes/2023/05/26/1685128045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hantom-expansion.unidadeditorial.es/9e911dde2076ee3ffc45688d458f7422/crop/0x0/1018x679/resize/828/f/jpg/assets/multimedia/imagenes/2023/05/26/16851280450211.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1510" cy="3014915"/>
                    </a:xfrm>
                    <a:prstGeom prst="rect">
                      <a:avLst/>
                    </a:prstGeom>
                    <a:noFill/>
                    <a:ln>
                      <a:noFill/>
                    </a:ln>
                  </pic:spPr>
                </pic:pic>
              </a:graphicData>
            </a:graphic>
          </wp:inline>
        </w:drawing>
      </w:r>
    </w:p>
    <w:p w:rsidR="001456E8" w:rsidRPr="0027299F" w:rsidRDefault="001456E8" w:rsidP="001456E8">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Desde el año 2008 en adelante, para lo único que está preparada Europa es para la derrota. No hay más que tener ojos en la cara y comparar la fuerza de los hechos.</w:t>
      </w:r>
    </w:p>
    <w:p w:rsidR="001456E8" w:rsidRPr="0027299F" w:rsidRDefault="001456E8" w:rsidP="001456E8">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En todas partes el hombre europeo ha vuelto al estado natural: es un canalla, idiota y egoísta.  La indiferencia de la clase dirigente es pasmosa, y cuando rara vez se manifiestan sus discursos son espuma, humo de paja, nada. Para ser egoísta hay que saber; para protestar hay que discurrir, pero con una moral imposible, solo se puede esperar más miseria y sumisión. </w:t>
      </w:r>
    </w:p>
    <w:p w:rsidR="001456E8" w:rsidRPr="0027299F" w:rsidRDefault="000D4D36" w:rsidP="00414715">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Mientras tanto, los políticos europeos son malos para transmitir cosas impopulares…</w:t>
      </w:r>
      <w:r w:rsidR="00414715" w:rsidRPr="0027299F">
        <w:rPr>
          <w:rFonts w:ascii="Times New Roman" w:hAnsi="Times New Roman" w:cs="Times New Roman"/>
          <w:sz w:val="24"/>
          <w:szCs w:val="24"/>
        </w:rPr>
        <w:t xml:space="preserve"> a unos ciudadanos (¿súbditos, contribuyentes, corderos, estabulados, alelados?) siempre en estado de interinidad, con la misma angustia hecha crónica, la misma vida sin vida, todo igual. La única duda que pueden tener es</w:t>
      </w:r>
      <w:r w:rsidR="002425A0" w:rsidRPr="0027299F">
        <w:rPr>
          <w:rFonts w:ascii="Times New Roman" w:hAnsi="Times New Roman" w:cs="Times New Roman"/>
          <w:sz w:val="24"/>
          <w:szCs w:val="24"/>
        </w:rPr>
        <w:t xml:space="preserve"> si están me</w:t>
      </w:r>
      <w:r w:rsidR="0006728A" w:rsidRPr="0027299F">
        <w:rPr>
          <w:rFonts w:ascii="Times New Roman" w:hAnsi="Times New Roman" w:cs="Times New Roman"/>
          <w:sz w:val="24"/>
          <w:szCs w:val="24"/>
        </w:rPr>
        <w:t>tidos en un pantano,</w:t>
      </w:r>
      <w:r w:rsidR="00414715" w:rsidRPr="0027299F">
        <w:rPr>
          <w:rFonts w:ascii="Times New Roman" w:hAnsi="Times New Roman" w:cs="Times New Roman"/>
          <w:sz w:val="24"/>
          <w:szCs w:val="24"/>
        </w:rPr>
        <w:t xml:space="preserve"> o un desierto de ceniza.</w:t>
      </w:r>
    </w:p>
    <w:p w:rsidR="00FC4352" w:rsidRDefault="008D0A45" w:rsidP="00D65ABE">
      <w:pPr>
        <w:spacing w:line="240" w:lineRule="auto"/>
        <w:jc w:val="both"/>
        <w:rPr>
          <w:rFonts w:ascii="Times New Roman" w:hAnsi="Times New Roman"/>
          <w:sz w:val="24"/>
          <w:szCs w:val="24"/>
        </w:rPr>
      </w:pPr>
      <w:r w:rsidRPr="008D0A45">
        <w:rPr>
          <w:rFonts w:ascii="Times New Roman" w:hAnsi="Times New Roman"/>
          <w:sz w:val="24"/>
          <w:szCs w:val="24"/>
        </w:rPr>
        <w:t>Los sí</w:t>
      </w:r>
      <w:r>
        <w:rPr>
          <w:rFonts w:ascii="Times New Roman" w:hAnsi="Times New Roman"/>
          <w:sz w:val="24"/>
          <w:szCs w:val="24"/>
        </w:rPr>
        <w:t>ntomas de la derrota se revela</w:t>
      </w:r>
      <w:r w:rsidRPr="008D0A45">
        <w:rPr>
          <w:rFonts w:ascii="Times New Roman" w:hAnsi="Times New Roman"/>
          <w:sz w:val="24"/>
          <w:szCs w:val="24"/>
        </w:rPr>
        <w:t>n en todo.</w:t>
      </w:r>
      <w:r w:rsidR="001A7048">
        <w:rPr>
          <w:rFonts w:ascii="Times New Roman" w:hAnsi="Times New Roman"/>
          <w:sz w:val="24"/>
          <w:szCs w:val="24"/>
        </w:rPr>
        <w:t xml:space="preserve"> He presentado una amplia selección de gráficos que permiten constatar el encefalograma plano de la Unión Europea en los últimos 15 años (2008-2023). He recuperado diversos comentarios escritos en tiempo real (de Papers anteriores), sobre el comportamiento de las “instituciones europeas”, ante las sucesivas crisis </w:t>
      </w:r>
      <w:r w:rsidR="004B3489">
        <w:rPr>
          <w:rFonts w:ascii="Times New Roman" w:hAnsi="Times New Roman"/>
          <w:sz w:val="24"/>
          <w:szCs w:val="24"/>
        </w:rPr>
        <w:t>padecidas en el período señalado</w:t>
      </w:r>
      <w:r w:rsidR="001A7048">
        <w:rPr>
          <w:rFonts w:ascii="Times New Roman" w:hAnsi="Times New Roman"/>
          <w:sz w:val="24"/>
          <w:szCs w:val="24"/>
        </w:rPr>
        <w:t xml:space="preserve"> (financiera-2008, sanitaria-2020, </w:t>
      </w:r>
      <w:r w:rsidR="004B3489">
        <w:rPr>
          <w:rFonts w:ascii="Times New Roman" w:hAnsi="Times New Roman"/>
          <w:sz w:val="24"/>
          <w:szCs w:val="24"/>
        </w:rPr>
        <w:t>de suministros y energética-2022, inflacionaria-2023), donde se demuestra la</w:t>
      </w:r>
      <w:r w:rsidR="00FC4352">
        <w:rPr>
          <w:rFonts w:ascii="Times New Roman" w:hAnsi="Times New Roman"/>
          <w:sz w:val="24"/>
          <w:szCs w:val="24"/>
        </w:rPr>
        <w:t xml:space="preserve"> sorpresa,</w:t>
      </w:r>
      <w:r w:rsidR="00C80869">
        <w:rPr>
          <w:rFonts w:ascii="Times New Roman" w:hAnsi="Times New Roman"/>
          <w:sz w:val="24"/>
          <w:szCs w:val="24"/>
        </w:rPr>
        <w:t xml:space="preserve"> imprevisión, incapacidad</w:t>
      </w:r>
      <w:r w:rsidR="004B3489">
        <w:rPr>
          <w:rFonts w:ascii="Times New Roman" w:hAnsi="Times New Roman"/>
          <w:sz w:val="24"/>
          <w:szCs w:val="24"/>
        </w:rPr>
        <w:t>, inoperancia, debilidad,</w:t>
      </w:r>
      <w:r w:rsidR="00FC4352">
        <w:rPr>
          <w:rFonts w:ascii="Times New Roman" w:hAnsi="Times New Roman"/>
          <w:sz w:val="24"/>
          <w:szCs w:val="24"/>
        </w:rPr>
        <w:t xml:space="preserve"> cobardía,</w:t>
      </w:r>
      <w:r w:rsidR="004B3489">
        <w:rPr>
          <w:rFonts w:ascii="Times New Roman" w:hAnsi="Times New Roman"/>
          <w:sz w:val="24"/>
          <w:szCs w:val="24"/>
        </w:rPr>
        <w:t xml:space="preserve"> improvisación, incoherencia,</w:t>
      </w:r>
      <w:r w:rsidR="00FC4352">
        <w:rPr>
          <w:rFonts w:ascii="Times New Roman" w:hAnsi="Times New Roman"/>
          <w:sz w:val="24"/>
          <w:szCs w:val="24"/>
        </w:rPr>
        <w:t xml:space="preserve"> insensatez,</w:t>
      </w:r>
      <w:r w:rsidR="004B3489">
        <w:rPr>
          <w:rFonts w:ascii="Times New Roman" w:hAnsi="Times New Roman"/>
          <w:sz w:val="24"/>
          <w:szCs w:val="24"/>
        </w:rPr>
        <w:t xml:space="preserve"> connivencia,</w:t>
      </w:r>
      <w:r w:rsidR="00FC4352">
        <w:rPr>
          <w:rFonts w:ascii="Times New Roman" w:hAnsi="Times New Roman"/>
          <w:sz w:val="24"/>
          <w:szCs w:val="24"/>
        </w:rPr>
        <w:t xml:space="preserve"> tráfico de influenci</w:t>
      </w:r>
      <w:r w:rsidR="00395A01">
        <w:rPr>
          <w:rFonts w:ascii="Times New Roman" w:hAnsi="Times New Roman"/>
          <w:sz w:val="24"/>
          <w:szCs w:val="24"/>
        </w:rPr>
        <w:t>as</w:t>
      </w:r>
      <w:r w:rsidR="00FC4352">
        <w:rPr>
          <w:rFonts w:ascii="Times New Roman" w:hAnsi="Times New Roman"/>
          <w:sz w:val="24"/>
          <w:szCs w:val="24"/>
        </w:rPr>
        <w:t xml:space="preserve"> y</w:t>
      </w:r>
      <w:r w:rsidR="00395A01">
        <w:rPr>
          <w:rFonts w:ascii="Times New Roman" w:hAnsi="Times New Roman"/>
          <w:sz w:val="24"/>
          <w:szCs w:val="24"/>
        </w:rPr>
        <w:t>,</w:t>
      </w:r>
      <w:r w:rsidR="00FC4352">
        <w:rPr>
          <w:rFonts w:ascii="Times New Roman" w:hAnsi="Times New Roman"/>
          <w:sz w:val="24"/>
          <w:szCs w:val="24"/>
        </w:rPr>
        <w:t xml:space="preserve"> como</w:t>
      </w:r>
      <w:r w:rsidR="009465DD">
        <w:rPr>
          <w:rFonts w:ascii="Times New Roman" w:hAnsi="Times New Roman"/>
          <w:sz w:val="24"/>
          <w:szCs w:val="24"/>
        </w:rPr>
        <w:t xml:space="preserve"> se ha demostrado en el </w:t>
      </w:r>
      <w:r w:rsidR="0027299F">
        <w:rPr>
          <w:rFonts w:ascii="Times New Roman" w:hAnsi="Times New Roman"/>
          <w:sz w:val="24"/>
          <w:szCs w:val="24"/>
        </w:rPr>
        <w:t>“</w:t>
      </w:r>
      <w:r w:rsidR="00395A01" w:rsidRPr="00395A01">
        <w:rPr>
          <w:rFonts w:ascii="Times New Roman" w:hAnsi="Times New Roman"/>
          <w:sz w:val="24"/>
          <w:szCs w:val="24"/>
        </w:rPr>
        <w:t>Q</w:t>
      </w:r>
      <w:r w:rsidR="009465DD" w:rsidRPr="00395A01">
        <w:rPr>
          <w:rFonts w:ascii="Times New Roman" w:hAnsi="Times New Roman"/>
          <w:sz w:val="24"/>
          <w:szCs w:val="24"/>
        </w:rPr>
        <w:t>atargate</w:t>
      </w:r>
      <w:r w:rsidR="0027299F">
        <w:rPr>
          <w:rFonts w:ascii="Times New Roman" w:hAnsi="Times New Roman"/>
          <w:sz w:val="24"/>
          <w:szCs w:val="24"/>
        </w:rPr>
        <w:t>”</w:t>
      </w:r>
      <w:r w:rsidR="009465DD">
        <w:rPr>
          <w:rFonts w:ascii="Times New Roman" w:hAnsi="Times New Roman"/>
          <w:sz w:val="24"/>
          <w:szCs w:val="24"/>
        </w:rPr>
        <w:t xml:space="preserve">, </w:t>
      </w:r>
      <w:r w:rsidR="00FC4352">
        <w:rPr>
          <w:rFonts w:ascii="Times New Roman" w:hAnsi="Times New Roman"/>
          <w:sz w:val="24"/>
          <w:szCs w:val="24"/>
        </w:rPr>
        <w:t>corrupción.</w:t>
      </w:r>
    </w:p>
    <w:p w:rsidR="008E1F5C" w:rsidRDefault="00FC4352" w:rsidP="00D65ABE">
      <w:pPr>
        <w:spacing w:line="240" w:lineRule="auto"/>
        <w:jc w:val="both"/>
        <w:rPr>
          <w:rFonts w:ascii="Times New Roman" w:hAnsi="Times New Roman"/>
          <w:sz w:val="24"/>
          <w:szCs w:val="24"/>
        </w:rPr>
      </w:pPr>
      <w:r>
        <w:rPr>
          <w:rFonts w:ascii="Times New Roman" w:hAnsi="Times New Roman"/>
          <w:sz w:val="24"/>
          <w:szCs w:val="24"/>
        </w:rPr>
        <w:t>Todos esos “atributos”, ado</w:t>
      </w:r>
      <w:r w:rsidR="008E1F5C">
        <w:rPr>
          <w:rFonts w:ascii="Times New Roman" w:hAnsi="Times New Roman"/>
          <w:sz w:val="24"/>
          <w:szCs w:val="24"/>
        </w:rPr>
        <w:t>rnados con</w:t>
      </w:r>
      <w:r>
        <w:rPr>
          <w:rFonts w:ascii="Times New Roman" w:hAnsi="Times New Roman"/>
          <w:sz w:val="24"/>
          <w:szCs w:val="24"/>
        </w:rPr>
        <w:t xml:space="preserve"> el mayor dogmatismo, superioridad moral,</w:t>
      </w:r>
      <w:r w:rsidR="008E1F5C">
        <w:rPr>
          <w:rFonts w:ascii="Times New Roman" w:hAnsi="Times New Roman"/>
          <w:sz w:val="24"/>
          <w:szCs w:val="24"/>
        </w:rPr>
        <w:t xml:space="preserve"> soberbia, arrogancia, fatuidad, y sectarismo, para con sus ciudadanos, mientras se muestran sumisos, lacayos</w:t>
      </w:r>
      <w:r w:rsidR="00C80869">
        <w:rPr>
          <w:rFonts w:ascii="Times New Roman" w:hAnsi="Times New Roman"/>
          <w:sz w:val="24"/>
          <w:szCs w:val="24"/>
        </w:rPr>
        <w:t>,</w:t>
      </w:r>
      <w:r w:rsidR="008E1F5C">
        <w:rPr>
          <w:rFonts w:ascii="Times New Roman" w:hAnsi="Times New Roman"/>
          <w:sz w:val="24"/>
          <w:szCs w:val="24"/>
        </w:rPr>
        <w:t xml:space="preserve"> y genuflexos, ante el poder de las grandes corporaciones y naciones competidoras.</w:t>
      </w:r>
    </w:p>
    <w:p w:rsidR="00A554C9" w:rsidRDefault="008E1F5C" w:rsidP="00D65ABE">
      <w:pPr>
        <w:spacing w:line="240" w:lineRule="auto"/>
        <w:jc w:val="both"/>
        <w:rPr>
          <w:rFonts w:ascii="Times New Roman" w:hAnsi="Times New Roman"/>
          <w:sz w:val="24"/>
          <w:szCs w:val="24"/>
        </w:rPr>
      </w:pPr>
      <w:r>
        <w:rPr>
          <w:rFonts w:ascii="Times New Roman" w:hAnsi="Times New Roman"/>
          <w:sz w:val="24"/>
          <w:szCs w:val="24"/>
        </w:rPr>
        <w:t>Difícil encontrar una mezcla más leta</w:t>
      </w:r>
      <w:r w:rsidR="00A554C9">
        <w:rPr>
          <w:rFonts w:ascii="Times New Roman" w:hAnsi="Times New Roman"/>
          <w:sz w:val="24"/>
          <w:szCs w:val="24"/>
        </w:rPr>
        <w:t>l (falta de liderazgo y mala gestión</w:t>
      </w:r>
      <w:r>
        <w:rPr>
          <w:rFonts w:ascii="Times New Roman" w:hAnsi="Times New Roman"/>
          <w:sz w:val="24"/>
          <w:szCs w:val="24"/>
        </w:rPr>
        <w:t>)</w:t>
      </w:r>
      <w:r w:rsidR="00A554C9">
        <w:rPr>
          <w:rFonts w:ascii="Times New Roman" w:hAnsi="Times New Roman"/>
          <w:sz w:val="24"/>
          <w:szCs w:val="24"/>
        </w:rPr>
        <w:t>, para proyectar el futuro de la Unión Europea. Ya no se trata de dilucidar si hay una UE de “dos o tres velocidades”, o una UE “bipolar”, sino que lo está en duda es el mismo futuro vital de la UE.</w:t>
      </w:r>
    </w:p>
    <w:p w:rsidR="00A554C9" w:rsidRDefault="00AD6439" w:rsidP="00D65ABE">
      <w:pPr>
        <w:spacing w:line="240" w:lineRule="auto"/>
        <w:jc w:val="both"/>
        <w:rPr>
          <w:rFonts w:ascii="Times New Roman" w:hAnsi="Times New Roman"/>
          <w:sz w:val="24"/>
          <w:szCs w:val="24"/>
        </w:rPr>
      </w:pPr>
      <w:r>
        <w:rPr>
          <w:rFonts w:ascii="Times New Roman" w:hAnsi="Times New Roman"/>
          <w:sz w:val="24"/>
          <w:szCs w:val="24"/>
        </w:rPr>
        <w:t xml:space="preserve">¿Cómo ha podido suceder esto? </w:t>
      </w:r>
      <w:r w:rsidR="00C131C0">
        <w:rPr>
          <w:rFonts w:ascii="Times New Roman" w:hAnsi="Times New Roman"/>
          <w:sz w:val="24"/>
          <w:szCs w:val="24"/>
        </w:rPr>
        <w:t>La Unión Europea está en riesgo de extinción</w:t>
      </w:r>
      <w:r w:rsidR="009465DD">
        <w:rPr>
          <w:rFonts w:ascii="Times New Roman" w:hAnsi="Times New Roman"/>
          <w:sz w:val="24"/>
          <w:szCs w:val="24"/>
        </w:rPr>
        <w:t xml:space="preserve">, por inutilidad, </w:t>
      </w:r>
      <w:r>
        <w:rPr>
          <w:rFonts w:ascii="Times New Roman" w:hAnsi="Times New Roman"/>
          <w:sz w:val="24"/>
          <w:szCs w:val="24"/>
        </w:rPr>
        <w:t xml:space="preserve">ineficacia, y falta de realismo, atrapada en una burocracia incapaz, indiferente, e inmadura. </w:t>
      </w:r>
    </w:p>
    <w:p w:rsidR="00720D6C" w:rsidRDefault="00720D6C" w:rsidP="00D65ABE">
      <w:pPr>
        <w:spacing w:line="240" w:lineRule="auto"/>
        <w:jc w:val="both"/>
        <w:rPr>
          <w:rFonts w:ascii="Times New Roman" w:hAnsi="Times New Roman"/>
          <w:sz w:val="24"/>
          <w:szCs w:val="24"/>
        </w:rPr>
      </w:pPr>
      <w:r w:rsidRPr="00720D6C">
        <w:rPr>
          <w:rFonts w:ascii="Times New Roman" w:hAnsi="Times New Roman"/>
          <w:sz w:val="24"/>
          <w:szCs w:val="24"/>
        </w:rPr>
        <w:lastRenderedPageBreak/>
        <w:t>Con estos antecedentes, ¿alguien se asombra, todavía</w:t>
      </w:r>
      <w:r>
        <w:rPr>
          <w:rFonts w:ascii="Times New Roman" w:hAnsi="Times New Roman"/>
          <w:sz w:val="24"/>
          <w:szCs w:val="24"/>
        </w:rPr>
        <w:t xml:space="preserve"> por los (malos) resultados alcanzados?</w:t>
      </w:r>
    </w:p>
    <w:p w:rsidR="00370154" w:rsidRDefault="00720D6C" w:rsidP="00370154">
      <w:pPr>
        <w:pStyle w:val="NormalWeb"/>
        <w:spacing w:before="0" w:beforeAutospacing="0" w:after="360" w:afterAutospacing="0"/>
        <w:jc w:val="both"/>
      </w:pPr>
      <w:r>
        <w:t>La Unión Europea</w:t>
      </w:r>
      <w:r w:rsidRPr="00C73CF8">
        <w:t xml:space="preserve"> de hoy ya no es lo que era</w:t>
      </w:r>
      <w:r>
        <w:t>… ha perdido tejido industrial, empleo, ingresos, competitividad, estado de bienestar</w:t>
      </w:r>
      <w:r w:rsidR="00B7204A">
        <w:t>, seguridad ciudadana, educación, sanidad, servicios públicos… Una situación</w:t>
      </w:r>
      <w:r w:rsidR="00B7204A" w:rsidRPr="002917DC">
        <w:t xml:space="preserve"> que nadie se imagina</w:t>
      </w:r>
      <w:r w:rsidR="00B7204A">
        <w:t>ría hace unos años</w:t>
      </w:r>
      <w:r w:rsidR="00B7204A" w:rsidRPr="002917DC">
        <w:t>.</w:t>
      </w:r>
    </w:p>
    <w:p w:rsidR="00C80869" w:rsidRPr="0027299F" w:rsidRDefault="00C80869" w:rsidP="00370154">
      <w:pPr>
        <w:pStyle w:val="NormalWeb"/>
        <w:spacing w:before="0" w:beforeAutospacing="0" w:after="360" w:afterAutospacing="0"/>
        <w:jc w:val="both"/>
      </w:pPr>
      <w:r w:rsidRPr="0027299F">
        <w:rPr>
          <w:b/>
        </w:rPr>
        <w:t>La metamorfosis del Apparátchik de</w:t>
      </w:r>
      <w:r w:rsidR="003F2346">
        <w:rPr>
          <w:b/>
        </w:rPr>
        <w:t xml:space="preserve"> Bruselas (del Gosplá</w:t>
      </w:r>
      <w:bookmarkStart w:id="0" w:name="_GoBack"/>
      <w:bookmarkEnd w:id="0"/>
      <w:r w:rsidRPr="0027299F">
        <w:rPr>
          <w:b/>
        </w:rPr>
        <w:t>n de la PAC, al decrecimiento solidario para salvar al planeta): la vaca ecológica y el imperio de lo woke</w:t>
      </w:r>
    </w:p>
    <w:p w:rsidR="00C80869" w:rsidRPr="0027299F" w:rsidRDefault="00C80869" w:rsidP="00C80869">
      <w:pPr>
        <w:shd w:val="clear" w:color="auto" w:fill="F9F8F2"/>
        <w:spacing w:before="100" w:beforeAutospacing="1" w:after="100" w:afterAutospacing="1"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Los burócratas de Bruselas han borrado cualquier atisbo de ecuanimidad en la política europea, o sea, han excluido la posibilidad de utilizar argumentos racionales en el ámbito político y económico. La crisis del concepto de verdad es llevada a su extremo. Al abismo. Todo está sustentado en prejuicios. Una política puramente emocional, sin espacios de reflexión.   </w:t>
      </w:r>
    </w:p>
    <w:p w:rsidR="001C7962" w:rsidRPr="0027299F" w:rsidRDefault="00C80869" w:rsidP="00C80869">
      <w:pPr>
        <w:shd w:val="clear" w:color="auto" w:fill="F9F8F2"/>
        <w:spacing w:before="100" w:beforeAutospacing="1" w:after="100" w:afterAutospacing="1" w:line="240" w:lineRule="auto"/>
        <w:jc w:val="both"/>
        <w:rPr>
          <w:rFonts w:ascii="Times New Roman" w:hAnsi="Times New Roman" w:cs="Times New Roman"/>
          <w:sz w:val="24"/>
          <w:szCs w:val="24"/>
        </w:rPr>
      </w:pPr>
      <w:r w:rsidRPr="0027299F">
        <w:rPr>
          <w:rFonts w:ascii="Times New Roman" w:hAnsi="Times New Roman" w:cs="Times New Roman"/>
          <w:sz w:val="24"/>
          <w:szCs w:val="24"/>
        </w:rPr>
        <w:t>Alguien podrá decir, y con razón, que no merece la pena seguir con la retahíla de las viejas y queridas causas perdidas, qu</w:t>
      </w:r>
      <w:r w:rsidR="001C7962" w:rsidRPr="0027299F">
        <w:rPr>
          <w:rFonts w:ascii="Times New Roman" w:hAnsi="Times New Roman" w:cs="Times New Roman"/>
          <w:sz w:val="24"/>
          <w:szCs w:val="24"/>
        </w:rPr>
        <w:t>e cualquier gobierno democrático</w:t>
      </w:r>
      <w:r w:rsidRPr="0027299F">
        <w:rPr>
          <w:rFonts w:ascii="Times New Roman" w:hAnsi="Times New Roman" w:cs="Times New Roman"/>
          <w:sz w:val="24"/>
          <w:szCs w:val="24"/>
        </w:rPr>
        <w:t xml:space="preserve"> de la Unión Europea</w:t>
      </w:r>
      <w:r w:rsidR="001C7962" w:rsidRPr="0027299F">
        <w:rPr>
          <w:rFonts w:ascii="Times New Roman" w:hAnsi="Times New Roman" w:cs="Times New Roman"/>
          <w:sz w:val="24"/>
          <w:szCs w:val="24"/>
        </w:rPr>
        <w:t>,</w:t>
      </w:r>
      <w:r w:rsidRPr="0027299F">
        <w:rPr>
          <w:rFonts w:ascii="Times New Roman" w:hAnsi="Times New Roman" w:cs="Times New Roman"/>
          <w:sz w:val="24"/>
          <w:szCs w:val="24"/>
        </w:rPr>
        <w:t xml:space="preserve"> que suceda al</w:t>
      </w:r>
      <w:r w:rsidR="001C7962" w:rsidRPr="0027299F">
        <w:rPr>
          <w:rFonts w:ascii="Times New Roman" w:hAnsi="Times New Roman" w:cs="Times New Roman"/>
          <w:sz w:val="24"/>
          <w:szCs w:val="24"/>
        </w:rPr>
        <w:t xml:space="preserve"> que encabeza la vacua Ursula von der Leyen, deberá enviar al basurero de la historia,</w:t>
      </w:r>
      <w:r w:rsidRPr="0027299F">
        <w:rPr>
          <w:rFonts w:ascii="Times New Roman" w:hAnsi="Times New Roman" w:cs="Times New Roman"/>
          <w:sz w:val="24"/>
          <w:szCs w:val="24"/>
        </w:rPr>
        <w:t xml:space="preserve"> al día siguiente de tomar posesión,</w:t>
      </w:r>
      <w:r w:rsidR="001C7962" w:rsidRPr="0027299F">
        <w:rPr>
          <w:rFonts w:ascii="Times New Roman" w:hAnsi="Times New Roman" w:cs="Times New Roman"/>
          <w:sz w:val="24"/>
          <w:szCs w:val="24"/>
        </w:rPr>
        <w:t xml:space="preserve"> anulando todas estas disposiciones y proyectos delirantes, perjudiciales, y atentatorios, al crecimiento y desarrollo de la Unión Europea</w:t>
      </w:r>
      <w:r w:rsidR="00373C52" w:rsidRPr="0027299F">
        <w:rPr>
          <w:rFonts w:ascii="Times New Roman" w:hAnsi="Times New Roman" w:cs="Times New Roman"/>
          <w:sz w:val="24"/>
          <w:szCs w:val="24"/>
        </w:rPr>
        <w:t>.</w:t>
      </w:r>
    </w:p>
    <w:p w:rsidR="00C80869" w:rsidRPr="0027299F" w:rsidRDefault="00373C52" w:rsidP="00373C52">
      <w:pPr>
        <w:shd w:val="clear" w:color="auto" w:fill="F9F8F2"/>
        <w:spacing w:before="100" w:beforeAutospacing="1" w:after="100" w:afterAutospacing="1"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 Cierto, pero reiterar estos </w:t>
      </w:r>
      <w:r w:rsidR="00C80869" w:rsidRPr="0027299F">
        <w:rPr>
          <w:rFonts w:ascii="Times New Roman" w:hAnsi="Times New Roman" w:cs="Times New Roman"/>
          <w:sz w:val="24"/>
          <w:szCs w:val="24"/>
        </w:rPr>
        <w:t>asunto</w:t>
      </w:r>
      <w:r w:rsidRPr="0027299F">
        <w:rPr>
          <w:rFonts w:ascii="Times New Roman" w:hAnsi="Times New Roman" w:cs="Times New Roman"/>
          <w:sz w:val="24"/>
          <w:szCs w:val="24"/>
        </w:rPr>
        <w:t>s</w:t>
      </w:r>
      <w:r w:rsidR="00C80869" w:rsidRPr="0027299F">
        <w:rPr>
          <w:rFonts w:ascii="Times New Roman" w:hAnsi="Times New Roman" w:cs="Times New Roman"/>
          <w:sz w:val="24"/>
          <w:szCs w:val="24"/>
        </w:rPr>
        <w:t xml:space="preserve"> es revelador de la pésima salud</w:t>
      </w:r>
      <w:r w:rsidRPr="0027299F">
        <w:rPr>
          <w:rFonts w:ascii="Times New Roman" w:hAnsi="Times New Roman" w:cs="Times New Roman"/>
          <w:sz w:val="24"/>
          <w:szCs w:val="24"/>
        </w:rPr>
        <w:t xml:space="preserve"> que hoy lucen las instituciones europeas</w:t>
      </w:r>
      <w:r w:rsidR="00C80869" w:rsidRPr="0027299F">
        <w:rPr>
          <w:rFonts w:ascii="Times New Roman" w:hAnsi="Times New Roman" w:cs="Times New Roman"/>
          <w:sz w:val="24"/>
          <w:szCs w:val="24"/>
        </w:rPr>
        <w:t>, del grado de desvergüenza de ciertos clanes que se han hecho f</w:t>
      </w:r>
      <w:r w:rsidRPr="0027299F">
        <w:rPr>
          <w:rFonts w:ascii="Times New Roman" w:hAnsi="Times New Roman" w:cs="Times New Roman"/>
          <w:sz w:val="24"/>
          <w:szCs w:val="24"/>
        </w:rPr>
        <w:t>uertes en el aparato de gobierno</w:t>
      </w:r>
      <w:r w:rsidR="00C80869" w:rsidRPr="0027299F">
        <w:rPr>
          <w:rFonts w:ascii="Times New Roman" w:hAnsi="Times New Roman" w:cs="Times New Roman"/>
          <w:sz w:val="24"/>
          <w:szCs w:val="24"/>
        </w:rPr>
        <w:t xml:space="preserve">, y de </w:t>
      </w:r>
      <w:r w:rsidRPr="0027299F">
        <w:rPr>
          <w:rFonts w:ascii="Times New Roman" w:hAnsi="Times New Roman" w:cs="Times New Roman"/>
          <w:sz w:val="24"/>
          <w:szCs w:val="24"/>
        </w:rPr>
        <w:t xml:space="preserve">la radical inmoralidad de las máximas autoridades, y su banda, a la hora de concebir la Comisión y el Parlamento, </w:t>
      </w:r>
      <w:r w:rsidR="00C80869" w:rsidRPr="0027299F">
        <w:rPr>
          <w:rFonts w:ascii="Times New Roman" w:hAnsi="Times New Roman" w:cs="Times New Roman"/>
          <w:sz w:val="24"/>
          <w:szCs w:val="24"/>
        </w:rPr>
        <w:t>como un</w:t>
      </w:r>
      <w:r w:rsidRPr="0027299F">
        <w:rPr>
          <w:rFonts w:ascii="Times New Roman" w:hAnsi="Times New Roman" w:cs="Times New Roman"/>
          <w:sz w:val="24"/>
          <w:szCs w:val="24"/>
        </w:rPr>
        <w:t xml:space="preserve">a especie de gran finca, </w:t>
      </w:r>
      <w:r w:rsidR="00C80869" w:rsidRPr="0027299F">
        <w:rPr>
          <w:rFonts w:ascii="Times New Roman" w:hAnsi="Times New Roman" w:cs="Times New Roman"/>
          <w:sz w:val="24"/>
          <w:szCs w:val="24"/>
        </w:rPr>
        <w:t>o cortijo</w:t>
      </w:r>
      <w:r w:rsidRPr="0027299F">
        <w:rPr>
          <w:rFonts w:ascii="Times New Roman" w:hAnsi="Times New Roman" w:cs="Times New Roman"/>
          <w:sz w:val="24"/>
          <w:szCs w:val="24"/>
        </w:rPr>
        <w:t>,</w:t>
      </w:r>
      <w:r w:rsidR="00C80869" w:rsidRPr="0027299F">
        <w:rPr>
          <w:rFonts w:ascii="Times New Roman" w:hAnsi="Times New Roman" w:cs="Times New Roman"/>
          <w:sz w:val="24"/>
          <w:szCs w:val="24"/>
        </w:rPr>
        <w:t xml:space="preserve"> de los que disponer a su antojo, con total desprecio de las conductas que rigen el comportamiento de los servidores públicos en cualquier democracia digna de tal nombre.</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t>Valga recordar algunas de las cualidades que cualquier político europeo (y las autoridades comunitarias lo son, sumadas a su formación profesional), cualidades que pueden resumirse en lo siguiente: saber qué se quiere y qué se puede, saber qué hay que hacer, cuándo y cómo hacerlo. Esas virtudes no se suplen con una sobrecarga ideológica (¡salvemos el planeta!), tan excesiva, tan extenuante, tan radical, que al final lo que creen que se ha hecho bien no se percibe como tal; la ciudadanía quiere empleos, no quiere paradigmas, o ensoñaciones.</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t>Para presidir el destino de 500 millones de europe</w:t>
      </w:r>
      <w:r w:rsidR="003F2346">
        <w:rPr>
          <w:rFonts w:ascii="Times New Roman" w:hAnsi="Times New Roman" w:cs="Times New Roman"/>
          <w:iCs/>
          <w:sz w:val="24"/>
          <w:szCs w:val="24"/>
        </w:rPr>
        <w:t>os, se requiere tener auctorita</w:t>
      </w:r>
      <w:r w:rsidRPr="0027299F">
        <w:rPr>
          <w:rFonts w:ascii="Times New Roman" w:hAnsi="Times New Roman" w:cs="Times New Roman"/>
          <w:iCs/>
          <w:sz w:val="24"/>
          <w:szCs w:val="24"/>
        </w:rPr>
        <w:t>, la cual sólo se consigue por una conducta rigurosa y fiel a los principios. La simple potestas, la que otorga el turno como tal, supone aceptar el papel de marioneta.</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t>No es poco el desafío. No es poco lo que debe hacerse. En ese aggiornamento, puesta al día, correr apurado, es necesario un cambio con certidumbre. Además, vistos los acontecimientos recientes, Europa deberá replantearse su modernidad en ese contexto internacional de evoluciones increíbles y vertiginosas en el terreno de la ciencia, la tecnología y la innovación, con nuevos enfoques éticos.</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t xml:space="preserve">Mientras tanto, la cuarta revolución industrial, la sociedad 5.0 del conocimiento, se mueve a ritmo exponencial fuera de las fronteras europeas. Son muchos los asuntos pendientes que seguramente deberán estar en las mentes de los candidatos a ser las nuevas autoridades europeas en un futuro próximo. </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lastRenderedPageBreak/>
        <w:t xml:space="preserve">Algunos serán difíciles de abordar, no solamente por las tensiones internas provocadas por cambios no siempre bienvenidos por los entusiastas de la inmovilidad, atados al ancestral instinto territorial de los primates, sino sobre todo por la atmósfera externa adversa, que hasta ahora se ha mostrado contraria al crecimiento armónico de la sociedad. </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t>En todo caso, las autoridades entrantes deberán conciliar y trabajar junto a esa sociedad europea que se ha expresado, y aprovechar también las propuestas sensatas de las partes interesadas. Sumar esfuerzos será consigna para el momento. Mirar hacia adentro, el objetivo.</w:t>
      </w:r>
    </w:p>
    <w:p w:rsidR="00370154" w:rsidRPr="0027299F" w:rsidRDefault="00370154" w:rsidP="00370154">
      <w:pPr>
        <w:spacing w:line="240" w:lineRule="auto"/>
        <w:jc w:val="both"/>
        <w:rPr>
          <w:rFonts w:ascii="Times New Roman" w:hAnsi="Times New Roman" w:cs="Times New Roman"/>
          <w:iCs/>
          <w:sz w:val="24"/>
          <w:szCs w:val="24"/>
        </w:rPr>
      </w:pPr>
      <w:r w:rsidRPr="0027299F">
        <w:rPr>
          <w:rFonts w:ascii="Times New Roman" w:hAnsi="Times New Roman" w:cs="Times New Roman"/>
          <w:iCs/>
          <w:sz w:val="24"/>
          <w:szCs w:val="24"/>
        </w:rPr>
        <w:t>La Unión Europea no necesita vivir a la sombra de EEUU y/o China. Las autoridades europeas deben salir de la caja negra de la globalización, la financierización y el librecambio.</w:t>
      </w:r>
    </w:p>
    <w:p w:rsidR="00373C52" w:rsidRPr="0027299F" w:rsidRDefault="00370154" w:rsidP="00370154">
      <w:pPr>
        <w:pStyle w:val="NormalWeb"/>
        <w:spacing w:before="0" w:beforeAutospacing="0" w:after="360" w:afterAutospacing="0"/>
        <w:jc w:val="both"/>
      </w:pPr>
      <w:r w:rsidRPr="0027299F">
        <w:t xml:space="preserve">Antes de llegar al punto de no retorno, ¿se podrá </w:t>
      </w:r>
      <w:r w:rsidRPr="0027299F">
        <w:rPr>
          <w:rStyle w:val="Textoennegrita"/>
          <w:b w:val="0"/>
        </w:rPr>
        <w:t xml:space="preserve">hacer algún intento por controlar la situación, con nuevas medidas políticas y económicas? </w:t>
      </w:r>
      <w:r w:rsidRPr="0027299F">
        <w:t xml:space="preserve">¿habrá manera de cambiar el rumbo? ¿podrá la UE volver a ser atractiva para los inversores? ¿podrán sus ciudadanos recuperar la ilusión?. </w:t>
      </w:r>
      <w:r w:rsidR="003154E2" w:rsidRPr="0027299F">
        <w:t>Previo a mandar a la morgue el cadáver de la UE, les dejo algunos temas cuya rectificación podría causar una resurrección milagrosa</w:t>
      </w:r>
      <w:r w:rsidR="00CF024C" w:rsidRPr="0027299F">
        <w:t xml:space="preserve"> que</w:t>
      </w:r>
      <w:r w:rsidR="003154E2" w:rsidRPr="0027299F">
        <w:t xml:space="preserve"> </w:t>
      </w:r>
      <w:r w:rsidR="00CF024C" w:rsidRPr="0027299F">
        <w:t>nos revele</w:t>
      </w:r>
      <w:r w:rsidR="003154E2" w:rsidRPr="0027299F">
        <w:t xml:space="preserve"> que Europa no abandona a los suyos. </w:t>
      </w:r>
    </w:p>
    <w:p w:rsidR="00A64F55" w:rsidRPr="0027299F" w:rsidRDefault="00CF024C" w:rsidP="00373C52">
      <w:pPr>
        <w:spacing w:line="240" w:lineRule="auto"/>
        <w:jc w:val="both"/>
        <w:rPr>
          <w:rFonts w:ascii="Times New Roman" w:hAnsi="Times New Roman" w:cs="Times New Roman"/>
          <w:sz w:val="24"/>
          <w:szCs w:val="24"/>
        </w:rPr>
      </w:pPr>
      <w:r w:rsidRPr="0027299F">
        <w:rPr>
          <w:rFonts w:ascii="Times New Roman" w:hAnsi="Times New Roman" w:cs="Times New Roman"/>
          <w:b/>
          <w:sz w:val="24"/>
          <w:szCs w:val="24"/>
        </w:rPr>
        <w:t>T</w:t>
      </w:r>
      <w:r w:rsidRPr="0027299F">
        <w:rPr>
          <w:rFonts w:ascii="Times New Roman" w:hAnsi="Times New Roman" w:cs="Times New Roman"/>
          <w:sz w:val="24"/>
          <w:szCs w:val="24"/>
        </w:rPr>
        <w:t xml:space="preserve">emas críticos: </w:t>
      </w:r>
      <w:r w:rsidR="00373C52" w:rsidRPr="0027299F">
        <w:rPr>
          <w:rFonts w:ascii="Times New Roman" w:hAnsi="Times New Roman" w:cs="Times New Roman"/>
          <w:sz w:val="24"/>
          <w:szCs w:val="24"/>
        </w:rPr>
        <w:t>Agenda 2030,</w:t>
      </w:r>
      <w:r w:rsidRPr="0027299F">
        <w:rPr>
          <w:rFonts w:ascii="Times New Roman" w:hAnsi="Times New Roman" w:cs="Times New Roman"/>
          <w:sz w:val="24"/>
          <w:szCs w:val="24"/>
        </w:rPr>
        <w:t xml:space="preserve"> multilateralismo,</w:t>
      </w:r>
      <w:r w:rsidR="00D26E9D" w:rsidRPr="0027299F">
        <w:rPr>
          <w:rFonts w:ascii="Times New Roman" w:hAnsi="Times New Roman" w:cs="Times New Roman"/>
          <w:sz w:val="24"/>
          <w:szCs w:val="24"/>
        </w:rPr>
        <w:t xml:space="preserve"> librecambio,</w:t>
      </w:r>
      <w:r w:rsidRPr="0027299F">
        <w:rPr>
          <w:rFonts w:ascii="Times New Roman" w:hAnsi="Times New Roman" w:cs="Times New Roman"/>
          <w:sz w:val="24"/>
          <w:szCs w:val="24"/>
        </w:rPr>
        <w:t xml:space="preserve"> abandono el Modelo Renano, desindustrialización, </w:t>
      </w:r>
      <w:r w:rsidR="00373C52" w:rsidRPr="0027299F">
        <w:rPr>
          <w:rFonts w:ascii="Times New Roman" w:hAnsi="Times New Roman" w:cs="Times New Roman"/>
          <w:sz w:val="24"/>
          <w:szCs w:val="24"/>
        </w:rPr>
        <w:t>dependencia energética, dependencia te</w:t>
      </w:r>
      <w:r w:rsidRPr="0027299F">
        <w:rPr>
          <w:rFonts w:ascii="Times New Roman" w:hAnsi="Times New Roman" w:cs="Times New Roman"/>
          <w:sz w:val="24"/>
          <w:szCs w:val="24"/>
        </w:rPr>
        <w:t xml:space="preserve">cnológica, dependencia militar, </w:t>
      </w:r>
      <w:r w:rsidR="00373C52" w:rsidRPr="0027299F">
        <w:rPr>
          <w:rFonts w:ascii="Times New Roman" w:hAnsi="Times New Roman" w:cs="Times New Roman"/>
          <w:sz w:val="24"/>
          <w:szCs w:val="24"/>
        </w:rPr>
        <w:t>pérdida de soberanía al</w:t>
      </w:r>
      <w:r w:rsidRPr="0027299F">
        <w:rPr>
          <w:rFonts w:ascii="Times New Roman" w:hAnsi="Times New Roman" w:cs="Times New Roman"/>
          <w:sz w:val="24"/>
          <w:szCs w:val="24"/>
        </w:rPr>
        <w:t>imentaria, ecologismo extremo</w:t>
      </w:r>
      <w:r w:rsidR="00373C52" w:rsidRPr="0027299F">
        <w:rPr>
          <w:rFonts w:ascii="Times New Roman" w:hAnsi="Times New Roman" w:cs="Times New Roman"/>
          <w:sz w:val="24"/>
          <w:szCs w:val="24"/>
        </w:rPr>
        <w:t>,</w:t>
      </w:r>
      <w:r w:rsidRPr="0027299F">
        <w:rPr>
          <w:rFonts w:ascii="Times New Roman" w:hAnsi="Times New Roman" w:cs="Times New Roman"/>
          <w:sz w:val="24"/>
          <w:szCs w:val="24"/>
        </w:rPr>
        <w:t xml:space="preserve"> excesiva tolerancia con la inmigración ilegal</w:t>
      </w:r>
      <w:r w:rsidR="00373C52" w:rsidRPr="0027299F">
        <w:rPr>
          <w:rFonts w:ascii="Times New Roman" w:hAnsi="Times New Roman" w:cs="Times New Roman"/>
          <w:sz w:val="24"/>
          <w:szCs w:val="24"/>
        </w:rPr>
        <w:t xml:space="preserve">, </w:t>
      </w:r>
      <w:r w:rsidR="00D26E9D" w:rsidRPr="0027299F">
        <w:rPr>
          <w:rFonts w:ascii="Times New Roman" w:hAnsi="Times New Roman" w:cs="Times New Roman"/>
          <w:sz w:val="24"/>
          <w:szCs w:val="24"/>
        </w:rPr>
        <w:t>cultura de la cancelación, ideología de género, ideología woke,</w:t>
      </w:r>
      <w:r w:rsidR="00BC6449">
        <w:rPr>
          <w:rFonts w:ascii="Times New Roman" w:hAnsi="Times New Roman" w:cs="Times New Roman"/>
          <w:sz w:val="24"/>
          <w:szCs w:val="24"/>
        </w:rPr>
        <w:t xml:space="preserve"> multiculturalismo,</w:t>
      </w:r>
      <w:r w:rsidR="00D26E9D" w:rsidRPr="0027299F">
        <w:rPr>
          <w:rFonts w:ascii="Times New Roman" w:hAnsi="Times New Roman" w:cs="Times New Roman"/>
          <w:sz w:val="24"/>
          <w:szCs w:val="24"/>
        </w:rPr>
        <w:t xml:space="preserve"> comportamiento políticamente correcto, mesianismo, burocracia, lentitud, </w:t>
      </w:r>
      <w:r w:rsidR="00EA3A13" w:rsidRPr="0027299F">
        <w:rPr>
          <w:rFonts w:ascii="Times New Roman" w:hAnsi="Times New Roman" w:cs="Times New Roman"/>
          <w:sz w:val="24"/>
          <w:szCs w:val="24"/>
        </w:rPr>
        <w:t xml:space="preserve">decisiones por </w:t>
      </w:r>
      <w:r w:rsidR="00D26E9D" w:rsidRPr="0027299F">
        <w:rPr>
          <w:rFonts w:ascii="Times New Roman" w:hAnsi="Times New Roman" w:cs="Times New Roman"/>
          <w:sz w:val="24"/>
          <w:szCs w:val="24"/>
        </w:rPr>
        <w:t xml:space="preserve">unanimidad, </w:t>
      </w:r>
      <w:r w:rsidR="00EA3A13" w:rsidRPr="0027299F">
        <w:rPr>
          <w:rFonts w:ascii="Times New Roman" w:hAnsi="Times New Roman" w:cs="Times New Roman"/>
          <w:sz w:val="24"/>
          <w:szCs w:val="24"/>
        </w:rPr>
        <w:t>abandono de</w:t>
      </w:r>
      <w:r w:rsidR="00A64F55" w:rsidRPr="0027299F">
        <w:rPr>
          <w:rFonts w:ascii="Times New Roman" w:hAnsi="Times New Roman" w:cs="Times New Roman"/>
          <w:sz w:val="24"/>
          <w:szCs w:val="24"/>
        </w:rPr>
        <w:t xml:space="preserve"> la ortodoxia financiera del T</w:t>
      </w:r>
      <w:r w:rsidR="00D26E9D" w:rsidRPr="0027299F">
        <w:rPr>
          <w:rFonts w:ascii="Times New Roman" w:hAnsi="Times New Roman" w:cs="Times New Roman"/>
          <w:sz w:val="24"/>
          <w:szCs w:val="24"/>
        </w:rPr>
        <w:t>ratado de Maastricht</w:t>
      </w:r>
      <w:r w:rsidR="00A64F55" w:rsidRPr="0027299F">
        <w:rPr>
          <w:rFonts w:ascii="Times New Roman" w:hAnsi="Times New Roman" w:cs="Times New Roman"/>
          <w:sz w:val="24"/>
          <w:szCs w:val="24"/>
        </w:rPr>
        <w:t>…</w:t>
      </w:r>
    </w:p>
    <w:p w:rsidR="00A64F55" w:rsidRPr="0027299F" w:rsidRDefault="00A64F55" w:rsidP="00373C52">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Hay más, muchos más, temas críticos, pero para empezar, creo que es suficiente (por ahora).</w:t>
      </w:r>
    </w:p>
    <w:p w:rsidR="00373C52" w:rsidRPr="0027299F" w:rsidRDefault="00A64F55" w:rsidP="00373C52">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A partir de lo dicho, ustedes mismos. Y recuerden, que en junio 2024, hay elecciones europeas. Será la hora de votar y botar. </w:t>
      </w:r>
      <w:r w:rsidR="00EA3A13" w:rsidRPr="0027299F">
        <w:rPr>
          <w:rFonts w:ascii="Times New Roman" w:hAnsi="Times New Roman" w:cs="Times New Roman"/>
          <w:sz w:val="24"/>
          <w:szCs w:val="24"/>
        </w:rPr>
        <w:t>Espero (y deseo) que actúen en consecuencia.</w:t>
      </w:r>
      <w:r w:rsidRPr="0027299F">
        <w:rPr>
          <w:rFonts w:ascii="Times New Roman" w:hAnsi="Times New Roman" w:cs="Times New Roman"/>
          <w:sz w:val="24"/>
          <w:szCs w:val="24"/>
        </w:rPr>
        <w:t xml:space="preserve">  </w:t>
      </w:r>
      <w:r w:rsidR="00D26E9D" w:rsidRPr="0027299F">
        <w:rPr>
          <w:rFonts w:ascii="Times New Roman" w:hAnsi="Times New Roman" w:cs="Times New Roman"/>
          <w:sz w:val="24"/>
          <w:szCs w:val="24"/>
        </w:rPr>
        <w:t xml:space="preserve"> </w:t>
      </w:r>
      <w:r w:rsidR="00373C52" w:rsidRPr="0027299F">
        <w:rPr>
          <w:rFonts w:ascii="Times New Roman" w:hAnsi="Times New Roman" w:cs="Times New Roman"/>
          <w:sz w:val="24"/>
          <w:szCs w:val="24"/>
        </w:rPr>
        <w:t xml:space="preserve"> </w:t>
      </w:r>
    </w:p>
    <w:p w:rsidR="00D43C1E" w:rsidRPr="0027299F" w:rsidRDefault="00EA3A13" w:rsidP="00D43C1E">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Tengan presente (por favor) </w:t>
      </w:r>
      <w:r w:rsidR="00D43C1E" w:rsidRPr="0027299F">
        <w:rPr>
          <w:rFonts w:ascii="Times New Roman" w:hAnsi="Times New Roman" w:cs="Times New Roman"/>
          <w:sz w:val="24"/>
          <w:szCs w:val="24"/>
        </w:rPr>
        <w:t>que Europa no tiene por qué e</w:t>
      </w:r>
      <w:r w:rsidRPr="0027299F">
        <w:rPr>
          <w:rFonts w:ascii="Times New Roman" w:hAnsi="Times New Roman" w:cs="Times New Roman"/>
          <w:sz w:val="24"/>
          <w:szCs w:val="24"/>
        </w:rPr>
        <w:t xml:space="preserve">mpobrecerse </w:t>
      </w:r>
      <w:r w:rsidR="00D43C1E" w:rsidRPr="0027299F">
        <w:rPr>
          <w:rFonts w:ascii="Times New Roman" w:hAnsi="Times New Roman" w:cs="Times New Roman"/>
          <w:sz w:val="24"/>
          <w:szCs w:val="24"/>
        </w:rPr>
        <w:t xml:space="preserve">-por las buenas o por las malas- para salvar el planeta. El “decrecimiento”, es una máquina creadora de pobres. </w:t>
      </w:r>
    </w:p>
    <w:p w:rsidR="00D43C1E" w:rsidRPr="0027299F" w:rsidRDefault="00D43C1E" w:rsidP="00370154">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Para que vean “por dónde van los tiros” les comento que el Parlamento Europeo celebró durante la segunda quincena del pasado mes de mayo la Conferencia Beyond Growth 2023, “Más allá del crecimiento”, que se encargó de inaugurar la propia presidenta de la Comisión Europea, Úrsula Von der Leyen.</w:t>
      </w:r>
      <w:r w:rsidR="00370154" w:rsidRPr="0027299F">
        <w:rPr>
          <w:rFonts w:ascii="Times New Roman" w:hAnsi="Times New Roman" w:cs="Times New Roman"/>
          <w:sz w:val="24"/>
          <w:szCs w:val="24"/>
        </w:rPr>
        <w:t xml:space="preserve"> </w:t>
      </w:r>
      <w:r w:rsidRPr="0027299F">
        <w:rPr>
          <w:rFonts w:ascii="Times New Roman" w:hAnsi="Times New Roman" w:cs="Times New Roman"/>
          <w:sz w:val="24"/>
          <w:szCs w:val="24"/>
        </w:rPr>
        <w:t xml:space="preserve">Los 20 paneles que se celebraron durante los tres días que duró el evento no dejan lugar a dudas de las intenciones de sus participantes: malthusianismo, discurso fatalista, racionamiento de recursos, políticas anticonsumo... </w:t>
      </w:r>
    </w:p>
    <w:p w:rsidR="00D43C1E" w:rsidRPr="0027299F" w:rsidRDefault="00D43C1E" w:rsidP="00D43C1E">
      <w:pPr>
        <w:shd w:val="clear" w:color="auto" w:fill="F9F8F2"/>
        <w:spacing w:before="100" w:beforeAutospacing="1" w:after="100" w:afterAutospacing="1" w:line="240" w:lineRule="auto"/>
        <w:jc w:val="both"/>
        <w:rPr>
          <w:rFonts w:ascii="Times New Roman" w:hAnsi="Times New Roman" w:cs="Times New Roman"/>
          <w:sz w:val="24"/>
          <w:szCs w:val="24"/>
        </w:rPr>
      </w:pPr>
      <w:r w:rsidRPr="0027299F">
        <w:rPr>
          <w:rFonts w:ascii="Times New Roman" w:hAnsi="Times New Roman" w:cs="Times New Roman"/>
          <w:sz w:val="24"/>
          <w:szCs w:val="24"/>
        </w:rPr>
        <w:t>A continuación, algunas de las charlas:</w:t>
      </w:r>
    </w:p>
    <w:p w:rsidR="00D43C1E" w:rsidRPr="0027299F" w:rsidRDefault="007F7E89" w:rsidP="00D43C1E">
      <w:pPr>
        <w:shd w:val="clear" w:color="auto" w:fill="F9F8F2"/>
        <w:spacing w:before="100" w:beforeAutospacing="1" w:after="100" w:afterAutospacing="1"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1 - </w:t>
      </w:r>
      <w:r w:rsidR="00D43C1E" w:rsidRPr="0027299F">
        <w:rPr>
          <w:rFonts w:ascii="Times New Roman" w:hAnsi="Times New Roman" w:cs="Times New Roman"/>
          <w:sz w:val="24"/>
          <w:szCs w:val="24"/>
        </w:rPr>
        <w:t>Comprender los límites biofísicos del crecimiento para construir una economía que respete los límites planetarios.</w:t>
      </w:r>
      <w:r w:rsidRPr="0027299F">
        <w:rPr>
          <w:rFonts w:ascii="Times New Roman" w:hAnsi="Times New Roman" w:cs="Times New Roman"/>
          <w:sz w:val="24"/>
          <w:szCs w:val="24"/>
        </w:rPr>
        <w:t xml:space="preserve"> 2 - </w:t>
      </w:r>
      <w:r w:rsidR="00D43C1E" w:rsidRPr="0027299F">
        <w:rPr>
          <w:rFonts w:ascii="Times New Roman" w:hAnsi="Times New Roman" w:cs="Times New Roman"/>
          <w:sz w:val="24"/>
          <w:szCs w:val="24"/>
        </w:rPr>
        <w:t>Abordar los límites del consumo de recursos:</w:t>
      </w:r>
      <w:r w:rsidRPr="0027299F">
        <w:rPr>
          <w:rFonts w:ascii="Times New Roman" w:hAnsi="Times New Roman" w:cs="Times New Roman"/>
          <w:sz w:val="24"/>
          <w:szCs w:val="24"/>
        </w:rPr>
        <w:t xml:space="preserve"> hacia una economía resiliente. 3 - </w:t>
      </w:r>
      <w:r w:rsidR="00D43C1E" w:rsidRPr="0027299F">
        <w:rPr>
          <w:rFonts w:ascii="Times New Roman" w:hAnsi="Times New Roman" w:cs="Times New Roman"/>
          <w:sz w:val="24"/>
          <w:szCs w:val="24"/>
        </w:rPr>
        <w:t>Cortar la adicción del trabajo al cr</w:t>
      </w:r>
      <w:r w:rsidRPr="0027299F">
        <w:rPr>
          <w:rFonts w:ascii="Times New Roman" w:hAnsi="Times New Roman" w:cs="Times New Roman"/>
          <w:sz w:val="24"/>
          <w:szCs w:val="24"/>
        </w:rPr>
        <w:t xml:space="preserve">ecimiento: la semana de 4 días. 4 - </w:t>
      </w:r>
      <w:r w:rsidR="00D43C1E" w:rsidRPr="0027299F">
        <w:rPr>
          <w:rFonts w:ascii="Times New Roman" w:hAnsi="Times New Roman" w:cs="Times New Roman"/>
          <w:sz w:val="24"/>
          <w:szCs w:val="24"/>
        </w:rPr>
        <w:t>Más allá de los indicadores del PIB (para cambiar el modelo contable e incluir en esta variable valores ambientales).</w:t>
      </w:r>
    </w:p>
    <w:p w:rsidR="00C35806" w:rsidRPr="0027299F" w:rsidRDefault="007F7E89" w:rsidP="00C35806">
      <w:pPr>
        <w:shd w:val="clear" w:color="auto" w:fill="F9F8F2"/>
        <w:spacing w:before="100" w:beforeAutospacing="1" w:after="100" w:afterAutospacing="1" w:line="240" w:lineRule="auto"/>
        <w:jc w:val="both"/>
        <w:rPr>
          <w:rFonts w:ascii="Times New Roman" w:hAnsi="Times New Roman" w:cs="Times New Roman"/>
          <w:b/>
          <w:sz w:val="24"/>
          <w:szCs w:val="24"/>
        </w:rPr>
      </w:pPr>
      <w:r w:rsidRPr="0027299F">
        <w:rPr>
          <w:rFonts w:ascii="Times New Roman" w:hAnsi="Times New Roman" w:cs="Times New Roman"/>
          <w:b/>
          <w:sz w:val="24"/>
          <w:szCs w:val="24"/>
        </w:rPr>
        <w:t>En definitiva</w:t>
      </w:r>
      <w:r w:rsidR="00C35806" w:rsidRPr="0027299F">
        <w:rPr>
          <w:rFonts w:ascii="Times New Roman" w:hAnsi="Times New Roman" w:cs="Times New Roman"/>
          <w:b/>
          <w:sz w:val="24"/>
          <w:szCs w:val="24"/>
        </w:rPr>
        <w:t>:</w:t>
      </w:r>
      <w:r w:rsidR="00A91C73">
        <w:rPr>
          <w:rFonts w:ascii="Times New Roman" w:hAnsi="Times New Roman" w:cs="Times New Roman"/>
          <w:b/>
          <w:sz w:val="24"/>
          <w:szCs w:val="24"/>
        </w:rPr>
        <w:t xml:space="preserve"> el objetivo de los partidarios del</w:t>
      </w:r>
      <w:r w:rsidRPr="0027299F">
        <w:rPr>
          <w:rFonts w:ascii="Times New Roman" w:hAnsi="Times New Roman" w:cs="Times New Roman"/>
          <w:b/>
          <w:sz w:val="24"/>
          <w:szCs w:val="24"/>
        </w:rPr>
        <w:t xml:space="preserve"> “decrecimiento” es la</w:t>
      </w:r>
      <w:r w:rsidR="00C35806" w:rsidRPr="0027299F">
        <w:rPr>
          <w:rFonts w:ascii="Times New Roman" w:hAnsi="Times New Roman" w:cs="Times New Roman"/>
          <w:b/>
          <w:sz w:val="24"/>
          <w:szCs w:val="24"/>
        </w:rPr>
        <w:t xml:space="preserve"> “pobreza” o, tal vez,</w:t>
      </w:r>
      <w:r w:rsidR="00A91C73">
        <w:rPr>
          <w:rFonts w:ascii="Times New Roman" w:hAnsi="Times New Roman" w:cs="Times New Roman"/>
          <w:b/>
          <w:sz w:val="24"/>
          <w:szCs w:val="24"/>
        </w:rPr>
        <w:t xml:space="preserve"> para el caso de Europa,</w:t>
      </w:r>
      <w:r w:rsidR="00C35806" w:rsidRPr="0027299F">
        <w:rPr>
          <w:rFonts w:ascii="Times New Roman" w:hAnsi="Times New Roman" w:cs="Times New Roman"/>
          <w:b/>
          <w:sz w:val="24"/>
          <w:szCs w:val="24"/>
        </w:rPr>
        <w:t xml:space="preserve"> debería </w:t>
      </w:r>
      <w:r w:rsidR="00A91C73">
        <w:rPr>
          <w:rFonts w:ascii="Times New Roman" w:hAnsi="Times New Roman" w:cs="Times New Roman"/>
          <w:b/>
          <w:sz w:val="24"/>
          <w:szCs w:val="24"/>
        </w:rPr>
        <w:t xml:space="preserve">decirse de </w:t>
      </w:r>
      <w:r w:rsidR="00C35806" w:rsidRPr="0027299F">
        <w:rPr>
          <w:rFonts w:ascii="Times New Roman" w:hAnsi="Times New Roman" w:cs="Times New Roman"/>
          <w:b/>
          <w:sz w:val="24"/>
          <w:szCs w:val="24"/>
        </w:rPr>
        <w:t>“más pobreza”. O sea.</w:t>
      </w:r>
    </w:p>
    <w:sectPr w:rsidR="00C35806" w:rsidRPr="0027299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oxygen">
    <w:altName w:val="Times New Roman"/>
    <w:panose1 w:val="00000000000000000000"/>
    <w:charset w:val="00"/>
    <w:family w:val="roman"/>
    <w:notTrueType/>
    <w:pitch w:val="default"/>
  </w:font>
  <w:font w:name="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F65747"/>
    <w:multiLevelType w:val="multilevel"/>
    <w:tmpl w:val="2A6830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7C35419F"/>
    <w:multiLevelType w:val="hybridMultilevel"/>
    <w:tmpl w:val="61684828"/>
    <w:lvl w:ilvl="0" w:tplc="A476B724">
      <w:numFmt w:val="bullet"/>
      <w:lvlText w:val="-"/>
      <w:lvlJc w:val="left"/>
      <w:pPr>
        <w:ind w:left="720" w:hanging="360"/>
      </w:pPr>
      <w:rPr>
        <w:rFonts w:ascii="Times New Roman" w:eastAsiaTheme="minorHAnsi"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44A4"/>
    <w:rsid w:val="0006728A"/>
    <w:rsid w:val="00082503"/>
    <w:rsid w:val="000B4D93"/>
    <w:rsid w:val="000C04C5"/>
    <w:rsid w:val="000D4D36"/>
    <w:rsid w:val="000D777F"/>
    <w:rsid w:val="00106F4C"/>
    <w:rsid w:val="001375B1"/>
    <w:rsid w:val="001456E8"/>
    <w:rsid w:val="00161C7F"/>
    <w:rsid w:val="001749CC"/>
    <w:rsid w:val="001922D5"/>
    <w:rsid w:val="001A7048"/>
    <w:rsid w:val="001C7962"/>
    <w:rsid w:val="001D0570"/>
    <w:rsid w:val="001D5372"/>
    <w:rsid w:val="001F1C60"/>
    <w:rsid w:val="002425A0"/>
    <w:rsid w:val="00245707"/>
    <w:rsid w:val="0027299F"/>
    <w:rsid w:val="002E51CE"/>
    <w:rsid w:val="003154E2"/>
    <w:rsid w:val="00370154"/>
    <w:rsid w:val="00373C52"/>
    <w:rsid w:val="00395A01"/>
    <w:rsid w:val="003F2346"/>
    <w:rsid w:val="00414715"/>
    <w:rsid w:val="00463595"/>
    <w:rsid w:val="004B1FAB"/>
    <w:rsid w:val="004B3489"/>
    <w:rsid w:val="004C02F8"/>
    <w:rsid w:val="004E62F7"/>
    <w:rsid w:val="00506912"/>
    <w:rsid w:val="005111D6"/>
    <w:rsid w:val="0051130C"/>
    <w:rsid w:val="00541124"/>
    <w:rsid w:val="00596082"/>
    <w:rsid w:val="005A1132"/>
    <w:rsid w:val="00612F45"/>
    <w:rsid w:val="006B40B0"/>
    <w:rsid w:val="007011C3"/>
    <w:rsid w:val="007164E6"/>
    <w:rsid w:val="00720D6C"/>
    <w:rsid w:val="007C6E04"/>
    <w:rsid w:val="007F7E89"/>
    <w:rsid w:val="00850077"/>
    <w:rsid w:val="0085300F"/>
    <w:rsid w:val="008D0A45"/>
    <w:rsid w:val="008E1F5C"/>
    <w:rsid w:val="00930C98"/>
    <w:rsid w:val="009465DD"/>
    <w:rsid w:val="009F3D61"/>
    <w:rsid w:val="00A03F7D"/>
    <w:rsid w:val="00A27100"/>
    <w:rsid w:val="00A554C9"/>
    <w:rsid w:val="00A63E02"/>
    <w:rsid w:val="00A64F55"/>
    <w:rsid w:val="00A91C73"/>
    <w:rsid w:val="00AB3B13"/>
    <w:rsid w:val="00AD6439"/>
    <w:rsid w:val="00B37B2C"/>
    <w:rsid w:val="00B7204A"/>
    <w:rsid w:val="00BA0B33"/>
    <w:rsid w:val="00BA3B78"/>
    <w:rsid w:val="00BC6449"/>
    <w:rsid w:val="00BF639D"/>
    <w:rsid w:val="00C044A4"/>
    <w:rsid w:val="00C131C0"/>
    <w:rsid w:val="00C35806"/>
    <w:rsid w:val="00C80869"/>
    <w:rsid w:val="00CA3040"/>
    <w:rsid w:val="00CF024C"/>
    <w:rsid w:val="00D26E9D"/>
    <w:rsid w:val="00D33CE2"/>
    <w:rsid w:val="00D43C1E"/>
    <w:rsid w:val="00D65ABE"/>
    <w:rsid w:val="00DA27AD"/>
    <w:rsid w:val="00DE6586"/>
    <w:rsid w:val="00EA3A13"/>
    <w:rsid w:val="00EB72ED"/>
    <w:rsid w:val="00FB4726"/>
    <w:rsid w:val="00FC318D"/>
    <w:rsid w:val="00FC435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44A4"/>
  </w:style>
  <w:style w:type="paragraph" w:styleId="Ttulo4">
    <w:name w:val="heading 4"/>
    <w:basedOn w:val="Normal"/>
    <w:next w:val="Normal"/>
    <w:link w:val="Ttulo4Car"/>
    <w:uiPriority w:val="9"/>
    <w:unhideWhenUsed/>
    <w:qFormat/>
    <w:rsid w:val="007C6E0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044A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44A4"/>
    <w:rPr>
      <w:rFonts w:ascii="Tahoma" w:hAnsi="Tahoma" w:cs="Tahoma"/>
      <w:sz w:val="16"/>
      <w:szCs w:val="16"/>
    </w:rPr>
  </w:style>
  <w:style w:type="character" w:styleId="Textoennegrita">
    <w:name w:val="Strong"/>
    <w:basedOn w:val="Fuentedeprrafopredeter"/>
    <w:uiPriority w:val="22"/>
    <w:qFormat/>
    <w:rsid w:val="00596082"/>
    <w:rPr>
      <w:b/>
      <w:bCs/>
    </w:rPr>
  </w:style>
  <w:style w:type="character" w:styleId="Hipervnculo">
    <w:name w:val="Hyperlink"/>
    <w:basedOn w:val="Fuentedeprrafopredeter"/>
    <w:uiPriority w:val="99"/>
    <w:unhideWhenUsed/>
    <w:rsid w:val="00596082"/>
    <w:rPr>
      <w:color w:val="0000FF"/>
      <w:u w:val="single"/>
    </w:rPr>
  </w:style>
  <w:style w:type="character" w:customStyle="1" w:styleId="Ttulo4Car">
    <w:name w:val="Título 4 Car"/>
    <w:basedOn w:val="Fuentedeprrafopredeter"/>
    <w:link w:val="Ttulo4"/>
    <w:uiPriority w:val="9"/>
    <w:rsid w:val="007C6E04"/>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FB4726"/>
    <w:pPr>
      <w:ind w:left="720"/>
      <w:contextualSpacing/>
    </w:pPr>
  </w:style>
  <w:style w:type="character" w:customStyle="1" w:styleId="apple-converted-space">
    <w:name w:val="apple-converted-space"/>
    <w:basedOn w:val="Fuentedeprrafopredeter"/>
    <w:rsid w:val="00D65ABE"/>
  </w:style>
  <w:style w:type="paragraph" w:styleId="NormalWeb">
    <w:name w:val="Normal (Web)"/>
    <w:basedOn w:val="Normal"/>
    <w:uiPriority w:val="99"/>
    <w:unhideWhenUsed/>
    <w:rsid w:val="00DA27A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uiPriority w:val="99"/>
    <w:rsid w:val="00DA27A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titulo">
    <w:name w:val="titulo"/>
    <w:basedOn w:val="Normal"/>
    <w:rsid w:val="00DA27AD"/>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44A4"/>
  </w:style>
  <w:style w:type="paragraph" w:styleId="Ttulo4">
    <w:name w:val="heading 4"/>
    <w:basedOn w:val="Normal"/>
    <w:next w:val="Normal"/>
    <w:link w:val="Ttulo4Car"/>
    <w:uiPriority w:val="9"/>
    <w:unhideWhenUsed/>
    <w:qFormat/>
    <w:rsid w:val="007C6E0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044A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44A4"/>
    <w:rPr>
      <w:rFonts w:ascii="Tahoma" w:hAnsi="Tahoma" w:cs="Tahoma"/>
      <w:sz w:val="16"/>
      <w:szCs w:val="16"/>
    </w:rPr>
  </w:style>
  <w:style w:type="character" w:styleId="Textoennegrita">
    <w:name w:val="Strong"/>
    <w:basedOn w:val="Fuentedeprrafopredeter"/>
    <w:uiPriority w:val="22"/>
    <w:qFormat/>
    <w:rsid w:val="00596082"/>
    <w:rPr>
      <w:b/>
      <w:bCs/>
    </w:rPr>
  </w:style>
  <w:style w:type="character" w:styleId="Hipervnculo">
    <w:name w:val="Hyperlink"/>
    <w:basedOn w:val="Fuentedeprrafopredeter"/>
    <w:uiPriority w:val="99"/>
    <w:unhideWhenUsed/>
    <w:rsid w:val="00596082"/>
    <w:rPr>
      <w:color w:val="0000FF"/>
      <w:u w:val="single"/>
    </w:rPr>
  </w:style>
  <w:style w:type="character" w:customStyle="1" w:styleId="Ttulo4Car">
    <w:name w:val="Título 4 Car"/>
    <w:basedOn w:val="Fuentedeprrafopredeter"/>
    <w:link w:val="Ttulo4"/>
    <w:uiPriority w:val="9"/>
    <w:rsid w:val="007C6E04"/>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FB4726"/>
    <w:pPr>
      <w:ind w:left="720"/>
      <w:contextualSpacing/>
    </w:pPr>
  </w:style>
  <w:style w:type="character" w:customStyle="1" w:styleId="apple-converted-space">
    <w:name w:val="apple-converted-space"/>
    <w:basedOn w:val="Fuentedeprrafopredeter"/>
    <w:rsid w:val="00D65ABE"/>
  </w:style>
  <w:style w:type="paragraph" w:styleId="NormalWeb">
    <w:name w:val="Normal (Web)"/>
    <w:basedOn w:val="Normal"/>
    <w:uiPriority w:val="99"/>
    <w:unhideWhenUsed/>
    <w:rsid w:val="00DA27A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uiPriority w:val="99"/>
    <w:rsid w:val="00DA27A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titulo">
    <w:name w:val="titulo"/>
    <w:basedOn w:val="Normal"/>
    <w:rsid w:val="00DA27AD"/>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jpeg"/><Relationship Id="rId159" Type="http://schemas.openxmlformats.org/officeDocument/2006/relationships/image" Target="media/image147.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jpe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39.jpe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48.jpe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hyperlink" Target="http://s.libertaddigital.com/2016/10/31/ratio_nuevas_empresas.jpg" TargetMode="Externa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hyperlink" Target="http://www.bde.es/f/webbde/GAP/Secciones/SalaPrensa/ComunicadosBCE/NotasInformativasBCE/12/Arc/Fic/presbce2012_99e.pdf" TargetMode="External"/><Relationship Id="rId161" Type="http://schemas.openxmlformats.org/officeDocument/2006/relationships/image" Target="media/image149.jpeg"/><Relationship Id="rId166" Type="http://schemas.openxmlformats.org/officeDocument/2006/relationships/image" Target="media/image151.jpe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jpeg"/><Relationship Id="rId151" Type="http://schemas.openxmlformats.org/officeDocument/2006/relationships/image" Target="media/image140.jpeg"/><Relationship Id="rId156" Type="http://schemas.openxmlformats.org/officeDocument/2006/relationships/image" Target="media/image144.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7.png"/><Relationship Id="rId167"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hyperlink" Target="https://www.vozpopuli.com/espana/feijoo-podemos-bloque-investidura.html" TargetMode="External"/><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jpeg"/><Relationship Id="rId136" Type="http://schemas.openxmlformats.org/officeDocument/2006/relationships/image" Target="media/image128.jpeg"/><Relationship Id="rId157" Type="http://schemas.openxmlformats.org/officeDocument/2006/relationships/image" Target="media/image145.jpe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hyperlink" Target="http://www.elconfidencial.com/tags/economia/bancos-centrales-325/" TargetMode="External"/><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hyperlink" Target="http://www.ecb.int/ecb/legal/1341/1342/html/index.es.html" TargetMode="External"/><Relationship Id="rId168" Type="http://schemas.openxmlformats.org/officeDocument/2006/relationships/theme" Target="theme/theme1.xml"/><Relationship Id="rId8" Type="http://schemas.openxmlformats.org/officeDocument/2006/relationships/hyperlink" Target="https://www.elconfidencial.com/mercados/the-wall-street-journal/2020-05-03/globalizacion-tocada-no-hundida_2574748/" TargetMode="Externa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jpeg"/><Relationship Id="rId163" Type="http://schemas.openxmlformats.org/officeDocument/2006/relationships/hyperlink" Target="https://ec.europa.eu/commission/presscorner/detail/en/ip_21_4626" TargetMode="External"/><Relationship Id="rId3" Type="http://schemas.microsoft.com/office/2007/relationships/stylesWithEffects" Target="stylesWithEffect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jpeg"/><Relationship Id="rId158" Type="http://schemas.openxmlformats.org/officeDocument/2006/relationships/image" Target="media/image146.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jpeg"/><Relationship Id="rId153" Type="http://schemas.openxmlformats.org/officeDocument/2006/relationships/image" Target="media/image141.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hyperlink" Target="https://blogs.elconfidencial.com/espana/mientras-tanto/2020-03-29/coronavirus-liberalismo-fmi-presupuestos-china_2523451/" TargetMode="External"/><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38.jpeg"/><Relationship Id="rId164" Type="http://schemas.openxmlformats.org/officeDocument/2006/relationships/hyperlink" Target="https://www.elconfidencial.com/mundo/europa/2021-09-22/como-espana-paso-odiar-merkel-llorar-despedida_3293245/" TargetMode="External"/><Relationship Id="rId4" Type="http://schemas.openxmlformats.org/officeDocument/2006/relationships/settings" Target="settings.xml"/><Relationship Id="rId9" Type="http://schemas.openxmlformats.org/officeDocument/2006/relationships/hyperlink" Target="https://www.elconfidencial.com/espana/2020-05-23/consejeros-veronica-casado-jesus-fernandez-hemos-llorado-covid_2607364/" TargetMode="Externa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jpeg"/><Relationship Id="rId154" Type="http://schemas.openxmlformats.org/officeDocument/2006/relationships/image" Target="media/image142.jpeg"/><Relationship Id="rId16" Type="http://schemas.openxmlformats.org/officeDocument/2006/relationships/image" Target="media/image8.jpe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jpeg"/><Relationship Id="rId90" Type="http://schemas.openxmlformats.org/officeDocument/2006/relationships/image" Target="media/image82.png"/><Relationship Id="rId165" Type="http://schemas.openxmlformats.org/officeDocument/2006/relationships/image" Target="media/image150.jpe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jpeg"/><Relationship Id="rId80" Type="http://schemas.openxmlformats.org/officeDocument/2006/relationships/image" Target="media/image72.png"/><Relationship Id="rId155" Type="http://schemas.openxmlformats.org/officeDocument/2006/relationships/image" Target="media/image14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200</Pages>
  <Words>68383</Words>
  <Characters>376110</Characters>
  <Application>Microsoft Office Word</Application>
  <DocSecurity>0</DocSecurity>
  <Lines>3134</Lines>
  <Paragraphs>887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443606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2023-06-05T07:55:00Z</dcterms:created>
  <dcterms:modified xsi:type="dcterms:W3CDTF">2023-06-05T07:55:00Z</dcterms:modified>
</cp:coreProperties>
</file>