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194" w:rsidRPr="00583194" w:rsidRDefault="00583194" w:rsidP="00583194">
      <w:pPr>
        <w:spacing w:line="240" w:lineRule="auto"/>
        <w:jc w:val="both"/>
        <w:rPr>
          <w:rFonts w:ascii="Times New Roman" w:hAnsi="Times New Roman" w:cs="Times New Roman"/>
          <w:b/>
          <w:sz w:val="24"/>
          <w:szCs w:val="24"/>
        </w:rPr>
      </w:pPr>
      <w:r w:rsidRPr="00583194">
        <w:rPr>
          <w:rFonts w:ascii="Times New Roman" w:eastAsia="Times New Roman" w:hAnsi="Times New Roman" w:cs="Times New Roman"/>
          <w:b/>
          <w:sz w:val="24"/>
          <w:szCs w:val="24"/>
          <w:lang w:eastAsia="es-ES"/>
        </w:rPr>
        <w:t>Paper</w:t>
      </w:r>
      <w:r w:rsidRPr="00583194">
        <w:rPr>
          <w:rFonts w:ascii="Times New Roman" w:eastAsia="Times New Roman" w:hAnsi="Times New Roman" w:cs="Times New Roman"/>
          <w:sz w:val="24"/>
          <w:szCs w:val="24"/>
          <w:lang w:eastAsia="es-ES"/>
        </w:rPr>
        <w:t xml:space="preserve"> </w:t>
      </w:r>
      <w:r w:rsidRPr="00583194">
        <w:rPr>
          <w:rFonts w:ascii="Times New Roman" w:hAnsi="Times New Roman" w:cs="Times New Roman"/>
          <w:sz w:val="24"/>
          <w:szCs w:val="24"/>
        </w:rPr>
        <w:t xml:space="preserve">- </w:t>
      </w:r>
      <w:r w:rsidRPr="00583194">
        <w:rPr>
          <w:rFonts w:ascii="Times New Roman" w:hAnsi="Times New Roman" w:cs="Times New Roman"/>
          <w:b/>
          <w:sz w:val="24"/>
          <w:szCs w:val="24"/>
        </w:rPr>
        <w:t>La economía de papel (2008-2023): el exceso de expansión monetaria de los bancos centrales solo ha servido para dopar a los mercados (rescatar a los bancos, financiar a los gobiernos manirrotos, y  facilitar la creación de burbujas especulativas)</w:t>
      </w:r>
    </w:p>
    <w:p w:rsidR="00583194" w:rsidRDefault="00583194" w:rsidP="00583194">
      <w:pPr>
        <w:spacing w:after="0" w:line="240" w:lineRule="auto"/>
        <w:jc w:val="both"/>
        <w:rPr>
          <w:rFonts w:ascii="Times New Roman" w:eastAsia="Times New Roman" w:hAnsi="Times New Roman" w:cs="Times New Roman"/>
          <w:sz w:val="24"/>
          <w:szCs w:val="24"/>
          <w:lang w:eastAsia="es-ES"/>
        </w:rPr>
      </w:pPr>
      <w:r w:rsidRPr="009E400A">
        <w:rPr>
          <w:rFonts w:ascii="Times New Roman" w:eastAsia="Times New Roman" w:hAnsi="Times New Roman" w:cs="Times New Roman"/>
          <w:noProof/>
          <w:sz w:val="24"/>
          <w:szCs w:val="24"/>
          <w:lang w:eastAsia="es-ES"/>
        </w:rPr>
        <w:drawing>
          <wp:inline distT="0" distB="0" distL="0" distR="0" wp14:anchorId="455BDD12" wp14:editId="703CC3B1">
            <wp:extent cx="5727100" cy="3708400"/>
            <wp:effectExtent l="0" t="0" r="6985" b="635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3711256"/>
                    </a:xfrm>
                    <a:prstGeom prst="rect">
                      <a:avLst/>
                    </a:prstGeom>
                  </pic:spPr>
                </pic:pic>
              </a:graphicData>
            </a:graphic>
          </wp:inline>
        </w:drawing>
      </w:r>
    </w:p>
    <w:p w:rsidR="00583194" w:rsidRPr="00583194" w:rsidRDefault="00583194" w:rsidP="00583194">
      <w:pPr>
        <w:spacing w:line="240" w:lineRule="auto"/>
        <w:jc w:val="both"/>
        <w:rPr>
          <w:rFonts w:ascii="Times New Roman" w:hAnsi="Times New Roman" w:cs="Times New Roman"/>
          <w:b/>
          <w:sz w:val="24"/>
          <w:szCs w:val="24"/>
        </w:rPr>
      </w:pPr>
      <w:r w:rsidRPr="00583194">
        <w:rPr>
          <w:rFonts w:ascii="Times New Roman" w:eastAsia="Times New Roman" w:hAnsi="Times New Roman" w:cs="Times New Roman"/>
          <w:sz w:val="24"/>
          <w:szCs w:val="24"/>
          <w:lang w:eastAsia="es-ES"/>
        </w:rPr>
        <w:t xml:space="preserve">- </w:t>
      </w:r>
      <w:r w:rsidRPr="00583194">
        <w:rPr>
          <w:rFonts w:ascii="Times New Roman" w:eastAsia="Times New Roman" w:hAnsi="Times New Roman" w:cs="Times New Roman"/>
          <w:b/>
          <w:sz w:val="24"/>
          <w:szCs w:val="24"/>
          <w:lang w:eastAsia="es-ES"/>
        </w:rPr>
        <w:t>Introducción</w:t>
      </w:r>
      <w:r w:rsidRPr="00583194">
        <w:rPr>
          <w:rFonts w:ascii="Times New Roman" w:eastAsia="Times New Roman" w:hAnsi="Times New Roman" w:cs="Times New Roman"/>
          <w:sz w:val="24"/>
          <w:szCs w:val="24"/>
          <w:lang w:eastAsia="es-ES"/>
        </w:rPr>
        <w:t xml:space="preserve">: </w:t>
      </w:r>
      <w:r w:rsidRPr="00583194">
        <w:rPr>
          <w:rFonts w:ascii="Times New Roman" w:hAnsi="Times New Roman" w:cs="Times New Roman"/>
          <w:b/>
          <w:sz w:val="24"/>
          <w:szCs w:val="24"/>
        </w:rPr>
        <w:t xml:space="preserve">La insoportable levedad del cortoplacismo financiero </w:t>
      </w:r>
    </w:p>
    <w:p w:rsidR="00583194" w:rsidRDefault="00583194" w:rsidP="00583194">
      <w:pPr>
        <w:spacing w:line="240" w:lineRule="auto"/>
        <w:jc w:val="both"/>
        <w:rPr>
          <w:rFonts w:ascii="Times New Roman" w:hAnsi="Times New Roman" w:cs="Times New Roman"/>
          <w:b/>
          <w:color w:val="FF0000"/>
          <w:sz w:val="24"/>
          <w:szCs w:val="24"/>
        </w:rPr>
      </w:pPr>
      <w:r w:rsidRPr="009E400A">
        <w:rPr>
          <w:rFonts w:ascii="Times New Roman" w:hAnsi="Times New Roman" w:cs="Times New Roman"/>
          <w:b/>
          <w:noProof/>
          <w:color w:val="FF0000"/>
          <w:sz w:val="24"/>
          <w:szCs w:val="24"/>
          <w:lang w:eastAsia="es-ES"/>
        </w:rPr>
        <w:drawing>
          <wp:inline distT="0" distB="0" distL="0" distR="0" wp14:anchorId="662C5A6E" wp14:editId="4E9614FD">
            <wp:extent cx="5726098" cy="3060700"/>
            <wp:effectExtent l="0" t="0" r="8255" b="635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063593"/>
                    </a:xfrm>
                    <a:prstGeom prst="rect">
                      <a:avLst/>
                    </a:prstGeom>
                  </pic:spPr>
                </pic:pic>
              </a:graphicData>
            </a:graphic>
          </wp:inline>
        </w:drawing>
      </w:r>
    </w:p>
    <w:p w:rsidR="00583194" w:rsidRPr="00583194" w:rsidRDefault="00583194" w:rsidP="00583194">
      <w:pPr>
        <w:spacing w:line="240" w:lineRule="auto"/>
        <w:jc w:val="both"/>
        <w:rPr>
          <w:rFonts w:ascii="Times New Roman" w:hAnsi="Times New Roman" w:cs="Times New Roman"/>
          <w:b/>
          <w:sz w:val="24"/>
          <w:szCs w:val="24"/>
        </w:rPr>
      </w:pPr>
      <w:r w:rsidRPr="00583194">
        <w:rPr>
          <w:rFonts w:ascii="Times New Roman" w:hAnsi="Times New Roman" w:cs="Times New Roman"/>
          <w:b/>
          <w:sz w:val="24"/>
          <w:szCs w:val="24"/>
        </w:rPr>
        <w:t>La expansión monetaria de los bancos centrales, es la masa madre de todas las burbujas</w:t>
      </w:r>
    </w:p>
    <w:p w:rsidR="00583194" w:rsidRPr="00320767" w:rsidRDefault="00583194" w:rsidP="00583194">
      <w:pPr>
        <w:spacing w:line="240" w:lineRule="auto"/>
        <w:jc w:val="both"/>
        <w:rPr>
          <w:rFonts w:ascii="Times New Roman" w:hAnsi="Times New Roman" w:cs="Times New Roman"/>
          <w:b/>
          <w:sz w:val="24"/>
          <w:szCs w:val="24"/>
        </w:rPr>
      </w:pPr>
      <w:r w:rsidRPr="00320767">
        <w:rPr>
          <w:rFonts w:ascii="Times New Roman" w:eastAsia="Times New Roman" w:hAnsi="Times New Roman" w:cs="Times New Roman"/>
          <w:sz w:val="24"/>
          <w:szCs w:val="24"/>
          <w:lang w:eastAsia="es-ES"/>
        </w:rPr>
        <w:t xml:space="preserve">La “economía de casino”, en el nombre del neoliberalismo, ha logrado al final que sea el Estado quien lo sujete todo. El gran problema es que el sistema creado se caracteriza por unos </w:t>
      </w:r>
      <w:r w:rsidRPr="00320767">
        <w:rPr>
          <w:rFonts w:ascii="Times New Roman" w:eastAsia="Times New Roman" w:hAnsi="Times New Roman" w:cs="Times New Roman"/>
          <w:sz w:val="24"/>
          <w:szCs w:val="24"/>
          <w:lang w:eastAsia="es-ES"/>
        </w:rPr>
        <w:lastRenderedPageBreak/>
        <w:t xml:space="preserve">Estados permanentemente endeudados que necesitan imprimir billetes de la nada para pagar las pérdidas de los apostadores privados, y los déficits públicos. </w:t>
      </w: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r w:rsidRPr="00320767">
        <w:rPr>
          <w:rFonts w:ascii="Times New Roman" w:eastAsia="Times New Roman" w:hAnsi="Times New Roman" w:cs="Times New Roman"/>
          <w:sz w:val="24"/>
          <w:szCs w:val="24"/>
          <w:lang w:eastAsia="es-ES"/>
        </w:rPr>
        <w:t xml:space="preserve">Y los Bancos Centrales, son los “encargados” de esa monetización. Son los que ponen la música, para que siga el baile. Son los que no retiran la ponchera, para que continúe la fiesta. Son la orquesta del Titanic (que toca mientras se hunde). Así de sencillo, y así de complejo. </w:t>
      </w: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r w:rsidRPr="00320767">
        <w:rPr>
          <w:rFonts w:ascii="Times New Roman" w:eastAsia="Times New Roman" w:hAnsi="Times New Roman" w:cs="Times New Roman"/>
          <w:sz w:val="24"/>
          <w:szCs w:val="24"/>
          <w:lang w:eastAsia="es-ES"/>
        </w:rPr>
        <w:t>En esta falsa “economía de mercado” a una gran parte de los inversionistas, por lo visto, les encanta bailar con el dinero ajeno, en la cuerda floja, esperando recuperar la inversión, y lograr una rentabilidad por encima de la media. Y si eso no se alcanza, en vez de quebrar, como corresponde en una economía capitalista, hacen que el estado se haga cargo de las pérdidas. Los recate (por ser entidades sistémicas), se haga cargo de sus pérdidas (por la tranquilidad de los mercados), socialice sus pérdidas (monetizando la deuda), pero mantenga privatizada las ganancias (de los tramposos, estafadores, tahúres, trileros, o ludópatas).</w:t>
      </w: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r w:rsidRPr="00320767">
        <w:rPr>
          <w:rFonts w:ascii="Times New Roman" w:eastAsia="Times New Roman" w:hAnsi="Times New Roman" w:cs="Times New Roman"/>
          <w:sz w:val="24"/>
          <w:szCs w:val="24"/>
          <w:lang w:eastAsia="es-ES"/>
        </w:rPr>
        <w:t>¿Cuál es el secreto para que prestatarios con una reputación tan poco edificante pudieran acceder a préstamos y rescates? Habría que responder a esa pregunta con otra pregunta más: ¿y cuál es el secreto de que la capitalización de un animal mitológico del siglo XXI conocido como bitcoin y al que podríamos llamar la nada digital consiguiera superar el billón (trillion) de dólares?, dice Juan Ignacio Crespo (matemático, analista económico-financiero).​</w:t>
      </w: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r w:rsidRPr="00320767">
        <w:rPr>
          <w:rFonts w:ascii="Times New Roman" w:eastAsia="Times New Roman" w:hAnsi="Times New Roman" w:cs="Times New Roman"/>
          <w:sz w:val="24"/>
          <w:szCs w:val="24"/>
          <w:lang w:eastAsia="es-ES"/>
        </w:rPr>
        <w:t xml:space="preserve">“La respuesta es bien conocida: un exceso de liquidez en busca de su destrucción. O en busca, simultánea, de una operación filantrópica consistente en que, por unos vasos comunicantes, puro arte de birlibirloque, se produzca una transferencia de riqueza de unas entidades manirrotas a otras”. (Juan Ignacio Crespo - Cinco Días - </w:t>
      </w:r>
      <w:r w:rsidRPr="00320767">
        <w:rPr>
          <w:rFonts w:ascii="Times New Roman" w:eastAsia="Times New Roman" w:hAnsi="Times New Roman" w:cs="Times New Roman"/>
          <w:b/>
          <w:sz w:val="24"/>
          <w:szCs w:val="24"/>
          <w:lang w:eastAsia="es-ES"/>
        </w:rPr>
        <w:t>27/9/23</w:t>
      </w:r>
      <w:r w:rsidRPr="00320767">
        <w:rPr>
          <w:rFonts w:ascii="Times New Roman" w:eastAsia="Times New Roman" w:hAnsi="Times New Roman" w:cs="Times New Roman"/>
          <w:sz w:val="24"/>
          <w:szCs w:val="24"/>
          <w:lang w:eastAsia="es-ES"/>
        </w:rPr>
        <w:t xml:space="preserve">) </w:t>
      </w: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r w:rsidRPr="00320767">
        <w:rPr>
          <w:rFonts w:ascii="Times New Roman" w:eastAsia="Times New Roman" w:hAnsi="Times New Roman" w:cs="Times New Roman"/>
          <w:sz w:val="24"/>
          <w:szCs w:val="24"/>
          <w:lang w:eastAsia="es-ES"/>
        </w:rPr>
        <w:t>Que el exceso de liquidez es apabullante se puede ilustrar de diversas maneras, y una de las más interesantes y llamativas es hacerlo con el enfoque del Instituto Global McKinsey, que ha estimado que a finales de 2022 la riqueza neta global ascendía a 630 billones (trillions) de dólares. A finales de 2019, había llegado a 510 billones, lo que quiere decir que en los tres años de la pandemia 2020-2022 esa riqueza creció 120 billones.</w:t>
      </w: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r w:rsidRPr="00320767">
        <w:rPr>
          <w:rFonts w:ascii="Times New Roman" w:eastAsia="Times New Roman" w:hAnsi="Times New Roman" w:cs="Times New Roman"/>
          <w:sz w:val="24"/>
          <w:szCs w:val="24"/>
          <w:lang w:eastAsia="es-ES"/>
        </w:rPr>
        <w:t>Es decir, durante la pandemia de Covid-19, el ritmo de crecimiento de la riqueza global neta se aceleró fuertemente, de tal modo que, si entre el año 2000 y el 2019 creció a un ritmo medio anual de 18 billones de dólares, durante la pandemia el crecimiento medio anual de la riqueza fue de 40 billones.</w:t>
      </w: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r w:rsidRPr="00320767">
        <w:rPr>
          <w:rFonts w:ascii="Times New Roman" w:eastAsia="Times New Roman" w:hAnsi="Times New Roman" w:cs="Times New Roman"/>
          <w:sz w:val="24"/>
          <w:szCs w:val="24"/>
          <w:lang w:eastAsia="es-ES"/>
        </w:rPr>
        <w:t>Naturalmente, en eso ha tenido mucho que ver la política de los Gobiernos en apoyo de las economías, que, según los cálculos del FMI, ascendió a 16 billones de dólares, entre gasto público directo, avales a las empresas y tomas de participación empresarial. Su parcial correlato fue el crecimiento del balance agregado de los bancos centrales, que pasó entre marzo de 2020 y marzo de 2022 de 19,8 a 31,3 billones de dólares.</w:t>
      </w: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r w:rsidRPr="00320767">
        <w:rPr>
          <w:rFonts w:ascii="Times New Roman" w:eastAsia="Times New Roman" w:hAnsi="Times New Roman" w:cs="Times New Roman"/>
          <w:sz w:val="24"/>
          <w:szCs w:val="24"/>
          <w:lang w:eastAsia="es-ES"/>
        </w:rPr>
        <w:t xml:space="preserve">Nuestra era se caracteriza, pues, por una combinación de cuerno de la abundancia en guisa de bancos centrales e inflación del precio de los activos, junto con la actividad manirrota de los Gobiernos, que parecen tener por norma el gastar, gastar, que el mundo se va a acabar. </w:t>
      </w:r>
    </w:p>
    <w:p w:rsidR="00583194" w:rsidRPr="00320767"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320767" w:rsidRDefault="00583194" w:rsidP="00583194">
      <w:pPr>
        <w:spacing w:line="240" w:lineRule="auto"/>
        <w:jc w:val="both"/>
        <w:rPr>
          <w:rFonts w:ascii="Times New Roman" w:hAnsi="Times New Roman" w:cs="Times New Roman"/>
          <w:b/>
          <w:sz w:val="24"/>
          <w:szCs w:val="24"/>
        </w:rPr>
      </w:pPr>
      <w:r w:rsidRPr="00320767">
        <w:rPr>
          <w:rFonts w:ascii="Times New Roman" w:hAnsi="Times New Roman" w:cs="Times New Roman"/>
          <w:b/>
          <w:sz w:val="24"/>
          <w:szCs w:val="24"/>
        </w:rPr>
        <w:t>El mal ya está hecho (los “cuentos chinos”: ganadores y perdedores de la globalización)</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 xml:space="preserve">La competitividad de la economía real (desde la entronización de China como la fábrica del mundo) solo mejora por medio de la devaluación salarial. Las nuevas tecnologías solo crean </w:t>
      </w:r>
      <w:r w:rsidRPr="00320767">
        <w:rPr>
          <w:rFonts w:ascii="Times New Roman" w:hAnsi="Times New Roman" w:cs="Times New Roman"/>
          <w:sz w:val="24"/>
          <w:szCs w:val="24"/>
        </w:rPr>
        <w:lastRenderedPageBreak/>
        <w:t>entretenimiento, espionaje, y tráfico de datos. La financierización solo crea burbujas y armas financieras de destrucción masiva.</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La cultura del crecimiento económico real se está desvaneciendo. Para crecer, se necesita creer que se puede crecer y se necesita querer crecer. Y cada vez se difunden más ideas contrarias a la creencia y a la querencia del crecimiento económico. Financierización (dinero fácil - el gas de la risa), decrecionismo (Agenda 2030 - eco-socialismo), pantalla total (redes, plataformas, algoritmos, inteligencia artificial).</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 xml:space="preserve">Una crisis (2008), una pandemia (2020), y más de 15 años de convulsión económica, dejan en los “países avanzados” (ahora, “en vías de subdesarrollo”), un panorama muy peculiar: una pérdida increíble de su capacidad productiva (y competitiva). </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 xml:space="preserve">El fin de la historia (cómo no se lo imaginó Fukuyama): China, potencia hegemónica y guardia de corps del capitalismo global; EEUU, un Hollywood virtual a cargo de las grandes producciones de distracción, anestesia, y control de masas, al servicio del capitalismo global y China; UE; una colonia de China (industria y comercio) y de EEUU (tecnología y servicios). </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 xml:space="preserve">Algunos dicen que este puede ser un final distópico, yo lo interpreto como un final anunciado: China será el vigilante de último recurso del capitalismo global, EEUU cede el liderazgo mundial y se concentra en mantener en funcionamiento el circo de tres pistas (entretenimiento, manipulación y control social), y de Europa (¡Hay, Europa!): solo quedará una tumba y un epitafio: “Aquí yace Europa: entre todos la mataron y ella sola se murió”.   </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Eso es lo que tiene (para la Unión Europea) haber sido (y ser) el mejor cliente de China y haber sido (y ser) el mejor amigo de EEUU: un mercado periférico, y un museo vacío.</w:t>
      </w:r>
    </w:p>
    <w:p w:rsidR="00583194" w:rsidRPr="00320767" w:rsidRDefault="00583194" w:rsidP="00583194">
      <w:pPr>
        <w:spacing w:line="240" w:lineRule="auto"/>
        <w:jc w:val="both"/>
        <w:rPr>
          <w:rFonts w:ascii="Times New Roman" w:hAnsi="Times New Roman" w:cs="Times New Roman"/>
          <w:b/>
          <w:sz w:val="24"/>
          <w:szCs w:val="24"/>
        </w:rPr>
      </w:pPr>
      <w:r w:rsidRPr="00320767">
        <w:rPr>
          <w:rFonts w:ascii="Times New Roman" w:hAnsi="Times New Roman" w:cs="Times New Roman"/>
          <w:b/>
          <w:sz w:val="24"/>
          <w:szCs w:val="24"/>
        </w:rPr>
        <w:t>Los creadores de mercado, y otros “yonquis” del dinero (ajeno)</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 xml:space="preserve">Lo que empezó como una crisis de suministros, provocada por el cierre de las economías durante la pandemia, y se agravó con la escalada de los precios de la energía, espoleada por la invasión rusa de Ucrania, se terminó contagiando al conjunto de la economía. </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Los desequilibrios entre una demanda que había rebotado con fuerza después de meses de parálisis de la actividad durante lo peor del covid y una oferta todavía muy condicionada por la crisis pandémica generaron unas tensiones en las cadenas de suministro internacionales sin parangón desde la crisis del petróleo de los años setenta.</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 xml:space="preserve">Pero, según el indicador de BBVA Research y Haver Analytics (septiembre 2023), los problemas de abastecimiento que engendraron la espiral inflacionaria ya forman parte del pasado, tras un largo proceso de normalización. El indicador de BBVA Research y Haver Analytics llevaba al alza desde principios de 2021, cuando las economías occidentales empezaron a retomar su actividad tras la pandemia, mientras China mantenía una política inflexible de covid cero. </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En Estados Unidos, que además de ir un paso por delante de Europa en su ciclo económico ha estado menos influido por las disrupciones causadas por el covid y la guerra de Ucrania, esa la normalidad en las cadenas de suministro, ya se había conseguido en el último trimestre del año pasado (2022).</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 xml:space="preserve">Los problemas de abastecimiento dieron lugar a un aumento de los costes de las empresas, que acabarían desbocándose por el encarecimiento de los precios de la electricidad y los </w:t>
      </w:r>
      <w:r w:rsidRPr="00320767">
        <w:rPr>
          <w:rFonts w:ascii="Times New Roman" w:hAnsi="Times New Roman" w:cs="Times New Roman"/>
          <w:sz w:val="24"/>
          <w:szCs w:val="24"/>
        </w:rPr>
        <w:lastRenderedPageBreak/>
        <w:t>hidrocarburos. Pero la crisis energética también se ha ido evaporando, con permiso de lo que ocurra con el petróleo, que encara los 100 dólares por barril por el recorte de producción acordado entre Rusia y Arabia Saudí, y del gas, que todavía podría dar sustos si el invierno resulta más frío de lo habitual.</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Todo dependerá de la tendencia de la inflación, y si el Banco Central Europeo (BCE) se mantiene firme en su propósito de enfriar la demanda para embridar la inflación subyacente.</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El BCE lleva tiempo inmerso en la tarea de ir reduciendo su balance, que alcanzó un récord histórico en los 8,835 billones de euros en junio de 2022 después de años de continuas compras de bonos y de megainyecciones de liquidez</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El BCE cuenta aún en su balance con deuda por cerca de 5 billones de euros: los 1,7 billones del programa antipandemia -que se sigue reinvirtiendo en su totalidad- más los 3,13 billones del programa APP, de los que 2,48 billones son bonos soberanos.</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El balance de la Fed se contrajo $ 91 mil millones en julio (2023), - $ 759 mil millones desde el pico, la mayor caída hasta $ 8,2 billones, el nivel más bajo desde julio de 2021. La Fed se ha deshecho del 22,3% de los valores del Tesoro que compró durante la QE pandémica. Los activos totales de la Fed equivalen (en julio de 2023) al 30,6 % del PIB de EEUU, frente al 53 % del BCE y el 130 % del BoJ.</w:t>
      </w:r>
    </w:p>
    <w:p w:rsidR="00583194" w:rsidRPr="00320767" w:rsidRDefault="00583194" w:rsidP="00583194">
      <w:pPr>
        <w:spacing w:line="240" w:lineRule="auto"/>
        <w:jc w:val="both"/>
        <w:rPr>
          <w:rFonts w:ascii="Times New Roman" w:hAnsi="Times New Roman" w:cs="Times New Roman"/>
          <w:b/>
          <w:sz w:val="24"/>
          <w:szCs w:val="24"/>
        </w:rPr>
      </w:pPr>
      <w:r w:rsidRPr="00320767">
        <w:rPr>
          <w:rFonts w:ascii="Times New Roman" w:hAnsi="Times New Roman" w:cs="Times New Roman"/>
          <w:b/>
          <w:sz w:val="24"/>
          <w:szCs w:val="24"/>
        </w:rPr>
        <w:t>Nuevas medidas dirigidas a reducir el exceso de liquidez del sistema financiero</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w:t>
      </w:r>
      <w:r w:rsidRPr="00320767">
        <w:rPr>
          <w:rFonts w:ascii="Times New Roman" w:hAnsi="Times New Roman" w:cs="Times New Roman"/>
          <w:b/>
          <w:sz w:val="24"/>
          <w:szCs w:val="24"/>
        </w:rPr>
        <w:t>28/9/23</w:t>
      </w:r>
      <w:r w:rsidRPr="00320767">
        <w:rPr>
          <w:rFonts w:ascii="Times New Roman" w:hAnsi="Times New Roman" w:cs="Times New Roman"/>
          <w:sz w:val="24"/>
          <w:szCs w:val="24"/>
        </w:rPr>
        <w:t>) Suponiendo que el BCE haya terminado de subir los tipos, su próxima decisión tendrá que ver con el balance, así como con el marco de gestión de la liquidez. En cuanto al balance, los más ortodoxos probablemente deberán intentar acelerar el ritmo del ajuste cuantitativo, aunque no hay una solución fácil (y menos al gusto de las “partes interesadas”).</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¿Cómo se encajan las medidas contra el exceso de liquidez en el sistema financiero y de reducción de balance de la Fed y el BCE, previas a plantear un recorte de los tipos de interés?</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La forma de medir la liquidez de un mercado es variada. Los manuales dicen que es la capacidad que tienen los agentes para vender o comprar un activo de forma rápida y barata. En teoría, a mayor número de intermediarios, mayor liquidez debería tener este mercado, pero no está siendo así.</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El Banco Central Europeo (BCE), en su informe de estabilidad financiera de mayo (2023), ya advertía de que “unas condiciones financieras más duras y una liquidez de mercado menor pueden aumentar el riesgo de que los ajustes de los precios se vuelvan desordenados, sobre todo si se produce una recesión”.</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Para medir el grado de liquidez que tienen los fondos de inversión, las autoridades supervisoras obligan a los gestores a realizar un ejercicio teórico: ¿cuántos días tardarían en vender la mayoría de activos del fondo en una situación de estrés de mercado? Así se comprueba que no están invertidos en activos muy ilíquidos.</w:t>
      </w:r>
    </w:p>
    <w:p w:rsidR="00583194" w:rsidRPr="00320767" w:rsidRDefault="00583194" w:rsidP="00583194">
      <w:pPr>
        <w:spacing w:line="240" w:lineRule="auto"/>
        <w:jc w:val="both"/>
        <w:rPr>
          <w:rFonts w:ascii="Times New Roman" w:hAnsi="Times New Roman" w:cs="Times New Roman"/>
          <w:sz w:val="24"/>
          <w:szCs w:val="24"/>
        </w:rPr>
      </w:pPr>
      <w:r w:rsidRPr="00320767">
        <w:rPr>
          <w:rFonts w:ascii="Times New Roman" w:hAnsi="Times New Roman" w:cs="Times New Roman"/>
          <w:sz w:val="24"/>
          <w:szCs w:val="24"/>
        </w:rPr>
        <w:t>La industria europea de fondos de inversión no ha parado de crecer en la última década. El volumen gestionado se ha duplicado y ya alcanza los 30 billones de euros. Sin embargo, es una casa cada vez más grande con las salidas de emergencia más pequeñas. Si hay un incendio, hay riesgo de que las puertas se taponen.</w:t>
      </w:r>
    </w:p>
    <w:p w:rsidR="00583194" w:rsidRPr="00320767" w:rsidRDefault="00583194" w:rsidP="00583194">
      <w:pPr>
        <w:spacing w:after="0" w:line="240" w:lineRule="auto"/>
        <w:jc w:val="both"/>
        <w:rPr>
          <w:rFonts w:ascii="Times New Roman" w:eastAsia="Times New Roman" w:hAnsi="Times New Roman" w:cs="Times New Roman"/>
          <w:b/>
          <w:sz w:val="24"/>
          <w:szCs w:val="24"/>
          <w:lang w:eastAsia="es-ES"/>
        </w:rPr>
      </w:pPr>
    </w:p>
    <w:p w:rsidR="00583194" w:rsidRDefault="00583194" w:rsidP="00583194">
      <w:pPr>
        <w:spacing w:after="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lastRenderedPageBreak/>
        <w:t xml:space="preserve">- “Maldita” </w:t>
      </w:r>
      <w:r w:rsidRPr="009050BE">
        <w:rPr>
          <w:rFonts w:ascii="Times New Roman" w:eastAsia="Times New Roman" w:hAnsi="Times New Roman" w:cs="Times New Roman"/>
          <w:b/>
          <w:sz w:val="24"/>
          <w:szCs w:val="24"/>
          <w:lang w:eastAsia="es-ES"/>
        </w:rPr>
        <w:t>Hemeroteca</w:t>
      </w:r>
      <w:r>
        <w:rPr>
          <w:rFonts w:ascii="Times New Roman" w:eastAsia="Times New Roman" w:hAnsi="Times New Roman" w:cs="Times New Roman"/>
          <w:b/>
          <w:sz w:val="24"/>
          <w:szCs w:val="24"/>
          <w:lang w:eastAsia="es-ES"/>
        </w:rPr>
        <w:t>: últimas “deposiciones” (o ¿“evacuaciones”?) de los BCs</w:t>
      </w:r>
    </w:p>
    <w:p w:rsidR="00583194" w:rsidRDefault="00583194" w:rsidP="00583194">
      <w:pPr>
        <w:spacing w:after="0" w:line="240" w:lineRule="auto"/>
        <w:jc w:val="both"/>
        <w:rPr>
          <w:rFonts w:ascii="Times New Roman" w:eastAsia="Times New Roman" w:hAnsi="Times New Roman" w:cs="Times New Roman"/>
          <w:b/>
          <w:sz w:val="24"/>
          <w:szCs w:val="24"/>
          <w:lang w:eastAsia="es-ES"/>
        </w:rPr>
      </w:pPr>
    </w:p>
    <w:p w:rsidR="00583194" w:rsidRDefault="00583194" w:rsidP="00583194">
      <w:pPr>
        <w:spacing w:after="0" w:line="240" w:lineRule="auto"/>
        <w:jc w:val="both"/>
        <w:rPr>
          <w:rFonts w:ascii="Times New Roman" w:eastAsia="Times New Roman" w:hAnsi="Times New Roman" w:cs="Times New Roman"/>
          <w:b/>
          <w:sz w:val="24"/>
          <w:szCs w:val="24"/>
          <w:lang w:eastAsia="es-ES"/>
        </w:rPr>
      </w:pPr>
      <w:r w:rsidRPr="00621D5E">
        <w:rPr>
          <w:rFonts w:ascii="Times New Roman" w:hAnsi="Times New Roman" w:cs="Times New Roman"/>
          <w:noProof/>
          <w:sz w:val="24"/>
          <w:szCs w:val="24"/>
          <w:lang w:eastAsia="es-ES"/>
        </w:rPr>
        <w:drawing>
          <wp:inline distT="0" distB="0" distL="0" distR="0" wp14:anchorId="6EAFFE61" wp14:editId="70BED296">
            <wp:extent cx="5731510" cy="2684860"/>
            <wp:effectExtent l="0" t="0" r="254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2684860"/>
                    </a:xfrm>
                    <a:prstGeom prst="rect">
                      <a:avLst/>
                    </a:prstGeom>
                  </pic:spPr>
                </pic:pic>
              </a:graphicData>
            </a:graphic>
          </wp:inline>
        </w:drawing>
      </w:r>
    </w:p>
    <w:p w:rsidR="00583194" w:rsidRDefault="00583194" w:rsidP="00583194">
      <w:pPr>
        <w:spacing w:after="0" w:line="240" w:lineRule="auto"/>
        <w:jc w:val="both"/>
        <w:rPr>
          <w:rFonts w:ascii="Times New Roman" w:eastAsia="Times New Roman" w:hAnsi="Times New Roman" w:cs="Times New Roman"/>
          <w:b/>
          <w:sz w:val="24"/>
          <w:szCs w:val="24"/>
          <w:lang w:eastAsia="es-ES"/>
        </w:rPr>
      </w:pPr>
    </w:p>
    <w:p w:rsidR="00583194" w:rsidRPr="00A90A32"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90A32">
        <w:rPr>
          <w:rFonts w:ascii="Times New Roman" w:hAnsi="Times New Roman" w:cs="Times New Roman"/>
          <w:sz w:val="24"/>
          <w:szCs w:val="24"/>
          <w:u w:val="single"/>
        </w:rPr>
        <w:t>La reducción del balance de la Fed añade presión a Wall Street ante un mercado bajista</w:t>
      </w:r>
      <w:r>
        <w:rPr>
          <w:rFonts w:ascii="Times New Roman" w:hAnsi="Times New Roman" w:cs="Times New Roman"/>
          <w:sz w:val="24"/>
          <w:szCs w:val="24"/>
        </w:rPr>
        <w:t xml:space="preserve"> (Cinco Días - </w:t>
      </w:r>
      <w:r w:rsidRPr="00A90A32">
        <w:rPr>
          <w:rFonts w:ascii="Times New Roman" w:hAnsi="Times New Roman" w:cs="Times New Roman"/>
          <w:b/>
          <w:sz w:val="24"/>
          <w:szCs w:val="24"/>
        </w:rPr>
        <w:t>26/5/22</w:t>
      </w:r>
      <w:r>
        <w:rPr>
          <w:rFonts w:ascii="Times New Roman" w:hAnsi="Times New Roman" w:cs="Times New Roman"/>
          <w:sz w:val="24"/>
          <w:szCs w:val="24"/>
        </w:rPr>
        <w:t>)</w:t>
      </w:r>
    </w:p>
    <w:p w:rsidR="00583194" w:rsidRPr="00A90A32"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sz w:val="24"/>
          <w:szCs w:val="24"/>
        </w:rPr>
        <w:t>CaixaBank estima un alza adicional de 50 puntos básicos en los tipos oficiales en 2023</w:t>
      </w:r>
    </w:p>
    <w:p w:rsidR="00583194"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sz w:val="24"/>
          <w:szCs w:val="24"/>
        </w:rPr>
        <w:t>Los bancos centrales y una entrada masiva de dinero</w:t>
      </w:r>
    </w:p>
    <w:p w:rsidR="00583194" w:rsidRPr="00A90A32"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noProof/>
          <w:sz w:val="24"/>
          <w:szCs w:val="24"/>
          <w:lang w:eastAsia="es-ES"/>
        </w:rPr>
        <w:drawing>
          <wp:inline distT="0" distB="0" distL="0" distR="0" wp14:anchorId="63A1AE5D" wp14:editId="4CAB18F3">
            <wp:extent cx="5731510" cy="2750023"/>
            <wp:effectExtent l="0" t="0" r="254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750023"/>
                    </a:xfrm>
                    <a:prstGeom prst="rect">
                      <a:avLst/>
                    </a:prstGeom>
                  </pic:spPr>
                </pic:pic>
              </a:graphicData>
            </a:graphic>
          </wp:inline>
        </w:drawing>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(Por Laura Salces Acebes y Gema Escribano)</w:t>
      </w:r>
    </w:p>
    <w:p w:rsidR="00583194" w:rsidRPr="00A90A32"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sz w:val="24"/>
          <w:szCs w:val="24"/>
        </w:rPr>
        <w:t>La Reserva Federal de Estados Unidos no quiere sustos en la retirada de estímulos económicos. En las actas de su última reunión, la mayoría de los funcionarios del Comité del Mercado Abierto (FOMC) reconocieron que sería apropiada alzas de medio punto en las próximas reuniones, en línea con lo señalado por su presidente Jerome Powell. En la pasada pasada cita la institución optó por elevar los tipos de interés en 50 puntos básicos, hasta situar la horquilla entre el 0,75% y el 1,25% para atajar una inflación que se sitúa en el 8,3% aunque con ello ralentice la economía.</w:t>
      </w:r>
    </w:p>
    <w:p w:rsidR="00583194" w:rsidRPr="00A90A32"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sz w:val="24"/>
          <w:szCs w:val="24"/>
        </w:rPr>
        <w:lastRenderedPageBreak/>
        <w:t>La publicación de las actas de la úl</w:t>
      </w:r>
      <w:r>
        <w:rPr>
          <w:rFonts w:ascii="Times New Roman" w:hAnsi="Times New Roman" w:cs="Times New Roman"/>
          <w:sz w:val="24"/>
          <w:szCs w:val="24"/>
        </w:rPr>
        <w:t>tima reunión de la Fed coincide</w:t>
      </w:r>
      <w:r w:rsidRPr="00A90A32">
        <w:rPr>
          <w:rFonts w:ascii="Times New Roman" w:hAnsi="Times New Roman" w:cs="Times New Roman"/>
          <w:sz w:val="24"/>
          <w:szCs w:val="24"/>
        </w:rPr>
        <w:t xml:space="preserve"> casi en el tiempo con la activación de la reducción del tamaño del balance de la institución (quantitative tightening, en la jerga financiera). Balance que en abril alcanzaba los 8,9 billones de dólares, lo que representa el 37% del PIB estadounidense, y que se ha duplicado en dos años por las inyecciones realizadas para impulsar la economía tras el estallido de la pandemia.</w:t>
      </w:r>
    </w:p>
    <w:p w:rsidR="00583194" w:rsidRPr="00A90A32"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sz w:val="24"/>
          <w:szCs w:val="24"/>
        </w:rPr>
        <w:t>El plan, que arrancará el 1 de junio contempla una reducción a razón de 47.500 millones de dólares al mes, a través de vencimientos de 30.000 millones de dólares en bonos del Tesoro y el resto en vencimientos de activos respaldados por hipotecas (MBS, por sus siglas en inglés). Una cuantía que se elevará previsiblemente en septiembre, hasta unos 95.000 millones de dólares mensuales. No obstante como revelan las actas los miembros más apoyan la venta eventual de valores respaldos por hipotecas, una medida que de producirse se anunciaría con mucha antelación para evitar sustos.</w:t>
      </w:r>
    </w:p>
    <w:p w:rsidR="00583194" w:rsidRPr="00A90A32"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sz w:val="24"/>
          <w:szCs w:val="24"/>
        </w:rPr>
        <w:t>Desde CaixaBank Research consideran que el proceso de retirada de estímulos por parte de la Fed podría implicar una subida adicional de los tipos de interés oficiales de 50 puntos básicos en 2023.</w:t>
      </w:r>
    </w:p>
    <w:p w:rsidR="00583194" w:rsidRPr="00A90A32"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sz w:val="24"/>
          <w:szCs w:val="24"/>
        </w:rPr>
        <w:t>Los expertos de la entidad sostienen además que el llamado QT ejercerá una presión al alza en la rentabilidad de los bonos públicos y privados afectados por la decisión de la institución, dado que “verían caer su precio ante la mayor oferta neta”. Un impacto que desde CaixaBank Research creen que se dejará sentir en mayor medida en el tramo medio y largo de la curva, donde el banco central concentra las compras de bonos.</w:t>
      </w:r>
    </w:p>
    <w:p w:rsidR="00583194" w:rsidRPr="00A90A32"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sz w:val="24"/>
          <w:szCs w:val="24"/>
        </w:rPr>
        <w:t>Paralelamente, la subida de las rentabilidades de la deuda estadounidense tensionarán a Wall Street, en un momento en el que la Bolsa estadounidense roza el mercado bajista, es decir, está cerca de caer un 20% desde sus últimos máximos.</w:t>
      </w:r>
    </w:p>
    <w:p w:rsidR="00583194" w:rsidRPr="00A90A32"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sz w:val="24"/>
          <w:szCs w:val="24"/>
        </w:rPr>
        <w:t>Así, el Dow Jones acumula una caída superior al 13% desde el pasado 4 de enero, mientras que el S&amp;P 500 cede un 1,5% desde sus últimos máximos y registra siete semanas consecutivas de caídas. Desde la firma de análisis creen que parte del ajuste que puede provocar la retirada de los estímulos en la Bolsa ya se habría producido, dado que se anunció en enero por parte de Jerome Powell, pero no descartan nuevos episodios de volatilidad a partir de la próxima semana.</w:t>
      </w:r>
    </w:p>
    <w:p w:rsidR="00583194" w:rsidRDefault="00583194" w:rsidP="00583194">
      <w:pPr>
        <w:spacing w:line="240" w:lineRule="auto"/>
        <w:jc w:val="both"/>
        <w:rPr>
          <w:rFonts w:ascii="Times New Roman" w:hAnsi="Times New Roman" w:cs="Times New Roman"/>
          <w:sz w:val="24"/>
          <w:szCs w:val="24"/>
        </w:rPr>
      </w:pPr>
      <w:r w:rsidRPr="00A90A32">
        <w:rPr>
          <w:rFonts w:ascii="Times New Roman" w:hAnsi="Times New Roman" w:cs="Times New Roman"/>
          <w:sz w:val="24"/>
          <w:szCs w:val="24"/>
        </w:rPr>
        <w:t>Los expertos de CaixaBank Research creen además que tendrá impacto en la fortaleza del dólar frente al resto de divisas, en un momento en el que la moneda estado</w:t>
      </w:r>
      <w:r>
        <w:rPr>
          <w:rFonts w:ascii="Times New Roman" w:hAnsi="Times New Roman" w:cs="Times New Roman"/>
          <w:sz w:val="24"/>
          <w:szCs w:val="24"/>
        </w:rPr>
        <w:t>u</w:t>
      </w:r>
      <w:r w:rsidRPr="00A90A32">
        <w:rPr>
          <w:rFonts w:ascii="Times New Roman" w:hAnsi="Times New Roman" w:cs="Times New Roman"/>
          <w:sz w:val="24"/>
          <w:szCs w:val="24"/>
        </w:rPr>
        <w:t>nidense acumula una revalorización en el año del 6,25% frente al euro.</w:t>
      </w:r>
    </w:p>
    <w:p w:rsidR="00583194" w:rsidRDefault="00583194" w:rsidP="00583194">
      <w:pPr>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384809">
        <w:rPr>
          <w:rFonts w:ascii="Times New Roman" w:eastAsia="Times New Roman" w:hAnsi="Times New Roman" w:cs="Times New Roman"/>
          <w:sz w:val="24"/>
          <w:szCs w:val="24"/>
          <w:u w:val="single"/>
          <w:lang w:eastAsia="es-ES"/>
        </w:rPr>
        <w:t>La Fed realiza la mayor inyección de liquidez en la banca de la historia: 165.000 millones de dólares</w:t>
      </w:r>
      <w:r>
        <w:rPr>
          <w:rFonts w:ascii="Times New Roman" w:eastAsia="Times New Roman" w:hAnsi="Times New Roman" w:cs="Times New Roman"/>
          <w:sz w:val="24"/>
          <w:szCs w:val="24"/>
          <w:lang w:eastAsia="es-ES"/>
        </w:rPr>
        <w:t xml:space="preserve"> (El Economista - </w:t>
      </w:r>
      <w:r w:rsidRPr="00384809">
        <w:rPr>
          <w:rFonts w:ascii="Times New Roman" w:eastAsia="Times New Roman" w:hAnsi="Times New Roman" w:cs="Times New Roman"/>
          <w:b/>
          <w:sz w:val="24"/>
          <w:szCs w:val="24"/>
          <w:lang w:eastAsia="es-ES"/>
        </w:rPr>
        <w:t>16/3/23</w:t>
      </w:r>
      <w:r>
        <w:rPr>
          <w:rFonts w:ascii="Times New Roman" w:eastAsia="Times New Roman" w:hAnsi="Times New Roman" w:cs="Times New Roman"/>
          <w:sz w:val="24"/>
          <w:szCs w:val="24"/>
          <w:lang w:eastAsia="es-ES"/>
        </w:rPr>
        <w:t>)</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Solo con el nuevo mecanismo se han ofrecido 12.000 millones de dólares</w:t>
      </w:r>
    </w:p>
    <w:p w:rsidR="00583194"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Los bancos de Estados Unidos pidieron prestado 164.800 millones de dólares a la Reserva Federal esta semana, una señal de las crecientes tensiones de financiación tras la quiebra de Silicon Valley Bank.</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 xml:space="preserve">Esta liquidación se produjo por la dificultad de SVB de vender sus activos para obtener liquidez. Los mercados están exigiendo a las entidades bancarias tipos de interés más altos a cambio de entregarles dinero en efectivo para asumir, por ejemplo, una retirada de depósitos. </w:t>
      </w:r>
      <w:r w:rsidRPr="009050BE">
        <w:rPr>
          <w:rFonts w:ascii="Times New Roman" w:eastAsia="Times New Roman" w:hAnsi="Times New Roman" w:cs="Times New Roman"/>
          <w:sz w:val="24"/>
          <w:szCs w:val="24"/>
          <w:lang w:eastAsia="es-ES"/>
        </w:rPr>
        <w:lastRenderedPageBreak/>
        <w:t>Para evitar más casos en el que un banco tenga los activos, pero no la capacidad de convertirlos en liquidez, la Fed está poniendo sobre la mesa una línea de crédito histórica.</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 xml:space="preserve">Los datos publicados por la Fed mostraron 152.850 millones en préstamos de la ventana de descuento, el respaldo de liquidez tradicional para los bancos, en la semana que terminó el 15 de marzo, un récord histórico y que deja en nada los 4.580 millones de la semana anterior. El máximo histórico anterior fue de 111.000 millones alcanzado durante la crisis financiera de 2008. </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Los datos también mostraron 11.900 millones en préstamos a través del nuevo mecanismo de emergencia de la Fed conocido como el Programa de financiamiento a plazo bancario, que se puso en marcha el domingo.</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La Reserva Federal ofrece a los bancos desde ese día la posibilidad de recibir préstamos a cambio de bonos, hipotecas y otros activos de alta calidad, a su valor facial (el precio que tenía ese bono en el momento de su emisión) a un tipo de solo el 0,1% por encima del interés que se cobra a los bancos por préstamos a corto plazo. Tradicionalmente, los bancos centrales cobran un i</w:t>
      </w:r>
      <w:r w:rsidR="00320767">
        <w:rPr>
          <w:rFonts w:ascii="Times New Roman" w:eastAsia="Times New Roman" w:hAnsi="Times New Roman" w:cs="Times New Roman"/>
          <w:sz w:val="24"/>
          <w:szCs w:val="24"/>
          <w:lang w:eastAsia="es-ES"/>
        </w:rPr>
        <w:t>nterés mucho más alto por esta “liquidez de emergencia”</w:t>
      </w:r>
      <w:r w:rsidRPr="009050BE">
        <w:rPr>
          <w:rFonts w:ascii="Times New Roman" w:eastAsia="Times New Roman" w:hAnsi="Times New Roman" w:cs="Times New Roman"/>
          <w:sz w:val="24"/>
          <w:szCs w:val="24"/>
          <w:lang w:eastAsia="es-ES"/>
        </w:rPr>
        <w:t>.</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En conjunto, el crédito otorgado a través de los dos respaldos muestra un sistema bancario q</w:t>
      </w:r>
      <w:r w:rsidR="00320767">
        <w:rPr>
          <w:rFonts w:ascii="Times New Roman" w:eastAsia="Times New Roman" w:hAnsi="Times New Roman" w:cs="Times New Roman"/>
          <w:sz w:val="24"/>
          <w:szCs w:val="24"/>
          <w:lang w:eastAsia="es-ES"/>
        </w:rPr>
        <w:t>ue aún es frágil y enfrenta un “tsunami”</w:t>
      </w:r>
      <w:r w:rsidRPr="009050BE">
        <w:rPr>
          <w:rFonts w:ascii="Times New Roman" w:eastAsia="Times New Roman" w:hAnsi="Times New Roman" w:cs="Times New Roman"/>
          <w:sz w:val="24"/>
          <w:szCs w:val="24"/>
          <w:lang w:eastAsia="es-ES"/>
        </w:rPr>
        <w:t xml:space="preserve"> de movimientos en los depósitos a raíz de la quiebra de Silicon Valley Bank y Signature Bank.</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 xml:space="preserve">Al margen de estas cifras, la Federal Deposit Insurance prestó cerca de 142.800 millones a los bancos que asumieron los depósitos de los bancos quebrados. En total, el balance de la Fed se ha disparado en 300.000 millones de dólares desde la quiebra de SVB. </w:t>
      </w:r>
    </w:p>
    <w:p w:rsidR="00583194" w:rsidRDefault="00583194" w:rsidP="00583194">
      <w:pPr>
        <w:spacing w:after="0" w:line="240" w:lineRule="auto"/>
        <w:jc w:val="both"/>
        <w:rPr>
          <w:rFonts w:ascii="Times New Roman" w:eastAsia="Times New Roman" w:hAnsi="Times New Roman" w:cs="Times New Roman"/>
          <w:sz w:val="24"/>
          <w:szCs w:val="24"/>
          <w:lang w:eastAsia="es-ES"/>
        </w:rPr>
      </w:pPr>
    </w:p>
    <w:p w:rsidR="00583194"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Pr>
          <w:noProof/>
          <w:lang w:eastAsia="es-ES"/>
        </w:rPr>
        <w:drawing>
          <wp:inline distT="0" distB="0" distL="0" distR="0" wp14:anchorId="5AE90315" wp14:editId="3828308B">
            <wp:extent cx="5730494" cy="3302000"/>
            <wp:effectExtent l="0" t="0" r="3810" b="0"/>
            <wp:docPr id="38" name="Imagen 38" descr="https://s03.s3c.es/imag/_v0/2310x1500/f/7/2/180323_ventana_liquidez_we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03.s3c.es/imag/_v0/2310x1500/f/7/2/180323_ventana_liquidez_web.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31510" cy="3302586"/>
                    </a:xfrm>
                    <a:prstGeom prst="rect">
                      <a:avLst/>
                    </a:prstGeom>
                    <a:noFill/>
                    <a:ln>
                      <a:noFill/>
                    </a:ln>
                  </pic:spPr>
                </pic:pic>
              </a:graphicData>
            </a:graphic>
          </wp:inline>
        </w:drawing>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 xml:space="preserve">A partir del jueves por la tarde, los bancos más grandes del país acordaron un plan para depositar alrededor de 30.000 millones en First Republic Bank en un esfuerzo orquestado por </w:t>
      </w:r>
      <w:r w:rsidRPr="009050BE">
        <w:rPr>
          <w:rFonts w:ascii="Times New Roman" w:eastAsia="Times New Roman" w:hAnsi="Times New Roman" w:cs="Times New Roman"/>
          <w:sz w:val="24"/>
          <w:szCs w:val="24"/>
          <w:lang w:eastAsia="es-ES"/>
        </w:rPr>
        <w:lastRenderedPageBreak/>
        <w:t>el Gobierno de Joe Biden para estabilizar el sector financiero, aún inestable y lleno de incertidumbre tras el colapso de varios bancos.</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El Tesoro de EEUU y la Corporación Federal de Seguros de Depósitos intervinieron y ejercieron poderes inusuales durante el fin de semana para proteger a todos los depositantes tanto de SVB como de Signature. Por lo general, los depositantes solo están asegurados hasta 250.000 dólares.</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Caída de la liquidez</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La Fed también tomó la medida extraordinaria de ampliar la red de seguridad al garantizar que los bancos tendrían suficiente liquidez para satisfacer todas las necesidades de depósito. El BTFP permite a los bancos ofrecer garantías gubernamentales a la par a cambio de un préstamo a un año. Los funcionarios del gobierno dijeron en ese momento que había suficiente garantía en el sistema bancario para cubrir a todos los depositantes.</w:t>
      </w:r>
    </w:p>
    <w:p w:rsidR="00583194" w:rsidRPr="009050BE" w:rsidRDefault="00583194" w:rsidP="00583194">
      <w:pPr>
        <w:spacing w:after="0" w:line="240" w:lineRule="auto"/>
        <w:jc w:val="both"/>
        <w:rPr>
          <w:rFonts w:ascii="Times New Roman" w:eastAsia="Times New Roman" w:hAnsi="Times New Roman" w:cs="Times New Roman"/>
          <w:sz w:val="24"/>
          <w:szCs w:val="24"/>
          <w:lang w:eastAsia="es-ES"/>
        </w:rPr>
      </w:pPr>
    </w:p>
    <w:p w:rsidR="00583194" w:rsidRDefault="00583194" w:rsidP="00583194">
      <w:pPr>
        <w:spacing w:after="0" w:line="240" w:lineRule="auto"/>
        <w:jc w:val="both"/>
        <w:rPr>
          <w:rFonts w:ascii="Times New Roman" w:eastAsia="Times New Roman" w:hAnsi="Times New Roman" w:cs="Times New Roman"/>
          <w:sz w:val="24"/>
          <w:szCs w:val="24"/>
          <w:lang w:eastAsia="es-ES"/>
        </w:rPr>
      </w:pPr>
      <w:r w:rsidRPr="009050BE">
        <w:rPr>
          <w:rFonts w:ascii="Times New Roman" w:eastAsia="Times New Roman" w:hAnsi="Times New Roman" w:cs="Times New Roman"/>
          <w:sz w:val="24"/>
          <w:szCs w:val="24"/>
          <w:lang w:eastAsia="es-ES"/>
        </w:rPr>
        <w:t>Los analistas de JPMorgan estimaron en 2 billones de dólares el nivel superior de la cantidad de liquidez que podría proporcionar en última instancia el nuevo respaldo, aunque también desarrollaron un cálculo menor de alrededor de 460.000 millones de dólares en función de la cantidad de depósitos no asegurados en seis bancos estadounidenses que tienen la mayor proporción de depósitos no asegurados sobre el total de depósitos.</w:t>
      </w:r>
    </w:p>
    <w:p w:rsidR="00583194" w:rsidRDefault="00583194" w:rsidP="00583194">
      <w:pPr>
        <w:spacing w:after="0" w:line="240" w:lineRule="auto"/>
        <w:jc w:val="both"/>
        <w:rPr>
          <w:rFonts w:ascii="Times New Roman" w:eastAsia="Times New Roman" w:hAnsi="Times New Roman" w:cs="Times New Roman"/>
          <w:sz w:val="24"/>
          <w:szCs w:val="24"/>
          <w:lang w:eastAsia="es-ES"/>
        </w:rPr>
      </w:pPr>
    </w:p>
    <w:p w:rsidR="00583194" w:rsidRPr="00AA6EC3" w:rsidRDefault="00583194" w:rsidP="00583194">
      <w:pPr>
        <w:spacing w:after="0" w:line="240" w:lineRule="auto"/>
        <w:jc w:val="both"/>
        <w:textAlignment w:val="baseline"/>
        <w:outlineLvl w:val="0"/>
        <w:rPr>
          <w:rFonts w:ascii="Times New Roman" w:eastAsia="Times New Roman" w:hAnsi="Times New Roman" w:cs="Times New Roman"/>
          <w:b/>
          <w:bCs/>
          <w:kern w:val="36"/>
          <w:sz w:val="24"/>
          <w:szCs w:val="24"/>
          <w:lang w:eastAsia="es-ES"/>
        </w:rPr>
      </w:pPr>
      <w:r w:rsidRPr="00384809">
        <w:rPr>
          <w:rFonts w:ascii="Times New Roman" w:eastAsia="Times New Roman" w:hAnsi="Times New Roman" w:cs="Times New Roman"/>
          <w:b/>
          <w:bCs/>
          <w:kern w:val="36"/>
          <w:sz w:val="24"/>
          <w:szCs w:val="24"/>
          <w:lang w:eastAsia="es-ES"/>
        </w:rPr>
        <w:t>Tamaño del balance de la Reserva Federal 2007-2023</w:t>
      </w:r>
    </w:p>
    <w:p w:rsidR="00583194" w:rsidRDefault="00583194" w:rsidP="00583194">
      <w:pPr>
        <w:spacing w:line="240" w:lineRule="auto"/>
        <w:jc w:val="both"/>
        <w:rPr>
          <w:sz w:val="24"/>
          <w:szCs w:val="24"/>
        </w:rPr>
      </w:pPr>
    </w:p>
    <w:p w:rsidR="00583194" w:rsidRDefault="00583194" w:rsidP="00583194">
      <w:pPr>
        <w:spacing w:line="240" w:lineRule="auto"/>
        <w:jc w:val="both"/>
        <w:rPr>
          <w:sz w:val="24"/>
          <w:szCs w:val="24"/>
        </w:rPr>
      </w:pPr>
      <w:r w:rsidRPr="00384809">
        <w:rPr>
          <w:noProof/>
          <w:sz w:val="24"/>
          <w:szCs w:val="24"/>
          <w:lang w:eastAsia="es-ES"/>
        </w:rPr>
        <w:drawing>
          <wp:inline distT="0" distB="0" distL="0" distR="0" wp14:anchorId="78DB1E42" wp14:editId="0924BB0C">
            <wp:extent cx="5731510" cy="539472"/>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539472"/>
                    </a:xfrm>
                    <a:prstGeom prst="rect">
                      <a:avLst/>
                    </a:prstGeom>
                  </pic:spPr>
                </pic:pic>
              </a:graphicData>
            </a:graphic>
          </wp:inline>
        </w:drawing>
      </w:r>
    </w:p>
    <w:p w:rsidR="00583194" w:rsidRPr="00AA6EC3" w:rsidRDefault="00583194" w:rsidP="00583194">
      <w:pPr>
        <w:spacing w:line="240" w:lineRule="auto"/>
        <w:jc w:val="both"/>
        <w:rPr>
          <w:sz w:val="24"/>
          <w:szCs w:val="24"/>
        </w:rPr>
      </w:pPr>
      <w:r w:rsidRPr="00384809">
        <w:rPr>
          <w:noProof/>
          <w:sz w:val="24"/>
          <w:szCs w:val="24"/>
          <w:lang w:eastAsia="es-ES"/>
        </w:rPr>
        <w:drawing>
          <wp:inline distT="0" distB="0" distL="0" distR="0" wp14:anchorId="61287294" wp14:editId="67C092F2">
            <wp:extent cx="5731510" cy="3609749"/>
            <wp:effectExtent l="0" t="0" r="254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3609749"/>
                    </a:xfrm>
                    <a:prstGeom prst="rect">
                      <a:avLst/>
                    </a:prstGeom>
                  </pic:spPr>
                </pic:pic>
              </a:graphicData>
            </a:graphic>
          </wp:inline>
        </w:drawing>
      </w:r>
      <w:r w:rsidRPr="00384809">
        <w:rPr>
          <w:rFonts w:ascii="Times New Roman" w:eastAsia="Times New Roman" w:hAnsi="Times New Roman" w:cs="Times New Roman"/>
          <w:sz w:val="24"/>
          <w:szCs w:val="24"/>
          <w:bdr w:val="none" w:sz="0" w:space="0" w:color="auto" w:frame="1"/>
          <w:lang w:eastAsia="es-ES"/>
        </w:rPr>
        <w:t>Publicado por </w:t>
      </w:r>
      <w:hyperlink r:id="rId13" w:history="1">
        <w:r w:rsidRPr="00AA6EC3">
          <w:rPr>
            <w:rFonts w:ascii="Times New Roman" w:eastAsia="Times New Roman" w:hAnsi="Times New Roman" w:cs="Times New Roman"/>
            <w:sz w:val="24"/>
            <w:szCs w:val="24"/>
            <w:bdr w:val="none" w:sz="0" w:space="0" w:color="auto" w:frame="1"/>
            <w:lang w:eastAsia="es-ES"/>
          </w:rPr>
          <w:t>el Departamento de Investigación de Statista</w:t>
        </w:r>
      </w:hyperlink>
      <w:r w:rsidRPr="00384809">
        <w:rPr>
          <w:rFonts w:ascii="Times New Roman" w:eastAsia="Times New Roman" w:hAnsi="Times New Roman" w:cs="Times New Roman"/>
          <w:sz w:val="24"/>
          <w:szCs w:val="24"/>
          <w:bdr w:val="none" w:sz="0" w:space="0" w:color="auto" w:frame="1"/>
          <w:lang w:eastAsia="es-ES"/>
        </w:rPr>
        <w:t>, 7 de agosto de 2023</w:t>
      </w:r>
    </w:p>
    <w:p w:rsidR="00583194" w:rsidRDefault="00583194" w:rsidP="00583194">
      <w:pPr>
        <w:spacing w:after="0" w:line="240" w:lineRule="auto"/>
        <w:jc w:val="both"/>
        <w:textAlignment w:val="baseline"/>
        <w:rPr>
          <w:rFonts w:ascii="Times New Roman" w:eastAsia="Times New Roman" w:hAnsi="Times New Roman" w:cs="Times New Roman"/>
          <w:b/>
          <w:bCs/>
          <w:sz w:val="24"/>
          <w:szCs w:val="24"/>
          <w:lang w:eastAsia="es-ES"/>
        </w:rPr>
      </w:pPr>
      <w:r w:rsidRPr="00384809">
        <w:rPr>
          <w:rFonts w:ascii="Times New Roman" w:eastAsia="Times New Roman" w:hAnsi="Times New Roman" w:cs="Times New Roman"/>
          <w:sz w:val="24"/>
          <w:szCs w:val="24"/>
          <w:lang w:eastAsia="es-ES"/>
        </w:rPr>
        <w:lastRenderedPageBreak/>
        <w:t>El valor del balance de la Reserva Federal aumentó significativamente en conjunto desde 2007, cuando ascendía aproximadamente a 0,9 billones de dólares. Al 26 de julio de 2023, la Reserva Federal tenía aproximadamente 8,24 billones de dólares estadounidenses en activos en su balance. Los aumentos más espectaculares se produjeron en 2008 y en el primer semestre de 2020. Se remontan a dos acontecimientos: la crisis financiera de 2008 y la pandemia de COVID-19, que provocaron un crecimiento anual negativo del producto interior bruto real</w:t>
      </w:r>
      <w:r w:rsidRPr="00961D05">
        <w:rPr>
          <w:rFonts w:ascii="Times New Roman" w:eastAsia="Times New Roman" w:hAnsi="Times New Roman" w:cs="Times New Roman"/>
          <w:sz w:val="24"/>
          <w:szCs w:val="24"/>
          <w:lang w:eastAsia="es-ES"/>
        </w:rPr>
        <w:t> </w:t>
      </w:r>
      <w:hyperlink r:id="rId14" w:tgtFrame="_blank" w:history="1">
        <w:r w:rsidRPr="00961D05">
          <w:rPr>
            <w:rFonts w:ascii="Times New Roman" w:eastAsia="Times New Roman" w:hAnsi="Times New Roman" w:cs="Times New Roman"/>
            <w:sz w:val="24"/>
            <w:szCs w:val="24"/>
            <w:bdr w:val="none" w:sz="0" w:space="0" w:color="auto" w:frame="1"/>
            <w:lang w:eastAsia="es-ES"/>
          </w:rPr>
          <w:t>(PIB) de Estados Unidos</w:t>
        </w:r>
      </w:hyperlink>
      <w:r w:rsidRPr="00384809">
        <w:rPr>
          <w:rFonts w:ascii="Times New Roman" w:eastAsia="Times New Roman" w:hAnsi="Times New Roman" w:cs="Times New Roman"/>
          <w:sz w:val="24"/>
          <w:szCs w:val="24"/>
          <w:lang w:eastAsia="es-ES"/>
        </w:rPr>
        <w:t> . Por lo tanto, la respuesta de la Reserva Federal a estas crisis fue adoptar políticas monetarias expansivas para estimular el empleo y el crecimiento económico.</w:t>
      </w:r>
      <w:r w:rsidRPr="00384809">
        <w:rPr>
          <w:rFonts w:ascii="Times New Roman" w:eastAsia="Times New Roman" w:hAnsi="Times New Roman" w:cs="Times New Roman"/>
          <w:sz w:val="24"/>
          <w:szCs w:val="24"/>
          <w:lang w:eastAsia="es-ES"/>
        </w:rPr>
        <w:br/>
      </w:r>
      <w:r w:rsidRPr="00384809">
        <w:rPr>
          <w:rFonts w:ascii="Times New Roman" w:eastAsia="Times New Roman" w:hAnsi="Times New Roman" w:cs="Times New Roman"/>
          <w:sz w:val="24"/>
          <w:szCs w:val="24"/>
          <w:lang w:eastAsia="es-ES"/>
        </w:rPr>
        <w:br/>
      </w:r>
      <w:r w:rsidRPr="00384809">
        <w:rPr>
          <w:rFonts w:ascii="Times New Roman" w:eastAsia="Times New Roman" w:hAnsi="Times New Roman" w:cs="Times New Roman"/>
          <w:b/>
          <w:bCs/>
          <w:sz w:val="24"/>
          <w:szCs w:val="24"/>
          <w:lang w:eastAsia="es-ES"/>
        </w:rPr>
        <w:t>¿Qué es una política monetaria expansiva?</w:t>
      </w:r>
    </w:p>
    <w:p w:rsidR="00583194" w:rsidRPr="00384809" w:rsidRDefault="00583194" w:rsidP="00583194">
      <w:pPr>
        <w:spacing w:after="0" w:line="240" w:lineRule="auto"/>
        <w:jc w:val="both"/>
        <w:textAlignment w:val="baseline"/>
        <w:rPr>
          <w:rFonts w:ascii="Times New Roman" w:eastAsia="Times New Roman" w:hAnsi="Times New Roman" w:cs="Times New Roman"/>
          <w:sz w:val="24"/>
          <w:szCs w:val="24"/>
          <w:lang w:eastAsia="es-ES"/>
        </w:rPr>
      </w:pPr>
    </w:p>
    <w:p w:rsidR="00583194" w:rsidRPr="00AA6EC3" w:rsidRDefault="00583194" w:rsidP="00583194">
      <w:pPr>
        <w:spacing w:after="0" w:line="240" w:lineRule="auto"/>
        <w:jc w:val="both"/>
        <w:textAlignment w:val="baseline"/>
        <w:rPr>
          <w:rFonts w:ascii="Times New Roman" w:eastAsia="Times New Roman" w:hAnsi="Times New Roman" w:cs="Times New Roman"/>
          <w:sz w:val="24"/>
          <w:szCs w:val="24"/>
          <w:lang w:eastAsia="es-ES"/>
        </w:rPr>
      </w:pPr>
      <w:r w:rsidRPr="00384809">
        <w:rPr>
          <w:rFonts w:ascii="Times New Roman" w:eastAsia="Times New Roman" w:hAnsi="Times New Roman" w:cs="Times New Roman"/>
          <w:sz w:val="24"/>
          <w:szCs w:val="24"/>
          <w:lang w:eastAsia="es-ES"/>
        </w:rPr>
        <w:t>Los bancos centrales adoptan políticas monetarias expansivas para aumentar la cantidad de dinero que circula en la economía. Este fin se puede lograr de múltiples maneras. Por ejemplo, los bancos centrales pueden reducir las tasas de interés para reducir el costo de pedir dinero prestado para consumidores y empresarios. Con este fin, </w:t>
      </w:r>
      <w:hyperlink r:id="rId15" w:tgtFrame="_blank" w:history="1">
        <w:r w:rsidRPr="00AA6EC3">
          <w:rPr>
            <w:rFonts w:ascii="Times New Roman" w:eastAsia="Times New Roman" w:hAnsi="Times New Roman" w:cs="Times New Roman"/>
            <w:sz w:val="24"/>
            <w:szCs w:val="24"/>
            <w:bdr w:val="none" w:sz="0" w:space="0" w:color="auto" w:frame="1"/>
            <w:lang w:eastAsia="es-ES"/>
          </w:rPr>
          <w:t>la Reserva Federal redujo drásticamente la tasa efectiva de los fondos federales estadounidenses</w:t>
        </w:r>
      </w:hyperlink>
      <w:r w:rsidRPr="00AA6EC3">
        <w:rPr>
          <w:rFonts w:ascii="Times New Roman" w:eastAsia="Times New Roman" w:hAnsi="Times New Roman" w:cs="Times New Roman"/>
          <w:sz w:val="24"/>
          <w:szCs w:val="24"/>
          <w:lang w:eastAsia="es-ES"/>
        </w:rPr>
        <w:t> entre febrero y marzo de 2020. Además, los bancos centrales pueden reducir la cantidad mínima de fondos que los bancos comerciales deben mantener como reservas, lo que les permite otorgar más préstamos. Por último, pueden participar en operaciones de mercado abierto (OMO) y comprar valores como bonos gubernamentales de bancos o instituciones comerciales. Como consecuencia de la compra de bonos gubernamentales de la Reserva Federal, </w:t>
      </w:r>
      <w:hyperlink r:id="rId16" w:tgtFrame="_blank" w:history="1">
        <w:r w:rsidRPr="00AA6EC3">
          <w:rPr>
            <w:rFonts w:ascii="Times New Roman" w:eastAsia="Times New Roman" w:hAnsi="Times New Roman" w:cs="Times New Roman"/>
            <w:sz w:val="24"/>
            <w:szCs w:val="24"/>
            <w:bdr w:val="none" w:sz="0" w:space="0" w:color="auto" w:frame="1"/>
            <w:lang w:eastAsia="es-ES"/>
          </w:rPr>
          <w:t>la deuda pública de Estados Unidos</w:t>
        </w:r>
      </w:hyperlink>
      <w:r w:rsidRPr="00AA6EC3">
        <w:rPr>
          <w:rFonts w:ascii="Times New Roman" w:eastAsia="Times New Roman" w:hAnsi="Times New Roman" w:cs="Times New Roman"/>
          <w:sz w:val="24"/>
          <w:szCs w:val="24"/>
          <w:lang w:eastAsia="es-ES"/>
        </w:rPr>
        <w:t xml:space="preserve"> aumentó considerablemente entre 2019 y 2020.</w:t>
      </w:r>
    </w:p>
    <w:p w:rsidR="00583194" w:rsidRPr="00384809" w:rsidRDefault="00583194" w:rsidP="00583194">
      <w:pPr>
        <w:spacing w:before="100" w:beforeAutospacing="1" w:after="100" w:afterAutospacing="1" w:line="240" w:lineRule="auto"/>
        <w:jc w:val="both"/>
        <w:textAlignment w:val="baseline"/>
        <w:outlineLvl w:val="1"/>
        <w:rPr>
          <w:rFonts w:ascii="Times New Roman" w:eastAsia="Times New Roman" w:hAnsi="Times New Roman" w:cs="Times New Roman"/>
          <w:b/>
          <w:bCs/>
          <w:sz w:val="24"/>
          <w:szCs w:val="24"/>
          <w:lang w:eastAsia="es-ES"/>
        </w:rPr>
      </w:pPr>
      <w:r w:rsidRPr="00384809">
        <w:rPr>
          <w:rFonts w:ascii="Times New Roman" w:eastAsia="Times New Roman" w:hAnsi="Times New Roman" w:cs="Times New Roman"/>
          <w:b/>
          <w:bCs/>
          <w:sz w:val="24"/>
          <w:szCs w:val="24"/>
          <w:lang w:eastAsia="es-ES"/>
        </w:rPr>
        <w:t>¿Las políticas monetarias expansivas siempre tienen éxito?</w:t>
      </w:r>
    </w:p>
    <w:p w:rsidR="00583194" w:rsidRPr="00384809" w:rsidRDefault="00583194" w:rsidP="00583194">
      <w:pPr>
        <w:spacing w:after="0" w:line="240" w:lineRule="auto"/>
        <w:jc w:val="both"/>
        <w:textAlignment w:val="baseline"/>
        <w:rPr>
          <w:rFonts w:ascii="Times New Roman" w:eastAsia="Times New Roman" w:hAnsi="Times New Roman" w:cs="Times New Roman"/>
          <w:sz w:val="24"/>
          <w:szCs w:val="24"/>
          <w:lang w:eastAsia="es-ES"/>
        </w:rPr>
      </w:pPr>
      <w:r w:rsidRPr="00384809">
        <w:rPr>
          <w:rFonts w:ascii="Times New Roman" w:eastAsia="Times New Roman" w:hAnsi="Times New Roman" w:cs="Times New Roman"/>
          <w:sz w:val="24"/>
          <w:szCs w:val="24"/>
          <w:lang w:eastAsia="es-ES"/>
        </w:rPr>
        <w:t>Las políticas monetarias expansivas sólo son efectivas si los bancos comerciales están dispuestos a otorgar préstamos y los prestatarios potenciales están dispuestos a asumir el riesgo. De hecho, si bien los bancos centrales pueden imponer requisitos mínimos de reservas a los bancos comerciales, no pueden imponer un monto máximo. Por tanto, las políticas monetarias expansivas podrían aumentar las reservas de los bancos comerciales pero no la cantidad de dinero que circula en la economía. Además, el aumento de la oferta monetaria tiende a aumentar la inflación, lo que desestabiliza la economía y erosiona el poder adquisitivo. Por ejemplo, tras la flexibilización cuantitativa (QE) de la Reserva Federal en 2020, la </w:t>
      </w:r>
      <w:hyperlink r:id="rId17" w:tgtFrame="_blank" w:history="1">
        <w:r w:rsidRPr="00AA6EC3">
          <w:rPr>
            <w:rFonts w:ascii="Times New Roman" w:eastAsia="Times New Roman" w:hAnsi="Times New Roman" w:cs="Times New Roman"/>
            <w:sz w:val="24"/>
            <w:szCs w:val="24"/>
            <w:bdr w:val="none" w:sz="0" w:space="0" w:color="auto" w:frame="1"/>
            <w:lang w:eastAsia="es-ES"/>
          </w:rPr>
          <w:t>tasa de inflación en Estados Unidos</w:t>
        </w:r>
      </w:hyperlink>
      <w:r w:rsidRPr="00AA6EC3">
        <w:rPr>
          <w:rFonts w:ascii="Times New Roman" w:eastAsia="Times New Roman" w:hAnsi="Times New Roman" w:cs="Times New Roman"/>
          <w:sz w:val="24"/>
          <w:szCs w:val="24"/>
          <w:lang w:eastAsia="es-ES"/>
        </w:rPr>
        <w:t> </w:t>
      </w:r>
      <w:r w:rsidRPr="00384809">
        <w:rPr>
          <w:rFonts w:ascii="Times New Roman" w:eastAsia="Times New Roman" w:hAnsi="Times New Roman" w:cs="Times New Roman"/>
          <w:sz w:val="24"/>
          <w:szCs w:val="24"/>
          <w:lang w:eastAsia="es-ES"/>
        </w:rPr>
        <w:t>alcanzó el 4,7 por ciento en 2021, el valor más alto desde 1991.</w:t>
      </w:r>
    </w:p>
    <w:p w:rsidR="00583194" w:rsidRDefault="00583194" w:rsidP="00583194">
      <w:pPr>
        <w:spacing w:line="240" w:lineRule="auto"/>
        <w:jc w:val="both"/>
        <w:rPr>
          <w:rFonts w:ascii="Times New Roman" w:hAnsi="Times New Roman" w:cs="Times New Roman"/>
          <w:sz w:val="24"/>
          <w:szCs w:val="24"/>
        </w:rPr>
      </w:pPr>
    </w:p>
    <w:p w:rsidR="00583194" w:rsidRDefault="00583194" w:rsidP="00583194">
      <w:pPr>
        <w:spacing w:line="240" w:lineRule="auto"/>
        <w:jc w:val="both"/>
        <w:rPr>
          <w:rFonts w:ascii="Times New Roman" w:hAnsi="Times New Roman" w:cs="Times New Roman"/>
          <w:sz w:val="24"/>
          <w:szCs w:val="24"/>
        </w:rPr>
      </w:pPr>
      <w:r w:rsidRPr="00384809">
        <w:rPr>
          <w:rFonts w:ascii="Times New Roman" w:hAnsi="Times New Roman" w:cs="Times New Roman"/>
          <w:noProof/>
          <w:sz w:val="24"/>
          <w:szCs w:val="24"/>
          <w:lang w:eastAsia="es-ES"/>
        </w:rPr>
        <w:drawing>
          <wp:inline distT="0" distB="0" distL="0" distR="0" wp14:anchorId="61D23F6E" wp14:editId="59D83FEB">
            <wp:extent cx="3105584" cy="1819529"/>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05584" cy="1819529"/>
                    </a:xfrm>
                    <a:prstGeom prst="rect">
                      <a:avLst/>
                    </a:prstGeom>
                  </pic:spPr>
                </pic:pic>
              </a:graphicData>
            </a:graphic>
          </wp:inline>
        </w:drawing>
      </w:r>
    </w:p>
    <w:p w:rsidR="00583194" w:rsidRDefault="00583194" w:rsidP="00583194">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818F5DB" wp14:editId="509CCA71">
            <wp:extent cx="6026150" cy="2349500"/>
            <wp:effectExtent l="0" t="0" r="0" b="0"/>
            <wp:docPr id="41" name="Imagen 41" descr="https://s3.cointelegraph.com/uploads/2023-03/fd540a28-ba5a-459d-84bd-990f0bf00c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3.cointelegraph.com/uploads/2023-03/fd540a28-ba5a-459d-84bd-990f0bf00c0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30159" cy="2351063"/>
                    </a:xfrm>
                    <a:prstGeom prst="rect">
                      <a:avLst/>
                    </a:prstGeom>
                    <a:noFill/>
                    <a:ln>
                      <a:noFill/>
                    </a:ln>
                  </pic:spPr>
                </pic:pic>
              </a:graphicData>
            </a:graphic>
          </wp:inline>
        </w:drawing>
      </w:r>
    </w:p>
    <w:p w:rsidR="00583194" w:rsidRPr="00AB194A"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B194A">
        <w:rPr>
          <w:rFonts w:ascii="Times New Roman" w:hAnsi="Times New Roman" w:cs="Times New Roman"/>
          <w:sz w:val="24"/>
          <w:szCs w:val="24"/>
          <w:u w:val="single"/>
        </w:rPr>
        <w:t>El balance del BCE se reduce, pero nadie lo nota</w:t>
      </w:r>
      <w:r>
        <w:rPr>
          <w:rFonts w:ascii="Times New Roman" w:hAnsi="Times New Roman" w:cs="Times New Roman"/>
          <w:sz w:val="24"/>
          <w:szCs w:val="24"/>
        </w:rPr>
        <w:t xml:space="preserve"> (Fuente: </w:t>
      </w:r>
      <w:r w:rsidRPr="00AB194A">
        <w:rPr>
          <w:rFonts w:ascii="Times New Roman" w:hAnsi="Times New Roman" w:cs="Times New Roman"/>
          <w:sz w:val="24"/>
          <w:szCs w:val="24"/>
        </w:rPr>
        <w:t>DWS Group GmbH &amp; Co</w:t>
      </w:r>
      <w:r>
        <w:rPr>
          <w:rFonts w:ascii="Times New Roman" w:hAnsi="Times New Roman" w:cs="Times New Roman"/>
          <w:sz w:val="24"/>
          <w:szCs w:val="24"/>
        </w:rPr>
        <w:t xml:space="preserve"> - </w:t>
      </w:r>
      <w:r w:rsidRPr="00AA6EC3">
        <w:rPr>
          <w:rFonts w:ascii="Times New Roman" w:hAnsi="Times New Roman" w:cs="Times New Roman"/>
          <w:b/>
          <w:sz w:val="24"/>
          <w:szCs w:val="24"/>
        </w:rPr>
        <w:t>19/6/23</w:t>
      </w:r>
      <w:r>
        <w:rPr>
          <w:rFonts w:ascii="Times New Roman" w:hAnsi="Times New Roman" w:cs="Times New Roman"/>
          <w:sz w:val="24"/>
          <w:szCs w:val="24"/>
        </w:rPr>
        <w:t>)</w:t>
      </w:r>
    </w:p>
    <w:p w:rsidR="00583194" w:rsidRDefault="00583194" w:rsidP="00583194">
      <w:pPr>
        <w:spacing w:line="240" w:lineRule="auto"/>
        <w:jc w:val="both"/>
        <w:rPr>
          <w:rFonts w:ascii="Times New Roman" w:hAnsi="Times New Roman" w:cs="Times New Roman"/>
          <w:sz w:val="24"/>
          <w:szCs w:val="24"/>
        </w:rPr>
      </w:pPr>
      <w:r>
        <w:rPr>
          <w:noProof/>
          <w:lang w:eastAsia="es-ES"/>
        </w:rPr>
        <w:drawing>
          <wp:inline distT="0" distB="0" distL="0" distR="0" wp14:anchorId="2A0F42DE" wp14:editId="2685151E">
            <wp:extent cx="5734050" cy="3873500"/>
            <wp:effectExtent l="0" t="0" r="0" b="0"/>
            <wp:docPr id="44" name="Imagen 44" descr="El balance del BCE se reduce, pero nadie lo n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l balance del BCE se reduce, pero nadie lo not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871784"/>
                    </a:xfrm>
                    <a:prstGeom prst="rect">
                      <a:avLst/>
                    </a:prstGeom>
                    <a:noFill/>
                    <a:ln>
                      <a:noFill/>
                    </a:ln>
                  </pic:spPr>
                </pic:pic>
              </a:graphicData>
            </a:graphic>
          </wp:inline>
        </w:drawing>
      </w:r>
    </w:p>
    <w:p w:rsidR="00583194" w:rsidRPr="00AB194A"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B194A">
        <w:rPr>
          <w:rFonts w:ascii="Times New Roman" w:hAnsi="Times New Roman" w:cs="Times New Roman"/>
          <w:sz w:val="24"/>
          <w:szCs w:val="24"/>
          <w:u w:val="single"/>
        </w:rPr>
        <w:t>El balance de la Fed se contrajo $ 91 mil millones en julio</w:t>
      </w:r>
      <w:r>
        <w:rPr>
          <w:rFonts w:ascii="Times New Roman" w:hAnsi="Times New Roman" w:cs="Times New Roman"/>
          <w:sz w:val="24"/>
          <w:szCs w:val="24"/>
        </w:rPr>
        <w:t xml:space="preserve"> (La Carta de la Bolsa - </w:t>
      </w:r>
      <w:r w:rsidRPr="00AB194A">
        <w:rPr>
          <w:rFonts w:ascii="Times New Roman" w:hAnsi="Times New Roman" w:cs="Times New Roman"/>
          <w:b/>
          <w:sz w:val="24"/>
          <w:szCs w:val="24"/>
        </w:rPr>
        <w:t>7/8/23</w:t>
      </w:r>
      <w:r>
        <w:rPr>
          <w:rFonts w:ascii="Times New Roman" w:hAnsi="Times New Roman" w:cs="Times New Roman"/>
          <w:sz w:val="24"/>
          <w:szCs w:val="24"/>
        </w:rPr>
        <w:t>)</w:t>
      </w:r>
    </w:p>
    <w:p w:rsidR="00583194" w:rsidRDefault="00583194" w:rsidP="00583194">
      <w:pPr>
        <w:spacing w:line="240" w:lineRule="auto"/>
        <w:jc w:val="both"/>
        <w:rPr>
          <w:rFonts w:ascii="Times New Roman" w:hAnsi="Times New Roman" w:cs="Times New Roman"/>
          <w:sz w:val="24"/>
          <w:szCs w:val="24"/>
        </w:rPr>
      </w:pPr>
      <w:r w:rsidRPr="00AB194A">
        <w:rPr>
          <w:rFonts w:ascii="Times New Roman" w:hAnsi="Times New Roman" w:cs="Times New Roman"/>
          <w:sz w:val="24"/>
          <w:szCs w:val="24"/>
        </w:rPr>
        <w:t>La Fed acelera la QT. El balance de la Fed se contrajo $ 91 mil millones en julio, - $ 759 mil millones desde el pico, la mayor caída hasta $ 8,2 billones, el nivel más bajo desde julio de 2021. La Fed ahora se ha deshecho del 22,3% de los valores del Tesoro que compró durante la QE pandémica. Los activos totales de la Fed ahora equ</w:t>
      </w:r>
      <w:r>
        <w:rPr>
          <w:rFonts w:ascii="Times New Roman" w:hAnsi="Times New Roman" w:cs="Times New Roman"/>
          <w:sz w:val="24"/>
          <w:szCs w:val="24"/>
        </w:rPr>
        <w:t>ivalen al 30,6 % del PIB de EEUU</w:t>
      </w:r>
      <w:r w:rsidRPr="00AB194A">
        <w:rPr>
          <w:rFonts w:ascii="Times New Roman" w:hAnsi="Times New Roman" w:cs="Times New Roman"/>
          <w:sz w:val="24"/>
          <w:szCs w:val="24"/>
        </w:rPr>
        <w:t xml:space="preserve"> frente al 53 % del BCE y el 130 % del BoJ.</w:t>
      </w:r>
    </w:p>
    <w:p w:rsidR="00583194" w:rsidRDefault="00583194" w:rsidP="00583194">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A87EAE6" wp14:editId="2B4B72F1">
            <wp:extent cx="5732132" cy="3790950"/>
            <wp:effectExtent l="0" t="0" r="2540" b="0"/>
            <wp:docPr id="45" name="Imagen 45" descr="http://lacartadelabolsa.com/images/ilustraciones/Captura_de_Pantalla_2023-08-07_a_las_8.44_.37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lacartadelabolsa.com/images/ilustraciones/Captura_de_Pantalla_2023-08-07_a_las_8.44_.37_.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1510" cy="3790539"/>
                    </a:xfrm>
                    <a:prstGeom prst="rect">
                      <a:avLst/>
                    </a:prstGeom>
                    <a:noFill/>
                    <a:ln>
                      <a:noFill/>
                    </a:ln>
                  </pic:spPr>
                </pic:pic>
              </a:graphicData>
            </a:graphic>
          </wp:inline>
        </w:drawing>
      </w:r>
    </w:p>
    <w:p w:rsidR="00583194" w:rsidRPr="00621D5E"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Wall Street rescata la opción “put”</w:t>
      </w:r>
      <w:r w:rsidRPr="00621D5E">
        <w:rPr>
          <w:rFonts w:ascii="Times New Roman" w:hAnsi="Times New Roman" w:cs="Times New Roman"/>
          <w:sz w:val="24"/>
          <w:szCs w:val="24"/>
          <w:u w:val="single"/>
        </w:rPr>
        <w:t xml:space="preserve"> de la Fed ante el temor a unos tipos altos durante más tiempo</w:t>
      </w:r>
      <w:r>
        <w:rPr>
          <w:rFonts w:ascii="Times New Roman" w:hAnsi="Times New Roman" w:cs="Times New Roman"/>
          <w:sz w:val="24"/>
          <w:szCs w:val="24"/>
        </w:rPr>
        <w:t xml:space="preserve"> (El Economista - </w:t>
      </w:r>
      <w:r w:rsidRPr="00621D5E">
        <w:rPr>
          <w:rFonts w:ascii="Times New Roman" w:hAnsi="Times New Roman" w:cs="Times New Roman"/>
          <w:b/>
          <w:sz w:val="24"/>
          <w:szCs w:val="24"/>
        </w:rPr>
        <w:t>26/9/23</w:t>
      </w:r>
      <w:r>
        <w:rPr>
          <w:rFonts w:ascii="Times New Roman" w:hAnsi="Times New Roman" w:cs="Times New Roman"/>
          <w:sz w:val="24"/>
          <w:szCs w:val="24"/>
        </w:rPr>
        <w:t>)</w:t>
      </w:r>
    </w:p>
    <w:p w:rsidR="00583194" w:rsidRPr="00621D5E"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Se llama “put”</w:t>
      </w:r>
      <w:r w:rsidRPr="00621D5E">
        <w:rPr>
          <w:rFonts w:ascii="Times New Roman" w:hAnsi="Times New Roman" w:cs="Times New Roman"/>
          <w:sz w:val="24"/>
          <w:szCs w:val="24"/>
        </w:rPr>
        <w:t xml:space="preserve"> de la Fed a un giro laxo que ayuda a unas bolsas en apuros</w:t>
      </w:r>
    </w:p>
    <w:p w:rsidR="00583194" w:rsidRPr="00621D5E"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Una opción “put”</w:t>
      </w:r>
      <w:r w:rsidRPr="00621D5E">
        <w:rPr>
          <w:rFonts w:ascii="Times New Roman" w:hAnsi="Times New Roman" w:cs="Times New Roman"/>
          <w:sz w:val="24"/>
          <w:szCs w:val="24"/>
        </w:rPr>
        <w:t xml:space="preserve"> supone un seguro contra las bajadas en los mercados</w:t>
      </w:r>
    </w:p>
    <w:p w:rsidR="00583194" w:rsidRPr="00621D5E"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El término nace del “rescate”</w:t>
      </w:r>
      <w:r w:rsidRPr="00621D5E">
        <w:rPr>
          <w:rFonts w:ascii="Times New Roman" w:hAnsi="Times New Roman" w:cs="Times New Roman"/>
          <w:sz w:val="24"/>
          <w:szCs w:val="24"/>
        </w:rPr>
        <w:t xml:space="preserve"> de Greenspan tras el Lunes Negro de 1987</w:t>
      </w:r>
    </w:p>
    <w:p w:rsidR="00583194" w:rsidRPr="00621D5E"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21D5E">
        <w:rPr>
          <w:rFonts w:ascii="Times New Roman" w:hAnsi="Times New Roman" w:cs="Times New Roman"/>
          <w:sz w:val="24"/>
          <w:szCs w:val="24"/>
        </w:rPr>
        <w:t>Mario Becedas</w:t>
      </w:r>
      <w:r>
        <w:rPr>
          <w:rFonts w:ascii="Times New Roman" w:hAnsi="Times New Roman" w:cs="Times New Roman"/>
          <w:sz w:val="24"/>
          <w:szCs w:val="24"/>
        </w:rPr>
        <w:t>)</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La última tanda de reuniones de bancos centrales ha dejado claro que el trabajo no está terminado. Aunque las subidas de tipos de interés hayan llegado a su fin o ya les quede poco, ahora la clave es cuánto tiempo permanecerán esas tasas en niveles elevados en comparación con las cotas cercanas a cero e incluso por debajo en las que han estado en los últimos años. A esto hay que sumar el progresivo proceso de reducción de balance de los bancos centrales, que seguirá su curso e incluso podría acelerarse en algunos casos. Este endurecimiento con sordina está llevando al alza los rendimientos de los bonos (se esperan menos recortes de tipos) y está empezando a asustar de nuevo a las bolsas. En Wall Street, algunos ya están rescatando e</w:t>
      </w:r>
      <w:r>
        <w:rPr>
          <w:rFonts w:ascii="Times New Roman" w:hAnsi="Times New Roman" w:cs="Times New Roman"/>
          <w:sz w:val="24"/>
          <w:szCs w:val="24"/>
        </w:rPr>
        <w:t>l concepto del “put” de la Fed.</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 xml:space="preserve">¿En qué consiste esta expresión? Cogiendo la terminología bursátil de la opción de venta o put (contrato que le da al comprador el derecho, pero no la obligación de vender un activo a un precio determinado, antes de una fecha de vencimiento concreta, según definen los analistas de IG), esta expresión se utiliza cuando la Fed interviene aplicando políticas más laxas al ver un notorio deterioro en las bolsas. Su uso empezó a extenderse cuando Alan Greenspan presidió la Fed (de 1987 a 2006) y el banco central de EEUU actuó varias veces de esta manera. La primera de ellas fue precisamente tras el fatídico Lunes Negro de 1987, </w:t>
      </w:r>
      <w:r w:rsidRPr="00621D5E">
        <w:rPr>
          <w:rFonts w:ascii="Times New Roman" w:hAnsi="Times New Roman" w:cs="Times New Roman"/>
          <w:sz w:val="24"/>
          <w:szCs w:val="24"/>
        </w:rPr>
        <w:lastRenderedPageBreak/>
        <w:t>jornada la del 19 de octubre de aquel año en la que el Dow Jones borró de un plumazo un 22,6%.</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Greenspan, que había accedido al cargo en agosto de ese año, se movió rápido y empezó a arrojar ayuda al mercado, otorgándole liquidez para evitar que el daño fuera a mayores. Esta secuencia y su repetición en episodios posteriores como el rescate de Long-Term Capital en 1998, la expansión cuanti</w:t>
      </w:r>
      <w:r>
        <w:rPr>
          <w:rFonts w:ascii="Times New Roman" w:hAnsi="Times New Roman" w:cs="Times New Roman"/>
          <w:sz w:val="24"/>
          <w:szCs w:val="24"/>
        </w:rPr>
        <w:t>ta</w:t>
      </w:r>
      <w:r w:rsidRPr="00621D5E">
        <w:rPr>
          <w:rFonts w:ascii="Times New Roman" w:hAnsi="Times New Roman" w:cs="Times New Roman"/>
          <w:sz w:val="24"/>
          <w:szCs w:val="24"/>
        </w:rPr>
        <w:t>tiva (QE) en 2010 tras la Gran Crisis, el estímulo tras el estallido del covid en 2020 o la gestión tras el susto bancario de este 2023 con Silicon Valley Bank han h</w:t>
      </w:r>
      <w:r>
        <w:rPr>
          <w:rFonts w:ascii="Times New Roman" w:hAnsi="Times New Roman" w:cs="Times New Roman"/>
          <w:sz w:val="24"/>
          <w:szCs w:val="24"/>
        </w:rPr>
        <w:t>echo que cobre fama el término “put”</w:t>
      </w:r>
      <w:r w:rsidRPr="00621D5E">
        <w:rPr>
          <w:rFonts w:ascii="Times New Roman" w:hAnsi="Times New Roman" w:cs="Times New Roman"/>
          <w:sz w:val="24"/>
          <w:szCs w:val="24"/>
        </w:rPr>
        <w:t xml:space="preserve"> de la Fed. Durante el largo mandato de Greenspan se llegó a la creencia de que la Fed actuaría siempre antes de ver una corrección bursátil mayor al 20%.</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Más que una estrategia concreta, se trata de una licencia del lenguaje. La opción put funciona como un seguro contra una caída en el mercado. Al contar con ella, el inversor puede vender la acción a un precio mayor al que cotiza llegado el momento si esta ha caído. En este caso, la actuac</w:t>
      </w:r>
      <w:r>
        <w:rPr>
          <w:rFonts w:ascii="Times New Roman" w:hAnsi="Times New Roman" w:cs="Times New Roman"/>
          <w:sz w:val="24"/>
          <w:szCs w:val="24"/>
        </w:rPr>
        <w:t>ión de la Fed actúa como “</w:t>
      </w:r>
      <w:r w:rsidRPr="00621D5E">
        <w:rPr>
          <w:rFonts w:ascii="Times New Roman" w:hAnsi="Times New Roman" w:cs="Times New Roman"/>
          <w:sz w:val="24"/>
          <w:szCs w:val="24"/>
        </w:rPr>
        <w:t xml:space="preserve">una valiosa póliza de seguro para el mercado, que elimina el escenario </w:t>
      </w:r>
      <w:r>
        <w:rPr>
          <w:rFonts w:ascii="Times New Roman" w:hAnsi="Times New Roman" w:cs="Times New Roman"/>
          <w:sz w:val="24"/>
          <w:szCs w:val="24"/>
        </w:rPr>
        <w:t>más bajista para los inversores”</w:t>
      </w:r>
      <w:r w:rsidRPr="00621D5E">
        <w:rPr>
          <w:rFonts w:ascii="Times New Roman" w:hAnsi="Times New Roman" w:cs="Times New Roman"/>
          <w:sz w:val="24"/>
          <w:szCs w:val="24"/>
        </w:rPr>
        <w:t>, en palabras de Ben Laidler, es</w:t>
      </w:r>
      <w:r>
        <w:rPr>
          <w:rFonts w:ascii="Times New Roman" w:hAnsi="Times New Roman" w:cs="Times New Roman"/>
          <w:sz w:val="24"/>
          <w:szCs w:val="24"/>
        </w:rPr>
        <w:t>tratega de la plataforma eToro.</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 xml:space="preserve">Para el analista, el rango de subidas de tipos alcanzado (desde un 0,25% hasta un 5,5% en EEUU) aumenta la capacidad de los bancos centrales para responder a cualquier desaceleración económica brusca y a la debilidad de los mercados bursátiles, recortando los tipos </w:t>
      </w:r>
      <w:r>
        <w:rPr>
          <w:rFonts w:ascii="Times New Roman" w:hAnsi="Times New Roman" w:cs="Times New Roman"/>
          <w:sz w:val="24"/>
          <w:szCs w:val="24"/>
        </w:rPr>
        <w:t>de interés si fuera necesario: “</w:t>
      </w:r>
      <w:r w:rsidR="00320767">
        <w:rPr>
          <w:rFonts w:ascii="Times New Roman" w:hAnsi="Times New Roman" w:cs="Times New Roman"/>
          <w:sz w:val="24"/>
          <w:szCs w:val="24"/>
        </w:rPr>
        <w:t>La llamada opción “put”</w:t>
      </w:r>
      <w:r w:rsidRPr="00621D5E">
        <w:rPr>
          <w:rFonts w:ascii="Times New Roman" w:hAnsi="Times New Roman" w:cs="Times New Roman"/>
          <w:sz w:val="24"/>
          <w:szCs w:val="24"/>
        </w:rPr>
        <w:t xml:space="preserve"> de la Fed se prepara para </w:t>
      </w:r>
      <w:r>
        <w:rPr>
          <w:rFonts w:ascii="Times New Roman" w:hAnsi="Times New Roman" w:cs="Times New Roman"/>
          <w:sz w:val="24"/>
          <w:szCs w:val="24"/>
        </w:rPr>
        <w:t>un regreso gradual e importante”</w:t>
      </w:r>
      <w:r w:rsidRPr="00621D5E">
        <w:rPr>
          <w:rFonts w:ascii="Times New Roman" w:hAnsi="Times New Roman" w:cs="Times New Roman"/>
          <w:sz w:val="24"/>
          <w:szCs w:val="24"/>
        </w:rPr>
        <w:t>.</w:t>
      </w:r>
    </w:p>
    <w:p w:rsidR="00583194" w:rsidRPr="00621D5E"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21D5E">
        <w:rPr>
          <w:rFonts w:ascii="Times New Roman" w:hAnsi="Times New Roman" w:cs="Times New Roman"/>
          <w:sz w:val="24"/>
          <w:szCs w:val="24"/>
        </w:rPr>
        <w:t>Es un gran cambio respecto a hace seis meses. Los tipos de interés son ahora altos y restrictivos. La inflación ha caído significativamente y las expectativas están bien ancladas. Y los bancos centrales cada vez más en una pausa hawkish. La flexibilidad es mayor para los que tienen un doble mandato de inflación y crecimiento, como la Fed, a pesar de las recientes declaraciones de Jer</w:t>
      </w:r>
      <w:r>
        <w:rPr>
          <w:rFonts w:ascii="Times New Roman" w:hAnsi="Times New Roman" w:cs="Times New Roman"/>
          <w:sz w:val="24"/>
          <w:szCs w:val="24"/>
        </w:rPr>
        <w:t>ome Powell”, argumenta Laidler.</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 xml:space="preserve">El peor caso para los mercados bursátiles, insiste el estratega, era que una inflación más alta durante más tiempo forzara a la Fed a priorizar su lucha con tipos de interés cada vez más altos, independientemente del </w:t>
      </w:r>
      <w:r>
        <w:rPr>
          <w:rFonts w:ascii="Times New Roman" w:hAnsi="Times New Roman" w:cs="Times New Roman"/>
          <w:sz w:val="24"/>
          <w:szCs w:val="24"/>
        </w:rPr>
        <w:t>debilitamiento de la economía: “</w:t>
      </w:r>
      <w:r w:rsidRPr="00621D5E">
        <w:rPr>
          <w:rFonts w:ascii="Times New Roman" w:hAnsi="Times New Roman" w:cs="Times New Roman"/>
          <w:sz w:val="24"/>
          <w:szCs w:val="24"/>
        </w:rPr>
        <w:t>Este era un escenario plausible hace solo unos meses, pero es menos probable hoy en día. La inflación era entonces más alta (más del 6%), las expectativas de equilibrio más elevadas (2,7%) y las subidas de tipos acababan de ralentizarse desde su agresivo ritmo de 50-</w:t>
      </w:r>
      <w:r>
        <w:rPr>
          <w:rFonts w:ascii="Times New Roman" w:hAnsi="Times New Roman" w:cs="Times New Roman"/>
          <w:sz w:val="24"/>
          <w:szCs w:val="24"/>
        </w:rPr>
        <w:t>75 puntos básicos por reunión”.</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Entonces no se hablaba de un “put”</w:t>
      </w:r>
      <w:r w:rsidRPr="00621D5E">
        <w:rPr>
          <w:rFonts w:ascii="Times New Roman" w:hAnsi="Times New Roman" w:cs="Times New Roman"/>
          <w:sz w:val="24"/>
          <w:szCs w:val="24"/>
        </w:rPr>
        <w:t xml:space="preserve"> de la Fed, recuerda Laidler, sino de su opuesto exacto, una o</w:t>
      </w:r>
      <w:r>
        <w:rPr>
          <w:rFonts w:ascii="Times New Roman" w:hAnsi="Times New Roman" w:cs="Times New Roman"/>
          <w:sz w:val="24"/>
          <w:szCs w:val="24"/>
        </w:rPr>
        <w:t>pción call (opción de compra): “</w:t>
      </w:r>
      <w:r w:rsidRPr="00621D5E">
        <w:rPr>
          <w:rFonts w:ascii="Times New Roman" w:hAnsi="Times New Roman" w:cs="Times New Roman"/>
          <w:sz w:val="24"/>
          <w:szCs w:val="24"/>
        </w:rPr>
        <w:t>Se centró en la inflación, en su credibilidad y en no repetir los errores de la década de 1970. Con unas valoraciones y unos beneficios elevados, esta era un</w:t>
      </w:r>
      <w:r>
        <w:rPr>
          <w:rFonts w:ascii="Times New Roman" w:hAnsi="Times New Roman" w:cs="Times New Roman"/>
          <w:sz w:val="24"/>
          <w:szCs w:val="24"/>
        </w:rPr>
        <w:t>a receta para el dolor bursátil”</w:t>
      </w:r>
      <w:r w:rsidRPr="00621D5E">
        <w:rPr>
          <w:rFonts w:ascii="Times New Roman" w:hAnsi="Times New Roman" w:cs="Times New Roman"/>
          <w:sz w:val="24"/>
          <w:szCs w:val="24"/>
        </w:rPr>
        <w:t>.</w:t>
      </w:r>
    </w:p>
    <w:p w:rsidR="00583194" w:rsidRPr="00621D5E"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Hasta que algo “se rompa”</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La clave está en separar el margen que tiene la Fed para actuar de las posibilidades de que lo haga. Desde ING, los estrategas de renta fija Padhraic Garvey y Benjamin Schroeder señalan que la aminoración del recorte de tipos previsto por la Fed en sus previsiones de junio tie</w:t>
      </w:r>
      <w:r>
        <w:rPr>
          <w:rFonts w:ascii="Times New Roman" w:hAnsi="Times New Roman" w:cs="Times New Roman"/>
          <w:sz w:val="24"/>
          <w:szCs w:val="24"/>
        </w:rPr>
        <w:t>ne sentido en la medida en que “</w:t>
      </w:r>
      <w:r w:rsidRPr="00621D5E">
        <w:rPr>
          <w:rFonts w:ascii="Times New Roman" w:hAnsi="Times New Roman" w:cs="Times New Roman"/>
          <w:sz w:val="24"/>
          <w:szCs w:val="24"/>
        </w:rPr>
        <w:t>nada se rompa mientras tanto y que los datos mantengan</w:t>
      </w:r>
      <w:r>
        <w:rPr>
          <w:rFonts w:ascii="Times New Roman" w:hAnsi="Times New Roman" w:cs="Times New Roman"/>
          <w:sz w:val="24"/>
          <w:szCs w:val="24"/>
        </w:rPr>
        <w:t xml:space="preserve"> en gran medida su equilibrio”.</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 xml:space="preserve">Qué es lo que se puede romper y cómo reaccionará la Fed es la pregunta del millón. En la rueda de prensa tras la reunión de la Fed, Powell, fue preguntado por el aumento de los </w:t>
      </w:r>
      <w:r w:rsidRPr="00621D5E">
        <w:rPr>
          <w:rFonts w:ascii="Times New Roman" w:hAnsi="Times New Roman" w:cs="Times New Roman"/>
          <w:sz w:val="24"/>
          <w:szCs w:val="24"/>
        </w:rPr>
        <w:lastRenderedPageBreak/>
        <w:t>rendimientos de los bonos y su respuesta pareció más un encogimiento de hombros que una expresión de alarma, lo que alimentó la sensación en los merc</w:t>
      </w:r>
      <w:r>
        <w:rPr>
          <w:rFonts w:ascii="Times New Roman" w:hAnsi="Times New Roman" w:cs="Times New Roman"/>
          <w:sz w:val="24"/>
          <w:szCs w:val="24"/>
        </w:rPr>
        <w:t>ados de que el envite es firme.</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Los altos funcionarios de la Fed prevén ahora solo 50 puntos básicos de recortes de tipos el próximo año, la mitad de lo que esperaban anteriormente. Al desvanecerse la amenaza de una recesión en EEUU, los mercados también han reducido las expectativas de recortes de tipos de la Fed en 2024, de 150 puntos básicos a principios de agosto a solo 50 p</w:t>
      </w:r>
      <w:r>
        <w:rPr>
          <w:rFonts w:ascii="Times New Roman" w:hAnsi="Times New Roman" w:cs="Times New Roman"/>
          <w:sz w:val="24"/>
          <w:szCs w:val="24"/>
        </w:rPr>
        <w:t>untos básicos en la actualidad.</w:t>
      </w:r>
    </w:p>
    <w:p w:rsidR="00583194" w:rsidRPr="00621D5E"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621D5E">
        <w:rPr>
          <w:rFonts w:ascii="Times New Roman" w:hAnsi="Times New Roman" w:cs="Times New Roman"/>
          <w:sz w:val="24"/>
          <w:szCs w:val="24"/>
        </w:rPr>
        <w:t>Hace tiempo que pensamos que el mercado de renta variable ha sido demasiado agresivo a la hora de valorar los recortes de tipos y el fuerte crecimiento económico, razón por la cual mantenemos una postura neutral sobre la renta variable en general. En nuestra opinión, una Reserva Federal dependiente de los datos no tiene ningún incentivo para mostrarse blanda con la inflación. Pero el fin inminente de las subidas de tipos y la perspectiva de un crecimiento más débil a medida que los tipos se mantengan más altos durante más tiempo apoyan nuestra preferencia por la renta fija, y seguimos prefiriendo los bono</w:t>
      </w:r>
      <w:r>
        <w:rPr>
          <w:rFonts w:ascii="Times New Roman" w:hAnsi="Times New Roman" w:cs="Times New Roman"/>
          <w:sz w:val="24"/>
          <w:szCs w:val="24"/>
        </w:rPr>
        <w:t>s de calidad por varias razones”</w:t>
      </w:r>
      <w:r w:rsidRPr="00621D5E">
        <w:rPr>
          <w:rFonts w:ascii="Times New Roman" w:hAnsi="Times New Roman" w:cs="Times New Roman"/>
          <w:sz w:val="24"/>
          <w:szCs w:val="24"/>
        </w:rPr>
        <w:t>, analiza Mark Haefele, dire</w:t>
      </w:r>
      <w:r>
        <w:rPr>
          <w:rFonts w:ascii="Times New Roman" w:hAnsi="Times New Roman" w:cs="Times New Roman"/>
          <w:sz w:val="24"/>
          <w:szCs w:val="24"/>
        </w:rPr>
        <w:t>ctor de inversiones en UBS GWM.</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El precedente más cercano</w:t>
      </w:r>
    </w:p>
    <w:p w:rsidR="00583194" w:rsidRPr="00621D5E"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 xml:space="preserve">El </w:t>
      </w:r>
      <w:r>
        <w:rPr>
          <w:rFonts w:ascii="Times New Roman" w:hAnsi="Times New Roman" w:cs="Times New Roman"/>
          <w:sz w:val="24"/>
          <w:szCs w:val="24"/>
        </w:rPr>
        <w:t>precedente más inmediato de un “put”</w:t>
      </w:r>
      <w:r w:rsidRPr="00621D5E">
        <w:rPr>
          <w:rFonts w:ascii="Times New Roman" w:hAnsi="Times New Roman" w:cs="Times New Roman"/>
          <w:sz w:val="24"/>
          <w:szCs w:val="24"/>
        </w:rPr>
        <w:t xml:space="preserve"> de la Fed tuvo lugar entre 2017 y 2018, como recordaba hace meses Yves Bonzon, CIO (Chief Investment Officer) del ba</w:t>
      </w:r>
      <w:r>
        <w:rPr>
          <w:rFonts w:ascii="Times New Roman" w:hAnsi="Times New Roman" w:cs="Times New Roman"/>
          <w:sz w:val="24"/>
          <w:szCs w:val="24"/>
        </w:rPr>
        <w:t>nco privado suizo Julius Baer: “</w:t>
      </w:r>
      <w:r w:rsidRPr="00621D5E">
        <w:rPr>
          <w:rFonts w:ascii="Times New Roman" w:hAnsi="Times New Roman" w:cs="Times New Roman"/>
          <w:sz w:val="24"/>
          <w:szCs w:val="24"/>
        </w:rPr>
        <w:t xml:space="preserve">La Fed emprende su segundo programa de políticas de ajuste cuantitativo (QT, por sus siglas en inglés), cinco años tras su último intento de reducir el balance del banco central, que terminó siendo un fracaso. Efectivamente, el episodio de ajuste de 2017/2018 fue fugaz: antes de cumplirse un año desde su inicio, los mercados de renta variable se sumieron en una rápida corrección, propiciando que se ejerciera </w:t>
      </w:r>
      <w:r>
        <w:rPr>
          <w:rFonts w:ascii="Times New Roman" w:hAnsi="Times New Roman" w:cs="Times New Roman"/>
          <w:sz w:val="24"/>
          <w:szCs w:val="24"/>
        </w:rPr>
        <w:t>la famosa opción “put”</w:t>
      </w:r>
      <w:r w:rsidRPr="00621D5E">
        <w:rPr>
          <w:rFonts w:ascii="Times New Roman" w:hAnsi="Times New Roman" w:cs="Times New Roman"/>
          <w:sz w:val="24"/>
          <w:szCs w:val="24"/>
        </w:rPr>
        <w:t xml:space="preserve"> de la Fed (en torno a los 2400 puntos en el S&amp;P 500 en ese momento), ya que el banco central acudió al rescate de los mercados e impidió que los precios siguieran cayendo al suspender el ciclo de subidas de tipos en curso y detener, po</w:t>
      </w:r>
      <w:r>
        <w:rPr>
          <w:rFonts w:ascii="Times New Roman" w:hAnsi="Times New Roman" w:cs="Times New Roman"/>
          <w:sz w:val="24"/>
          <w:szCs w:val="24"/>
        </w:rPr>
        <w:t>co después, la venta de bonos”.</w:t>
      </w:r>
    </w:p>
    <w:p w:rsidR="00583194" w:rsidRDefault="00583194" w:rsidP="00583194">
      <w:pPr>
        <w:spacing w:line="240" w:lineRule="auto"/>
        <w:jc w:val="both"/>
        <w:rPr>
          <w:rFonts w:ascii="Times New Roman" w:hAnsi="Times New Roman" w:cs="Times New Roman"/>
          <w:sz w:val="24"/>
          <w:szCs w:val="24"/>
        </w:rPr>
      </w:pPr>
      <w:r w:rsidRPr="00621D5E">
        <w:rPr>
          <w:rFonts w:ascii="Times New Roman" w:hAnsi="Times New Roman" w:cs="Times New Roman"/>
          <w:sz w:val="24"/>
          <w:szCs w:val="24"/>
        </w:rPr>
        <w:t>Con un balance apenas saneado, al menos según los estándares actuales (bajó de 4,5 billones a 3,7 billones de dólares), proseguía Bonzon, el rendimiento de los bonos del Tesoro de EEUU a 10 años registró un máximo del 3,2% y se desplomó rápidamente hasta el 1,5% en el verano de 2019, su mínimo histórico anterior, antes de alcanzar el nuevo y todavía vigente mínimo histórico del 0,5% al comienzo de la pandemia.</w:t>
      </w:r>
    </w:p>
    <w:p w:rsidR="00583194" w:rsidRPr="00437445"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37445">
        <w:rPr>
          <w:rFonts w:ascii="Times New Roman" w:hAnsi="Times New Roman" w:cs="Times New Roman"/>
          <w:sz w:val="24"/>
          <w:szCs w:val="24"/>
          <w:u w:val="single"/>
        </w:rPr>
        <w:t>La tarea por delante del BCE antes de plantearse la bajada de tipos</w:t>
      </w:r>
      <w:r>
        <w:rPr>
          <w:rFonts w:ascii="Times New Roman" w:hAnsi="Times New Roman" w:cs="Times New Roman"/>
          <w:sz w:val="24"/>
          <w:szCs w:val="24"/>
        </w:rPr>
        <w:t xml:space="preserve"> (Cinco Días - </w:t>
      </w:r>
      <w:r w:rsidRPr="00437445">
        <w:rPr>
          <w:rFonts w:ascii="Times New Roman" w:hAnsi="Times New Roman" w:cs="Times New Roman"/>
          <w:b/>
          <w:sz w:val="24"/>
          <w:szCs w:val="24"/>
        </w:rPr>
        <w:t>26/9/23</w:t>
      </w:r>
      <w:r>
        <w:rPr>
          <w:rFonts w:ascii="Times New Roman" w:hAnsi="Times New Roman" w:cs="Times New Roman"/>
          <w:sz w:val="24"/>
          <w:szCs w:val="24"/>
        </w:rPr>
        <w:t>)</w:t>
      </w:r>
    </w:p>
    <w:p w:rsidR="00583194"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La institución iniciará en los próximos meses el debate de a qué velocidad reduce su balance y si incluso llega a vender bonos. El alza de las reservas mínimas a la banca es otra medida posible</w:t>
      </w:r>
    </w:p>
    <w:p w:rsidR="00583194"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La posibilidad de una bajada de tipos ni siquiera se mencionó en la pasada reunión del Consejo de Gobierno del BCE, aunque el mercado ya haya anticipado un primer recorte en la segunda mitad del año próximo. Antes, y si finalmente no hay más alzas, tal y como sugirió la presidenta Christine Lagarde, la zona euro tendrá que atravesar una larga meseta de un precio</w:t>
      </w:r>
      <w:r>
        <w:rPr>
          <w:rFonts w:ascii="Times New Roman" w:hAnsi="Times New Roman" w:cs="Times New Roman"/>
          <w:sz w:val="24"/>
          <w:szCs w:val="24"/>
        </w:rPr>
        <w:t xml:space="preserve"> del dinero a niveles elevados -del 4,5% actual, máximo de 2001-</w:t>
      </w:r>
      <w:r w:rsidRPr="00437445">
        <w:rPr>
          <w:rFonts w:ascii="Times New Roman" w:hAnsi="Times New Roman" w:cs="Times New Roman"/>
          <w:sz w:val="24"/>
          <w:szCs w:val="24"/>
        </w:rPr>
        <w:t xml:space="preserve"> pero también encajar medidas contra el exceso de liquidez en el sistema financiero y de reducción de balance del BCE, previas a plantear un recorte de los tipos de interés. Los expertos coinciden en que el ala dura del banco central difícilmente aceptará la reinversión total de la deuda del programa </w:t>
      </w:r>
      <w:r w:rsidRPr="00437445">
        <w:rPr>
          <w:rFonts w:ascii="Times New Roman" w:hAnsi="Times New Roman" w:cs="Times New Roman"/>
          <w:sz w:val="24"/>
          <w:szCs w:val="24"/>
        </w:rPr>
        <w:lastRenderedPageBreak/>
        <w:t xml:space="preserve">antipandemia (PEPP) hasta al menos finales de 2024, según está ahora previsto, si ese año llega </w:t>
      </w:r>
      <w:r>
        <w:rPr>
          <w:rFonts w:ascii="Times New Roman" w:hAnsi="Times New Roman" w:cs="Times New Roman"/>
          <w:sz w:val="24"/>
          <w:szCs w:val="24"/>
        </w:rPr>
        <w:t>una bajada de tipos de interés.</w:t>
      </w:r>
    </w:p>
    <w:p w:rsidR="00583194" w:rsidRPr="00437445"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noProof/>
          <w:sz w:val="24"/>
          <w:szCs w:val="24"/>
          <w:lang w:eastAsia="es-ES"/>
        </w:rPr>
        <w:drawing>
          <wp:inline distT="0" distB="0" distL="0" distR="0" wp14:anchorId="088544EC" wp14:editId="7BB1BC24">
            <wp:extent cx="5725237" cy="2844800"/>
            <wp:effectExtent l="0" t="0" r="889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2847917"/>
                    </a:xfrm>
                    <a:prstGeom prst="rect">
                      <a:avLst/>
                    </a:prstGeom>
                  </pic:spPr>
                </pic:pic>
              </a:graphicData>
            </a:graphic>
          </wp:inline>
        </w:drawing>
      </w:r>
    </w:p>
    <w:p w:rsidR="00583194" w:rsidRPr="00437445"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37445">
        <w:rPr>
          <w:rFonts w:ascii="Times New Roman" w:hAnsi="Times New Roman" w:cs="Times New Roman"/>
          <w:sz w:val="24"/>
          <w:szCs w:val="24"/>
        </w:rPr>
        <w:t>Nuria Salobral</w:t>
      </w:r>
      <w:r>
        <w:rPr>
          <w:rFonts w:ascii="Times New Roman" w:hAnsi="Times New Roman" w:cs="Times New Roman"/>
          <w:sz w:val="24"/>
          <w:szCs w:val="24"/>
        </w:rPr>
        <w:t>)</w:t>
      </w:r>
    </w:p>
    <w:p w:rsidR="00583194"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Lagarde aseguró en la rueda de prensa posterior al debate del pasado 14 de septiembre que el Consejo de Gobierno no abordó ni el fin de las reinversiones del programa PEPP ni una venta de los bonos del programa tradicional de compras de deuda, conocido como APP e iniciado en 2014. Pero será un debate que sí se espera para la próxima reunión del 26 de octubre, junto con la posibilidad de nuevas medidas dirigidas a reducir el exceso de liquidez del sistema financiero. Según explica Frederik Ducrozet, director de análisis macroeconómico en Pictet WM, “suponiendo que el BCE haya terminado de subir los tipos, su próxima decisión tendrá que ver con el balance, así como con el marco de gestión de la liquidez. En cuanto al balance, los halcones probablemente intentarán acelerar el ritmo del ajuste cuantitativo, aun</w:t>
      </w:r>
      <w:r>
        <w:rPr>
          <w:rFonts w:ascii="Times New Roman" w:hAnsi="Times New Roman" w:cs="Times New Roman"/>
          <w:sz w:val="24"/>
          <w:szCs w:val="24"/>
        </w:rPr>
        <w:t>que no hay una solución fácil”.</w:t>
      </w:r>
    </w:p>
    <w:p w:rsidR="00583194" w:rsidRPr="00437445"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El BCE cuenta aún en su balance con deuda por cerca de 5 billones de euros: los 1,7 bill</w:t>
      </w:r>
      <w:r>
        <w:rPr>
          <w:rFonts w:ascii="Times New Roman" w:hAnsi="Times New Roman" w:cs="Times New Roman"/>
          <w:sz w:val="24"/>
          <w:szCs w:val="24"/>
        </w:rPr>
        <w:t>ones del programa antipandemia -</w:t>
      </w:r>
      <w:r w:rsidRPr="00437445">
        <w:rPr>
          <w:rFonts w:ascii="Times New Roman" w:hAnsi="Times New Roman" w:cs="Times New Roman"/>
          <w:sz w:val="24"/>
          <w:szCs w:val="24"/>
        </w:rPr>
        <w:t xml:space="preserve">que se sigue reinvirtiendo en </w:t>
      </w:r>
      <w:r>
        <w:rPr>
          <w:rFonts w:ascii="Times New Roman" w:hAnsi="Times New Roman" w:cs="Times New Roman"/>
          <w:sz w:val="24"/>
          <w:szCs w:val="24"/>
        </w:rPr>
        <w:t>su totalidad-</w:t>
      </w:r>
      <w:r w:rsidRPr="00437445">
        <w:rPr>
          <w:rFonts w:ascii="Times New Roman" w:hAnsi="Times New Roman" w:cs="Times New Roman"/>
          <w:sz w:val="24"/>
          <w:szCs w:val="24"/>
        </w:rPr>
        <w:t xml:space="preserve"> más los 3,13 billones del programa APP, de los que 2,4</w:t>
      </w:r>
      <w:r>
        <w:rPr>
          <w:rFonts w:ascii="Times New Roman" w:hAnsi="Times New Roman" w:cs="Times New Roman"/>
          <w:sz w:val="24"/>
          <w:szCs w:val="24"/>
        </w:rPr>
        <w:t>8 billones son bonos soberanos.</w:t>
      </w:r>
    </w:p>
    <w:p w:rsidR="00583194" w:rsidRPr="00437445"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Según señala la agencia S&amp;P, “la cuestión clave es a qué velocidad desarrollará el BCE la reducción de balance”. El mercado calcula que el programa APP aún permanecerá sobre los 2,2 billones de euros a finales de 2026 y el PEPP, en los 1,4 billones. Se trata de una reducción de balance de 1,4 billones que se conseguiría de forma completamente pasiva, con el simple vencimiento de la deuda en cartera. “Sin embargo, si el BCE decide acelerar esa cifra a antes de que termine 2025, tendría que activar la venta de bonos. Todo dependerá de la tendencia de la</w:t>
      </w:r>
      <w:r>
        <w:rPr>
          <w:rFonts w:ascii="Times New Roman" w:hAnsi="Times New Roman" w:cs="Times New Roman"/>
          <w:sz w:val="24"/>
          <w:szCs w:val="24"/>
        </w:rPr>
        <w:t xml:space="preserve"> inflación”, señalan desde S&amp;P.</w:t>
      </w:r>
    </w:p>
    <w:p w:rsidR="00583194" w:rsidRPr="00437445"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 xml:space="preserve">El BCE lleva tiempo inmerso en la tarea de ir reduciendo su balance, que alcanzó un récord histórico en los 8,835 billones de euros en junio de 2022 después de años de continuas compras de bonos y de megainyecciones de liquidez. En marzo de este año ya dejó de reinvertir la totalidad de los vencimientos de deuda del programa APP y desde julio, no hay reinversión ninguna. Solo los bonos del programa PEPP. Entre marzo y agosto de este año, el volumen de deuda en cartera del BCE se ha reducido en </w:t>
      </w:r>
      <w:r>
        <w:rPr>
          <w:rFonts w:ascii="Times New Roman" w:hAnsi="Times New Roman" w:cs="Times New Roman"/>
          <w:sz w:val="24"/>
          <w:szCs w:val="24"/>
        </w:rPr>
        <w:t>unos 100.000 millones de euros.</w:t>
      </w:r>
    </w:p>
    <w:p w:rsidR="00583194" w:rsidRPr="00437445"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lastRenderedPageBreak/>
        <w:t>El BCE es de hecho el banco central, de entre las principales autoridades monetarias del mundo, que más ha acelerado la reducción de su balance en el último año y medio, desde el inicio por tanto del ciclo de aumentos de los tipos de interés. Ha menguado en ese tiempo casi el 20%, hasta los 7,13 billones de euros actuales, un descenso en el que ha resultado clave la devolución por parte de la banca de las líneas de financia</w:t>
      </w:r>
      <w:r>
        <w:rPr>
          <w:rFonts w:ascii="Times New Roman" w:hAnsi="Times New Roman" w:cs="Times New Roman"/>
          <w:sz w:val="24"/>
          <w:szCs w:val="24"/>
        </w:rPr>
        <w:t>ción TLTRO de forma anticipada.</w:t>
      </w:r>
    </w:p>
    <w:p w:rsidR="00583194" w:rsidRPr="00437445"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El BCE desactivó el pasado otoño el mecanismo de arbitraje por el que los bancos estaban obteniendo beneficios extraordinarios a costa de aparcar esos créditos en la hucha de la facilidad de depósito, lo que ha acelerado su repago y con ello la reducción del balance del banco central. Pero el exceso de liquidez del sistema aún está en los 3,65 billones de euros, ante lo que el BCE se podría plantear un aumento en las reservas mínimas que requiere a la banca.</w:t>
      </w:r>
    </w:p>
    <w:p w:rsidR="00583194" w:rsidRPr="00437445"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El pasado julio ya decidió rebajar al 0%, desde el tipo de la facilidad de depósito, la remuneración de las reservas mínimas de las entidades, una decisión dirigida a rebajar el exceso de liquidez y de paso también el coste que ese pago supone para el propio BCE, que en 2022 tuvo que echar mano de provisiones extraordinarias para evitar la entrada en pérdidas. Esta medida comenzó a se</w:t>
      </w:r>
      <w:r>
        <w:rPr>
          <w:rFonts w:ascii="Times New Roman" w:hAnsi="Times New Roman" w:cs="Times New Roman"/>
          <w:sz w:val="24"/>
          <w:szCs w:val="24"/>
        </w:rPr>
        <w:t>r efectiva el 20 de septiembre.</w:t>
      </w:r>
    </w:p>
    <w:p w:rsidR="00583194" w:rsidRPr="00437445" w:rsidRDefault="00583194" w:rsidP="00583194">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El siguiente paso, a favor del que se han pronunciado ya pesos pesados del BCE como el presidente del Bundesbank, Joachim Nagel, podría ser el aumento del coeficiente de reservas que se exige a la banca, ahora en el 1% pero que históricamente, y hasta 2012, estuvo en el 2%. Ese porcentaje es el mínimo de reservas, en su gran mayoría depósitos de clientes, que cada banco debe depositar en el banco central respecto al tamaño de su balance. Un incremento de ese coeficiente exigiría a los bancos depositar más dinero en el BCE, detrayendo dinero de la economía y, por tanto, favoreciendo un alza del coste de financiación. Sin embargo, según apuntan desde S&amp;P, tal medida tendría un efecto limitado dado el elevado exceso de liquidez que ya presenta el sistema. “Es probable que el BCE actúe con mucha cautela con cualquier medida en este sentido”, concluye Ducrozet. La existencia inalterada del PEPP está sirviendo por ejemplo para mantener a raya las primas de riesgo periféricas. Aunque pasadas las alzas de tipos, lo más previsible es que el BCE tome nuevas medidas antes de poner rumbo a las rebajas.</w:t>
      </w:r>
    </w:p>
    <w:p w:rsidR="00583194" w:rsidRDefault="00583194" w:rsidP="00583194">
      <w:pPr>
        <w:spacing w:line="240" w:lineRule="auto"/>
        <w:jc w:val="both"/>
        <w:rPr>
          <w:rFonts w:ascii="Times New Roman" w:hAnsi="Times New Roman" w:cs="Times New Roman"/>
          <w:sz w:val="24"/>
          <w:szCs w:val="24"/>
        </w:rPr>
      </w:pPr>
      <w:r w:rsidRPr="00CE35BD">
        <w:rPr>
          <w:rFonts w:ascii="Times New Roman" w:hAnsi="Times New Roman" w:cs="Times New Roman"/>
          <w:b/>
          <w:sz w:val="24"/>
          <w:szCs w:val="24"/>
        </w:rPr>
        <w:t>Último dato disponible</w:t>
      </w:r>
      <w:r>
        <w:rPr>
          <w:rFonts w:ascii="Times New Roman" w:hAnsi="Times New Roman" w:cs="Times New Roman"/>
          <w:sz w:val="24"/>
          <w:szCs w:val="24"/>
        </w:rPr>
        <w:t xml:space="preserve"> (Cinco Días - </w:t>
      </w:r>
      <w:r w:rsidRPr="00CE35BD">
        <w:rPr>
          <w:rFonts w:ascii="Times New Roman" w:hAnsi="Times New Roman" w:cs="Times New Roman"/>
          <w:b/>
          <w:sz w:val="24"/>
          <w:szCs w:val="24"/>
        </w:rPr>
        <w:t>27/9/23</w:t>
      </w:r>
      <w:r>
        <w:rPr>
          <w:rFonts w:ascii="Times New Roman" w:hAnsi="Times New Roman" w:cs="Times New Roman"/>
          <w:sz w:val="24"/>
          <w:szCs w:val="24"/>
        </w:rPr>
        <w:t>)</w:t>
      </w:r>
    </w:p>
    <w:p w:rsidR="00583194" w:rsidRDefault="00583194" w:rsidP="00583194">
      <w:pPr>
        <w:spacing w:line="240" w:lineRule="auto"/>
        <w:jc w:val="both"/>
        <w:rPr>
          <w:rFonts w:ascii="Times New Roman" w:hAnsi="Times New Roman" w:cs="Times New Roman"/>
          <w:sz w:val="24"/>
          <w:szCs w:val="24"/>
        </w:rPr>
      </w:pPr>
      <w:r w:rsidRPr="00CE35BD">
        <w:rPr>
          <w:rFonts w:ascii="Times New Roman" w:hAnsi="Times New Roman" w:cs="Times New Roman"/>
          <w:noProof/>
          <w:sz w:val="24"/>
          <w:szCs w:val="24"/>
          <w:lang w:eastAsia="es-ES"/>
        </w:rPr>
        <w:drawing>
          <wp:inline distT="0" distB="0" distL="0" distR="0" wp14:anchorId="6C8BA9EF" wp14:editId="45033594">
            <wp:extent cx="5734050" cy="2717800"/>
            <wp:effectExtent l="0" t="0" r="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716596"/>
                    </a:xfrm>
                    <a:prstGeom prst="rect">
                      <a:avLst/>
                    </a:prstGeom>
                  </pic:spPr>
                </pic:pic>
              </a:graphicData>
            </a:graphic>
          </wp:inline>
        </w:drawing>
      </w:r>
    </w:p>
    <w:p w:rsidR="00583194" w:rsidRPr="00CC0577"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621D5E">
        <w:rPr>
          <w:rFonts w:ascii="Times New Roman" w:hAnsi="Times New Roman" w:cs="Times New Roman"/>
          <w:sz w:val="24"/>
          <w:szCs w:val="24"/>
          <w:u w:val="single"/>
        </w:rPr>
        <w:t>El balance de la Reserva Federal aún debe caer un 50% para alcanzar niveles preCovid</w:t>
      </w:r>
      <w:r>
        <w:rPr>
          <w:rFonts w:ascii="Times New Roman" w:hAnsi="Times New Roman" w:cs="Times New Roman"/>
          <w:sz w:val="24"/>
          <w:szCs w:val="24"/>
        </w:rPr>
        <w:t xml:space="preserve"> (El Economista - </w:t>
      </w:r>
      <w:r w:rsidRPr="00621D5E">
        <w:rPr>
          <w:rFonts w:ascii="Times New Roman" w:hAnsi="Times New Roman" w:cs="Times New Roman"/>
          <w:b/>
          <w:sz w:val="24"/>
          <w:szCs w:val="24"/>
        </w:rPr>
        <w:t>27/9/23</w:t>
      </w:r>
      <w:r>
        <w:rPr>
          <w:rFonts w:ascii="Times New Roman" w:hAnsi="Times New Roman" w:cs="Times New Roman"/>
          <w:sz w:val="24"/>
          <w:szCs w:val="24"/>
        </w:rPr>
        <w:t>)</w:t>
      </w:r>
    </w:p>
    <w:p w:rsidR="00583194" w:rsidRPr="00CC0577" w:rsidRDefault="00583194" w:rsidP="00583194">
      <w:pPr>
        <w:spacing w:line="240" w:lineRule="auto"/>
        <w:jc w:val="both"/>
        <w:rPr>
          <w:rFonts w:ascii="Times New Roman" w:hAnsi="Times New Roman" w:cs="Times New Roman"/>
          <w:sz w:val="24"/>
          <w:szCs w:val="24"/>
        </w:rPr>
      </w:pPr>
      <w:r w:rsidRPr="00CC0577">
        <w:rPr>
          <w:rFonts w:ascii="Times New Roman" w:hAnsi="Times New Roman" w:cs="Times New Roman"/>
          <w:sz w:val="24"/>
          <w:szCs w:val="24"/>
        </w:rPr>
        <w:t>El balance de la Fed supera los 8 billones de dólares</w:t>
      </w:r>
      <w:r>
        <w:rPr>
          <w:rFonts w:ascii="Times New Roman" w:hAnsi="Times New Roman" w:cs="Times New Roman"/>
          <w:sz w:val="24"/>
          <w:szCs w:val="24"/>
        </w:rPr>
        <w:t xml:space="preserve">. </w:t>
      </w:r>
      <w:r w:rsidRPr="00CC0577">
        <w:rPr>
          <w:rFonts w:ascii="Times New Roman" w:hAnsi="Times New Roman" w:cs="Times New Roman"/>
          <w:sz w:val="24"/>
          <w:szCs w:val="24"/>
        </w:rPr>
        <w:t>La deuda del Tesoro en manos sus manos roza los 5 billones de dólares</w:t>
      </w:r>
      <w:r>
        <w:rPr>
          <w:rFonts w:ascii="Times New Roman" w:hAnsi="Times New Roman" w:cs="Times New Roman"/>
          <w:sz w:val="24"/>
          <w:szCs w:val="24"/>
        </w:rPr>
        <w:t>.</w:t>
      </w:r>
    </w:p>
    <w:p w:rsidR="00583194" w:rsidRPr="00CC0577"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C0577">
        <w:rPr>
          <w:rFonts w:ascii="Times New Roman" w:hAnsi="Times New Roman" w:cs="Times New Roman"/>
          <w:sz w:val="24"/>
          <w:szCs w:val="24"/>
        </w:rPr>
        <w:t>Sergio Fernández</w:t>
      </w:r>
      <w:r>
        <w:rPr>
          <w:rFonts w:ascii="Times New Roman" w:hAnsi="Times New Roman" w:cs="Times New Roman"/>
          <w:sz w:val="24"/>
          <w:szCs w:val="24"/>
        </w:rPr>
        <w:t>)</w:t>
      </w:r>
    </w:p>
    <w:p w:rsidR="00583194" w:rsidRPr="00CC0577" w:rsidRDefault="00583194" w:rsidP="00583194">
      <w:pPr>
        <w:spacing w:line="240" w:lineRule="auto"/>
        <w:jc w:val="both"/>
        <w:rPr>
          <w:rFonts w:ascii="Times New Roman" w:hAnsi="Times New Roman" w:cs="Times New Roman"/>
          <w:sz w:val="24"/>
          <w:szCs w:val="24"/>
        </w:rPr>
      </w:pPr>
      <w:r w:rsidRPr="00CC0577">
        <w:rPr>
          <w:rFonts w:ascii="Times New Roman" w:hAnsi="Times New Roman" w:cs="Times New Roman"/>
          <w:sz w:val="24"/>
          <w:szCs w:val="24"/>
        </w:rPr>
        <w:t>La Reserva Federal de Estados Unidos no cierra la puerta a realizar nuevos aumentos de tipos de interés este año, aunque el mercado considere que ya se ha alcanzado el techo en el 5,5% actual. Sin embargo, el movimiento en la referencia del coste por prestar dólar no es la única vía que tiene el responsable de política monetaria en el país para mantener un tono r</w:t>
      </w:r>
      <w:r>
        <w:rPr>
          <w:rFonts w:ascii="Times New Roman" w:hAnsi="Times New Roman" w:cs="Times New Roman"/>
          <w:sz w:val="24"/>
          <w:szCs w:val="24"/>
        </w:rPr>
        <w:t>estrictivo contra la inflación.</w:t>
      </w:r>
    </w:p>
    <w:p w:rsidR="00583194" w:rsidRPr="00CC0577" w:rsidRDefault="00583194" w:rsidP="00583194">
      <w:pPr>
        <w:spacing w:line="240" w:lineRule="auto"/>
        <w:jc w:val="both"/>
        <w:rPr>
          <w:rFonts w:ascii="Times New Roman" w:hAnsi="Times New Roman" w:cs="Times New Roman"/>
          <w:sz w:val="24"/>
          <w:szCs w:val="24"/>
        </w:rPr>
      </w:pPr>
      <w:r w:rsidRPr="00CC0577">
        <w:rPr>
          <w:rFonts w:ascii="Times New Roman" w:hAnsi="Times New Roman" w:cs="Times New Roman"/>
          <w:sz w:val="24"/>
          <w:szCs w:val="24"/>
        </w:rPr>
        <w:t>El balance de la Reserva Federal (Fed) todavía se sitúa sobre los 8 billones de dólares, por lo que la Fed debería deshacerse de la mitad de sus activos para recuperar los niveles previos a marzo de 2020, con el inicio de los confinamientos por la pandemia, que están un 48,5% por debajo de los datos actualizados de la semana pasada.</w:t>
      </w:r>
    </w:p>
    <w:p w:rsidR="00583194" w:rsidRPr="00CC0577" w:rsidRDefault="00583194" w:rsidP="00583194">
      <w:pPr>
        <w:spacing w:line="240" w:lineRule="auto"/>
        <w:jc w:val="both"/>
        <w:rPr>
          <w:rFonts w:ascii="Times New Roman" w:hAnsi="Times New Roman" w:cs="Times New Roman"/>
          <w:sz w:val="24"/>
          <w:szCs w:val="24"/>
        </w:rPr>
      </w:pPr>
      <w:r w:rsidRPr="00CC0577">
        <w:rPr>
          <w:rFonts w:ascii="Times New Roman" w:hAnsi="Times New Roman" w:cs="Times New Roman"/>
          <w:sz w:val="24"/>
          <w:szCs w:val="24"/>
        </w:rPr>
        <w:t>El presidente de la institución, Jerome Powell, no está obligado a volver a los 4,1 billones de dólares desde los que se partieron hace más de tres años. Sin embargo, el compromiso de la Reserva Federal sí es el de revertir la compra de deuda y otros productos financieros que realizó a gran escala para inyectar liquidez a la economía estadounidense y evitar así el colapso del país. Aun así, la reducción del estado patrimonial de la Reserva Federal no ha sido progresiva, como esperaban desde la institución, mientras emprendí</w:t>
      </w:r>
      <w:r>
        <w:rPr>
          <w:rFonts w:ascii="Times New Roman" w:hAnsi="Times New Roman" w:cs="Times New Roman"/>
          <w:sz w:val="24"/>
          <w:szCs w:val="24"/>
        </w:rPr>
        <w:t>an su ajuste de tipos al alza. “</w:t>
      </w:r>
      <w:r w:rsidRPr="00CC0577">
        <w:rPr>
          <w:rFonts w:ascii="Times New Roman" w:hAnsi="Times New Roman" w:cs="Times New Roman"/>
          <w:sz w:val="24"/>
          <w:szCs w:val="24"/>
        </w:rPr>
        <w:t>La Fed ha insistido en varias ocasiones en u</w:t>
      </w:r>
      <w:r>
        <w:rPr>
          <w:rFonts w:ascii="Times New Roman" w:hAnsi="Times New Roman" w:cs="Times New Roman"/>
          <w:sz w:val="24"/>
          <w:szCs w:val="24"/>
        </w:rPr>
        <w:t>na gestión flexible del balance”</w:t>
      </w:r>
      <w:r w:rsidRPr="00CC0577">
        <w:rPr>
          <w:rFonts w:ascii="Times New Roman" w:hAnsi="Times New Roman" w:cs="Times New Roman"/>
          <w:sz w:val="24"/>
          <w:szCs w:val="24"/>
        </w:rPr>
        <w:t>, explicaron desde Bankinter tras la decisión de pausar los tipos de interés en la última reunión.</w:t>
      </w:r>
    </w:p>
    <w:p w:rsidR="00583194" w:rsidRPr="00CC0577" w:rsidRDefault="00583194" w:rsidP="00583194">
      <w:pPr>
        <w:spacing w:line="240" w:lineRule="auto"/>
        <w:jc w:val="both"/>
        <w:rPr>
          <w:rFonts w:ascii="Times New Roman" w:hAnsi="Times New Roman" w:cs="Times New Roman"/>
          <w:sz w:val="24"/>
          <w:szCs w:val="24"/>
        </w:rPr>
      </w:pPr>
      <w:r w:rsidRPr="00CC0577">
        <w:rPr>
          <w:rFonts w:ascii="Times New Roman" w:hAnsi="Times New Roman" w:cs="Times New Roman"/>
          <w:sz w:val="24"/>
          <w:szCs w:val="24"/>
        </w:rPr>
        <w:t>Los activos en posesión de la Reserva Federal alcanzaron su máximo histórico en los 8,96 billones de dólares al cierre de agosto del año pasado y apenas se han reducido en un 10% desde entonces (un 5,5% menos solo en 2023). Es decir, el descenso es más lento que la compra de activos. Además, hubo un repunte en marzo de este año ante la posibilidad de que los bancos regionales estadounidenses se vieran arrastrados a la quiebra. Powell puso en marcha su programa de financiación de emergencia (BTFP, en inglés) específico para dar más liquidez a los bancos privados y garantizar así los depósitos. Esta es la única partida que a día de hoy sigue creciendo dentro del balance de la Fed y que supera los 100</w:t>
      </w:r>
      <w:r>
        <w:rPr>
          <w:rFonts w:ascii="Times New Roman" w:hAnsi="Times New Roman" w:cs="Times New Roman"/>
          <w:sz w:val="24"/>
          <w:szCs w:val="24"/>
        </w:rPr>
        <w:t>.000 millones de dólares.</w:t>
      </w:r>
    </w:p>
    <w:p w:rsidR="00583194" w:rsidRPr="00CC0577" w:rsidRDefault="00583194" w:rsidP="00583194">
      <w:pPr>
        <w:spacing w:line="240" w:lineRule="auto"/>
        <w:jc w:val="both"/>
        <w:rPr>
          <w:rFonts w:ascii="Times New Roman" w:hAnsi="Times New Roman" w:cs="Times New Roman"/>
          <w:sz w:val="24"/>
          <w:szCs w:val="24"/>
        </w:rPr>
      </w:pPr>
      <w:r w:rsidRPr="00CC0577">
        <w:rPr>
          <w:rFonts w:ascii="Times New Roman" w:hAnsi="Times New Roman" w:cs="Times New Roman"/>
          <w:sz w:val="24"/>
          <w:szCs w:val="24"/>
        </w:rPr>
        <w:t>La tenencia de deuda del Tesoro de Estados Unidos sigue siendo la principal partida en manos de la Fed (aún posee uno de cada dos dólares en deuda estadounidense emitida y el doble que hace cinco años). Al cierre de la semana pasada el balance incluía 4,96 billones de dólares en deuda estadounidense, un 12% menos que en el momento más alto d</w:t>
      </w:r>
      <w:r>
        <w:rPr>
          <w:rFonts w:ascii="Times New Roman" w:hAnsi="Times New Roman" w:cs="Times New Roman"/>
          <w:sz w:val="24"/>
          <w:szCs w:val="24"/>
        </w:rPr>
        <w:t>el cuadro financiero de Powell.</w:t>
      </w:r>
    </w:p>
    <w:p w:rsidR="00583194" w:rsidRPr="00CC0577" w:rsidRDefault="00583194" w:rsidP="00583194">
      <w:pPr>
        <w:spacing w:line="240" w:lineRule="auto"/>
        <w:jc w:val="both"/>
        <w:rPr>
          <w:rFonts w:ascii="Times New Roman" w:hAnsi="Times New Roman" w:cs="Times New Roman"/>
          <w:sz w:val="24"/>
          <w:szCs w:val="24"/>
        </w:rPr>
      </w:pPr>
      <w:r w:rsidRPr="00CC0577">
        <w:rPr>
          <w:rFonts w:ascii="Times New Roman" w:hAnsi="Times New Roman" w:cs="Times New Roman"/>
          <w:sz w:val="24"/>
          <w:szCs w:val="24"/>
        </w:rPr>
        <w:t>El vencimiento de estos títulos es una de las herramientas que utiliza la Reserva Federal para reducir su balance, además de las ventas o la reducción de las compras en sí, en un momento en el que 2,46 billones de dólares corresponden a letras del Tesoro y la deuda con vencimiento a más de cinco años (la que refleja la mayor aversión al riesgo en el mercado secundario desde la última reunión de la Fed) alcanza los 2,3 billones de dólares que no ayudarían en el corto plazo a reducir la cantidad de dinero en circulación en la economía.</w:t>
      </w:r>
    </w:p>
    <w:p w:rsidR="00583194" w:rsidRDefault="00583194" w:rsidP="00583194">
      <w:pPr>
        <w:spacing w:line="240" w:lineRule="auto"/>
        <w:jc w:val="both"/>
        <w:rPr>
          <w:rFonts w:ascii="Times New Roman" w:hAnsi="Times New Roman" w:cs="Times New Roman"/>
          <w:sz w:val="24"/>
          <w:szCs w:val="24"/>
        </w:rPr>
      </w:pPr>
      <w:r w:rsidRPr="00CC0577">
        <w:rPr>
          <w:rFonts w:ascii="Times New Roman" w:hAnsi="Times New Roman" w:cs="Times New Roman"/>
          <w:sz w:val="24"/>
          <w:szCs w:val="24"/>
        </w:rPr>
        <w:t xml:space="preserve">El esfuerzo por drenar la cantidad de dólares en el mercado también ha llevado a la Fed a dejar a la mitad la partida de ventana de descuento que engloba los préstamos a corto plazo </w:t>
      </w:r>
      <w:r w:rsidRPr="00CC0577">
        <w:rPr>
          <w:rFonts w:ascii="Times New Roman" w:hAnsi="Times New Roman" w:cs="Times New Roman"/>
          <w:sz w:val="24"/>
          <w:szCs w:val="24"/>
        </w:rPr>
        <w:lastRenderedPageBreak/>
        <w:t>con intereses preferenciales para la banca. Mientras, los activos respaldados por hipotecas (MBS, en inglés) se sitúan ya por debajo d</w:t>
      </w:r>
      <w:r>
        <w:rPr>
          <w:rFonts w:ascii="Times New Roman" w:hAnsi="Times New Roman" w:cs="Times New Roman"/>
          <w:sz w:val="24"/>
          <w:szCs w:val="24"/>
        </w:rPr>
        <w:t>e los 2,5 billones de dólares. “</w:t>
      </w:r>
      <w:r w:rsidRPr="00CC0577">
        <w:rPr>
          <w:rFonts w:ascii="Times New Roman" w:hAnsi="Times New Roman" w:cs="Times New Roman"/>
          <w:sz w:val="24"/>
          <w:szCs w:val="24"/>
        </w:rPr>
        <w:t>En algún momento hacia mediados de 2024 las reservas bancarias alcanzarán su punto de inflexión, donde la estabilidad financiera puede hacer que la Fed aminore. En ese momento esperaríamos que los MBS se liquidaran, pero se</w:t>
      </w:r>
      <w:r>
        <w:rPr>
          <w:rFonts w:ascii="Times New Roman" w:hAnsi="Times New Roman" w:cs="Times New Roman"/>
          <w:sz w:val="24"/>
          <w:szCs w:val="24"/>
        </w:rPr>
        <w:t xml:space="preserve"> revertiría en bonos del Tesoro”</w:t>
      </w:r>
      <w:r w:rsidRPr="00CC0577">
        <w:rPr>
          <w:rFonts w:ascii="Times New Roman" w:hAnsi="Times New Roman" w:cs="Times New Roman"/>
          <w:sz w:val="24"/>
          <w:szCs w:val="24"/>
        </w:rPr>
        <w:t>, apuntó el experto de Bloomberg en política monetaria, Ira F. Jersey.</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272B3D11" wp14:editId="40D287E6">
            <wp:extent cx="5111750" cy="2832100"/>
            <wp:effectExtent l="0" t="0" r="0" b="6350"/>
            <wp:docPr id="4" name="Imagen 4" descr="https://s03.s3c.es/imag/_v0/2310x1773/4/d/a/270923_reserva_feder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2310x1773/4/d/a/270923_reserva_federal.g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9487" cy="2830846"/>
                    </a:xfrm>
                    <a:prstGeom prst="rect">
                      <a:avLst/>
                    </a:prstGeom>
                    <a:noFill/>
                    <a:ln>
                      <a:noFill/>
                    </a:ln>
                  </pic:spPr>
                </pic:pic>
              </a:graphicData>
            </a:graphic>
          </wp:inline>
        </w:drawing>
      </w:r>
    </w:p>
    <w:p w:rsidR="00583194" w:rsidRPr="001F642A" w:rsidRDefault="00583194" w:rsidP="00583194">
      <w:pPr>
        <w:spacing w:line="240" w:lineRule="auto"/>
        <w:jc w:val="both"/>
        <w:rPr>
          <w:rFonts w:ascii="Times New Roman" w:hAnsi="Times New Roman" w:cs="Times New Roman"/>
          <w:b/>
          <w:sz w:val="24"/>
          <w:szCs w:val="24"/>
        </w:rPr>
      </w:pPr>
      <w:r w:rsidRPr="001F642A">
        <w:rPr>
          <w:rFonts w:ascii="Times New Roman" w:hAnsi="Times New Roman" w:cs="Times New Roman"/>
          <w:b/>
          <w:sz w:val="24"/>
          <w:szCs w:val="24"/>
        </w:rPr>
        <w:t xml:space="preserve">Nota: sic </w:t>
      </w:r>
      <w:r>
        <w:rPr>
          <w:rFonts w:ascii="Times New Roman" w:hAnsi="Times New Roman" w:cs="Times New Roman"/>
          <w:b/>
          <w:sz w:val="24"/>
          <w:szCs w:val="24"/>
        </w:rPr>
        <w:t>“</w:t>
      </w:r>
      <w:r w:rsidRPr="001F642A">
        <w:rPr>
          <w:rFonts w:ascii="Times New Roman" w:hAnsi="Times New Roman" w:cs="Times New Roman"/>
          <w:b/>
          <w:sz w:val="24"/>
          <w:szCs w:val="24"/>
        </w:rPr>
        <w:t>transit</w:t>
      </w:r>
      <w:r>
        <w:rPr>
          <w:rFonts w:ascii="Times New Roman" w:hAnsi="Times New Roman" w:cs="Times New Roman"/>
          <w:b/>
          <w:sz w:val="24"/>
          <w:szCs w:val="24"/>
        </w:rPr>
        <w:t xml:space="preserve">” gloria “mindundi” (los mentirosos de Jackson Hole) </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0F25">
        <w:rPr>
          <w:rFonts w:ascii="Times New Roman" w:hAnsi="Times New Roman" w:cs="Times New Roman"/>
          <w:sz w:val="24"/>
          <w:szCs w:val="24"/>
        </w:rPr>
        <w:t>La FED dice que la inflación es temporal y que la reducción puede comenzar a fin de año</w:t>
      </w:r>
      <w:r>
        <w:rPr>
          <w:rFonts w:ascii="Times New Roman" w:hAnsi="Times New Roman" w:cs="Times New Roman"/>
          <w:sz w:val="24"/>
          <w:szCs w:val="24"/>
        </w:rPr>
        <w:t xml:space="preserve"> (Bloomberg - </w:t>
      </w:r>
      <w:r w:rsidRPr="00F60F25">
        <w:rPr>
          <w:rFonts w:ascii="Times New Roman" w:hAnsi="Times New Roman" w:cs="Times New Roman"/>
          <w:b/>
          <w:sz w:val="24"/>
          <w:szCs w:val="24"/>
        </w:rPr>
        <w:t>13/7/21</w:t>
      </w:r>
      <w:r>
        <w:rPr>
          <w:rFonts w:ascii="Times New Roman" w:hAnsi="Times New Roman" w:cs="Times New Roman"/>
          <w:sz w:val="24"/>
          <w:szCs w:val="24"/>
        </w:rPr>
        <w:t>)</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La Reserva Federal de EEUU</w:t>
      </w:r>
      <w:r w:rsidRPr="00F60F25">
        <w:rPr>
          <w:rFonts w:ascii="Times New Roman" w:hAnsi="Times New Roman" w:cs="Times New Roman"/>
          <w:sz w:val="24"/>
          <w:szCs w:val="24"/>
        </w:rPr>
        <w:t xml:space="preserve"> reconoce que la inflación ya no es transitoria ni temporal</w:t>
      </w:r>
      <w:r>
        <w:rPr>
          <w:rFonts w:ascii="Times New Roman" w:hAnsi="Times New Roman" w:cs="Times New Roman"/>
          <w:sz w:val="24"/>
          <w:szCs w:val="24"/>
        </w:rPr>
        <w:t xml:space="preserve"> (France24 - </w:t>
      </w:r>
      <w:r w:rsidRPr="00F60F25">
        <w:rPr>
          <w:rFonts w:ascii="Times New Roman" w:hAnsi="Times New Roman" w:cs="Times New Roman"/>
          <w:b/>
          <w:sz w:val="24"/>
          <w:szCs w:val="24"/>
        </w:rPr>
        <w:t>1/12/21</w:t>
      </w:r>
      <w:r>
        <w:rPr>
          <w:rFonts w:ascii="Times New Roman" w:hAnsi="Times New Roman" w:cs="Times New Roman"/>
          <w:sz w:val="24"/>
          <w:szCs w:val="24"/>
        </w:rPr>
        <w:t>)</w:t>
      </w:r>
    </w:p>
    <w:p w:rsidR="00583194" w:rsidRPr="00F60F25" w:rsidRDefault="00583194" w:rsidP="00583194">
      <w:pPr>
        <w:spacing w:line="240" w:lineRule="auto"/>
        <w:jc w:val="both"/>
        <w:rPr>
          <w:rFonts w:ascii="Times New Roman" w:hAnsi="Times New Roman" w:cs="Times New Roman"/>
          <w:sz w:val="24"/>
          <w:szCs w:val="24"/>
        </w:rPr>
      </w:pPr>
      <w:r w:rsidRPr="00F60F25">
        <w:rPr>
          <w:rFonts w:ascii="Times New Roman" w:hAnsi="Times New Roman" w:cs="Times New Roman"/>
          <w:sz w:val="24"/>
          <w:szCs w:val="24"/>
        </w:rPr>
        <w:t>De h</w:t>
      </w:r>
      <w:r>
        <w:rPr>
          <w:rFonts w:ascii="Times New Roman" w:hAnsi="Times New Roman" w:cs="Times New Roman"/>
          <w:sz w:val="24"/>
          <w:szCs w:val="24"/>
        </w:rPr>
        <w:t>echo, Powell aseguró que es el “momento adecuado”</w:t>
      </w:r>
      <w:r w:rsidRPr="00F60F25">
        <w:rPr>
          <w:rFonts w:ascii="Times New Roman" w:hAnsi="Times New Roman" w:cs="Times New Roman"/>
          <w:sz w:val="24"/>
          <w:szCs w:val="24"/>
        </w:rPr>
        <w:t xml:space="preserve"> para</w:t>
      </w:r>
      <w:r>
        <w:rPr>
          <w:rFonts w:ascii="Times New Roman" w:hAnsi="Times New Roman" w:cs="Times New Roman"/>
          <w:sz w:val="24"/>
          <w:szCs w:val="24"/>
        </w:rPr>
        <w:t xml:space="preserve"> dejar de utilizar la palabra “transitoria”</w:t>
      </w:r>
      <w:r w:rsidRPr="00F60F25">
        <w:rPr>
          <w:rFonts w:ascii="Times New Roman" w:hAnsi="Times New Roman" w:cs="Times New Roman"/>
          <w:sz w:val="24"/>
          <w:szCs w:val="24"/>
        </w:rPr>
        <w:t>. La inflación interanual de octubre en Estados Unidos fue del 6,2 %, la más alta en 30 años. Powell confirmó el dato ante el c</w:t>
      </w:r>
      <w:r>
        <w:rPr>
          <w:rFonts w:ascii="Times New Roman" w:hAnsi="Times New Roman" w:cs="Times New Roman"/>
          <w:sz w:val="24"/>
          <w:szCs w:val="24"/>
        </w:rPr>
        <w:t>omité bancario del Senado de EEUU</w:t>
      </w:r>
      <w:r w:rsidRPr="00F60F25">
        <w:rPr>
          <w:rFonts w:ascii="Times New Roman" w:hAnsi="Times New Roman" w:cs="Times New Roman"/>
          <w:sz w:val="24"/>
          <w:szCs w:val="24"/>
        </w:rPr>
        <w:t>, comparecencia en la que estuvo acompañado por la secre</w:t>
      </w:r>
      <w:r>
        <w:rPr>
          <w:rFonts w:ascii="Times New Roman" w:hAnsi="Times New Roman" w:cs="Times New Roman"/>
          <w:sz w:val="24"/>
          <w:szCs w:val="24"/>
        </w:rPr>
        <w:t>taria del Tesoro, Janet Yellen.</w:t>
      </w:r>
    </w:p>
    <w:p w:rsidR="00583194" w:rsidRPr="00F60F25"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60F25">
        <w:rPr>
          <w:rFonts w:ascii="Times New Roman" w:hAnsi="Times New Roman" w:cs="Times New Roman"/>
          <w:sz w:val="24"/>
          <w:szCs w:val="24"/>
        </w:rPr>
        <w:t>La amenaza de una persisten</w:t>
      </w:r>
      <w:r>
        <w:rPr>
          <w:rFonts w:ascii="Times New Roman" w:hAnsi="Times New Roman" w:cs="Times New Roman"/>
          <w:sz w:val="24"/>
          <w:szCs w:val="24"/>
        </w:rPr>
        <w:t>te elevada inflación ha crecido”</w:t>
      </w:r>
      <w:r w:rsidRPr="00F60F25">
        <w:rPr>
          <w:rFonts w:ascii="Times New Roman" w:hAnsi="Times New Roman" w:cs="Times New Roman"/>
          <w:sz w:val="24"/>
          <w:szCs w:val="24"/>
        </w:rPr>
        <w:t xml:space="preserve">, reconoció Powell, tras meses de afirmar que </w:t>
      </w:r>
      <w:r>
        <w:rPr>
          <w:rFonts w:ascii="Times New Roman" w:hAnsi="Times New Roman" w:cs="Times New Roman"/>
          <w:sz w:val="24"/>
          <w:szCs w:val="24"/>
        </w:rPr>
        <w:t>la presión inflacionaria sería “temporal” y “transitoria”</w:t>
      </w:r>
      <w:r w:rsidRPr="00F60F25">
        <w:rPr>
          <w:rFonts w:ascii="Times New Roman" w:hAnsi="Times New Roman" w:cs="Times New Roman"/>
          <w:sz w:val="24"/>
          <w:szCs w:val="24"/>
        </w:rPr>
        <w:t>, al tiempo que evalúa anticipar la retirada del programa de compra de bonos.</w:t>
      </w:r>
    </w:p>
    <w:p w:rsidR="00583194" w:rsidRPr="001F642A" w:rsidRDefault="00583194" w:rsidP="00583194">
      <w:pPr>
        <w:spacing w:line="240" w:lineRule="auto"/>
        <w:jc w:val="both"/>
        <w:rPr>
          <w:rFonts w:ascii="Times New Roman" w:hAnsi="Times New Roman" w:cs="Times New Roman"/>
          <w:sz w:val="24"/>
          <w:szCs w:val="24"/>
        </w:rPr>
      </w:pPr>
      <w:r w:rsidRPr="001F642A">
        <w:rPr>
          <w:rFonts w:ascii="Times New Roman" w:hAnsi="Times New Roman" w:cs="Times New Roman"/>
          <w:sz w:val="24"/>
          <w:szCs w:val="24"/>
        </w:rPr>
        <w:t xml:space="preserve">- El BCE ve “temporal” la escalada de la inflación y anticipa una aceleración del crecimiento este año (El Economista - </w:t>
      </w:r>
      <w:r w:rsidRPr="001F642A">
        <w:rPr>
          <w:rFonts w:ascii="Times New Roman" w:hAnsi="Times New Roman" w:cs="Times New Roman"/>
          <w:b/>
          <w:sz w:val="24"/>
          <w:szCs w:val="24"/>
        </w:rPr>
        <w:t>9/9/21</w:t>
      </w:r>
      <w:r w:rsidRPr="001F642A">
        <w:rPr>
          <w:rFonts w:ascii="Times New Roman" w:hAnsi="Times New Roman" w:cs="Times New Roman"/>
          <w:sz w:val="24"/>
          <w:szCs w:val="24"/>
        </w:rPr>
        <w:t>)</w:t>
      </w:r>
    </w:p>
    <w:p w:rsidR="00583194" w:rsidRPr="001F642A" w:rsidRDefault="00583194" w:rsidP="00583194">
      <w:pPr>
        <w:spacing w:line="240" w:lineRule="auto"/>
        <w:jc w:val="both"/>
        <w:rPr>
          <w:rFonts w:ascii="Times New Roman" w:hAnsi="Times New Roman" w:cs="Times New Roman"/>
          <w:sz w:val="24"/>
          <w:szCs w:val="24"/>
        </w:rPr>
      </w:pPr>
      <w:r w:rsidRPr="001F642A">
        <w:rPr>
          <w:rFonts w:ascii="Times New Roman" w:hAnsi="Times New Roman" w:cs="Times New Roman"/>
          <w:sz w:val="24"/>
          <w:szCs w:val="24"/>
        </w:rPr>
        <w:t xml:space="preserve">- Lagarde dice que no hay que reaccionar exageradamente a la inflación temporal (EUROEFE - </w:t>
      </w:r>
      <w:r w:rsidRPr="001F642A">
        <w:rPr>
          <w:rFonts w:ascii="Times New Roman" w:hAnsi="Times New Roman" w:cs="Times New Roman"/>
          <w:b/>
          <w:sz w:val="24"/>
          <w:szCs w:val="24"/>
        </w:rPr>
        <w:t>29/9/21</w:t>
      </w:r>
      <w:r w:rsidRPr="001F642A">
        <w:rPr>
          <w:rFonts w:ascii="Times New Roman" w:hAnsi="Times New Roman" w:cs="Times New Roman"/>
          <w:sz w:val="24"/>
          <w:szCs w:val="24"/>
        </w:rPr>
        <w:t>)</w:t>
      </w:r>
    </w:p>
    <w:p w:rsidR="00583194" w:rsidRDefault="00583194" w:rsidP="00583194">
      <w:pPr>
        <w:spacing w:line="240" w:lineRule="auto"/>
        <w:jc w:val="both"/>
        <w:rPr>
          <w:rFonts w:ascii="Times New Roman" w:hAnsi="Times New Roman" w:cs="Times New Roman"/>
          <w:sz w:val="24"/>
          <w:szCs w:val="24"/>
        </w:rPr>
      </w:pPr>
      <w:r w:rsidRPr="001F642A">
        <w:rPr>
          <w:rFonts w:ascii="Times New Roman" w:hAnsi="Times New Roman" w:cs="Times New Roman"/>
          <w:sz w:val="24"/>
          <w:szCs w:val="24"/>
        </w:rPr>
        <w:t>Se equivocó a lo largo de todo el año 2021, cuando dijo que la subida de precios era “temporal debida a la pandemia”. También erró a finales de ese año cuando aseguró que “la inflación caerá́ en 2022” y lo mismo le pasó en octubre del año 2022 cuando decía que la inflación “había llegado a Europa prácticamente de la nada” y que se produjo por “una crisis energética causada por Putin”.</w:t>
      </w:r>
    </w:p>
    <w:p w:rsidR="00583194" w:rsidRPr="001F642A" w:rsidRDefault="0034097D" w:rsidP="00583194">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00583194" w:rsidRPr="00825DC9">
        <w:rPr>
          <w:rFonts w:ascii="Times New Roman" w:hAnsi="Times New Roman" w:cs="Times New Roman"/>
          <w:b/>
          <w:sz w:val="24"/>
          <w:szCs w:val="24"/>
        </w:rPr>
        <w:t>¿Daños colatera</w:t>
      </w:r>
      <w:r w:rsidR="00583194">
        <w:rPr>
          <w:rFonts w:ascii="Times New Roman" w:hAnsi="Times New Roman" w:cs="Times New Roman"/>
          <w:b/>
          <w:sz w:val="24"/>
          <w:szCs w:val="24"/>
        </w:rPr>
        <w:t>l</w:t>
      </w:r>
      <w:r w:rsidR="00583194" w:rsidRPr="00825DC9">
        <w:rPr>
          <w:rFonts w:ascii="Times New Roman" w:hAnsi="Times New Roman" w:cs="Times New Roman"/>
          <w:b/>
          <w:sz w:val="24"/>
          <w:szCs w:val="24"/>
        </w:rPr>
        <w:t>e</w:t>
      </w:r>
      <w:r w:rsidR="00583194">
        <w:rPr>
          <w:rFonts w:ascii="Times New Roman" w:hAnsi="Times New Roman" w:cs="Times New Roman"/>
          <w:b/>
          <w:sz w:val="24"/>
          <w:szCs w:val="24"/>
        </w:rPr>
        <w:t>s de la expansión monetaria</w:t>
      </w:r>
      <w:r w:rsidR="00320767">
        <w:rPr>
          <w:rFonts w:ascii="Times New Roman" w:hAnsi="Times New Roman" w:cs="Times New Roman"/>
          <w:b/>
          <w:sz w:val="24"/>
          <w:szCs w:val="24"/>
        </w:rPr>
        <w:t>? E</w:t>
      </w:r>
      <w:r w:rsidR="00583194">
        <w:rPr>
          <w:rFonts w:ascii="Times New Roman" w:hAnsi="Times New Roman" w:cs="Times New Roman"/>
          <w:b/>
          <w:sz w:val="24"/>
          <w:szCs w:val="24"/>
        </w:rPr>
        <w:t xml:space="preserve">l </w:t>
      </w:r>
      <w:r w:rsidR="00583194" w:rsidRPr="00825DC9">
        <w:rPr>
          <w:rFonts w:ascii="Times New Roman" w:hAnsi="Times New Roman" w:cs="Times New Roman"/>
          <w:b/>
          <w:sz w:val="24"/>
          <w:szCs w:val="24"/>
        </w:rPr>
        <w:t>gas de la risa</w:t>
      </w:r>
      <w:r w:rsidR="00583194">
        <w:rPr>
          <w:rFonts w:ascii="Times New Roman" w:hAnsi="Times New Roman" w:cs="Times New Roman"/>
          <w:b/>
          <w:sz w:val="24"/>
          <w:szCs w:val="24"/>
        </w:rPr>
        <w:t xml:space="preserve"> y otros esteroides </w:t>
      </w:r>
    </w:p>
    <w:p w:rsidR="00583194" w:rsidRDefault="00583194" w:rsidP="00583194">
      <w:pPr>
        <w:spacing w:line="240" w:lineRule="auto"/>
        <w:jc w:val="both"/>
        <w:rPr>
          <w:rFonts w:ascii="Times New Roman" w:hAnsi="Times New Roman" w:cs="Times New Roman"/>
          <w:sz w:val="24"/>
          <w:szCs w:val="24"/>
        </w:rPr>
      </w:pPr>
      <w:r w:rsidRPr="00D93E89">
        <w:rPr>
          <w:rFonts w:ascii="Times New Roman" w:hAnsi="Times New Roman" w:cs="Times New Roman"/>
          <w:noProof/>
          <w:sz w:val="24"/>
          <w:szCs w:val="24"/>
          <w:lang w:eastAsia="es-ES"/>
        </w:rPr>
        <w:drawing>
          <wp:inline distT="0" distB="0" distL="0" distR="0" wp14:anchorId="67B44A69" wp14:editId="0A977F68">
            <wp:extent cx="5727700" cy="4076700"/>
            <wp:effectExtent l="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4079412"/>
                    </a:xfrm>
                    <a:prstGeom prst="rect">
                      <a:avLst/>
                    </a:prstGeom>
                  </pic:spPr>
                </pic:pic>
              </a:graphicData>
            </a:graphic>
          </wp:inline>
        </w:drawing>
      </w:r>
    </w:p>
    <w:p w:rsidR="00583194" w:rsidRDefault="00583194" w:rsidP="00583194">
      <w:pPr>
        <w:spacing w:line="240" w:lineRule="auto"/>
        <w:jc w:val="both"/>
        <w:rPr>
          <w:rFonts w:ascii="Times New Roman" w:hAnsi="Times New Roman" w:cs="Times New Roman"/>
          <w:sz w:val="24"/>
          <w:szCs w:val="24"/>
        </w:rPr>
      </w:pPr>
      <w:r w:rsidRPr="00E01C51">
        <w:rPr>
          <w:rFonts w:ascii="Times New Roman" w:hAnsi="Times New Roman" w:cs="Times New Roman"/>
          <w:noProof/>
          <w:sz w:val="24"/>
          <w:szCs w:val="24"/>
          <w:lang w:eastAsia="es-ES"/>
        </w:rPr>
        <w:drawing>
          <wp:inline distT="0" distB="0" distL="0" distR="0" wp14:anchorId="70FF636A" wp14:editId="1095C0E9">
            <wp:extent cx="5727699" cy="4197350"/>
            <wp:effectExtent l="0" t="0" r="698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27699" cy="4197350"/>
                    </a:xfrm>
                    <a:prstGeom prst="rect">
                      <a:avLst/>
                    </a:prstGeom>
                  </pic:spPr>
                </pic:pic>
              </a:graphicData>
            </a:graphic>
          </wp:inline>
        </w:drawing>
      </w:r>
    </w:p>
    <w:p w:rsidR="00583194" w:rsidRPr="00C069E2" w:rsidRDefault="00583194" w:rsidP="00583194">
      <w:pPr>
        <w:spacing w:line="240" w:lineRule="auto"/>
        <w:jc w:val="both"/>
        <w:rPr>
          <w:rFonts w:ascii="Times New Roman" w:hAnsi="Times New Roman" w:cs="Times New Roman"/>
          <w:b/>
          <w:sz w:val="24"/>
          <w:szCs w:val="24"/>
        </w:rPr>
      </w:pPr>
      <w:r w:rsidRPr="00C069E2">
        <w:rPr>
          <w:rFonts w:ascii="Times New Roman" w:hAnsi="Times New Roman" w:cs="Times New Roman"/>
          <w:b/>
          <w:sz w:val="24"/>
          <w:szCs w:val="24"/>
        </w:rPr>
        <w:lastRenderedPageBreak/>
        <w:t>¿En qué ocasiones la FED ha bajado tipos?</w:t>
      </w:r>
      <w:r>
        <w:rPr>
          <w:rFonts w:ascii="Times New Roman" w:hAnsi="Times New Roman" w:cs="Times New Roman"/>
          <w:b/>
          <w:sz w:val="24"/>
          <w:szCs w:val="24"/>
        </w:rPr>
        <w:t xml:space="preserve"> (represión financiera, desaliento del ahorro)</w:t>
      </w:r>
    </w:p>
    <w:p w:rsidR="00583194" w:rsidRDefault="00583194" w:rsidP="00583194">
      <w:pPr>
        <w:spacing w:line="240" w:lineRule="auto"/>
        <w:jc w:val="both"/>
        <w:rPr>
          <w:rFonts w:ascii="Times New Roman" w:hAnsi="Times New Roman" w:cs="Times New Roman"/>
          <w:sz w:val="24"/>
          <w:szCs w:val="24"/>
        </w:rPr>
      </w:pPr>
      <w:r w:rsidRPr="00C069E2">
        <w:rPr>
          <w:rFonts w:ascii="Times New Roman" w:hAnsi="Times New Roman" w:cs="Times New Roman"/>
          <w:sz w:val="24"/>
          <w:szCs w:val="24"/>
        </w:rPr>
        <w:t>Repasamos las diferentes situaciones y escenarios en los que la FED ha tenido que rebajar los tipos de interés como medida de emergencia para ga</w:t>
      </w:r>
      <w:r>
        <w:rPr>
          <w:rFonts w:ascii="Times New Roman" w:hAnsi="Times New Roman" w:cs="Times New Roman"/>
          <w:sz w:val="24"/>
          <w:szCs w:val="24"/>
        </w:rPr>
        <w:t>rantizar el sistema y la estabi</w:t>
      </w:r>
      <w:r w:rsidRPr="00C069E2">
        <w:rPr>
          <w:rFonts w:ascii="Times New Roman" w:hAnsi="Times New Roman" w:cs="Times New Roman"/>
          <w:sz w:val="24"/>
          <w:szCs w:val="24"/>
        </w:rPr>
        <w:t>lidad financiera.</w:t>
      </w:r>
    </w:p>
    <w:p w:rsidR="00583194" w:rsidRDefault="00583194" w:rsidP="00583194">
      <w:pPr>
        <w:spacing w:line="240" w:lineRule="auto"/>
        <w:jc w:val="both"/>
        <w:rPr>
          <w:rFonts w:ascii="Times New Roman" w:hAnsi="Times New Roman" w:cs="Times New Roman"/>
          <w:sz w:val="24"/>
          <w:szCs w:val="24"/>
        </w:rPr>
      </w:pPr>
      <w:r>
        <w:rPr>
          <w:noProof/>
          <w:lang w:eastAsia="es-ES"/>
        </w:rPr>
        <w:drawing>
          <wp:inline distT="0" distB="0" distL="0" distR="0" wp14:anchorId="5C167798" wp14:editId="64F6F0F6">
            <wp:extent cx="5726768" cy="2889250"/>
            <wp:effectExtent l="0" t="0" r="7620" b="6350"/>
            <wp:docPr id="11" name="Imagen 11" descr="https://rankiapro.com/es/wp-content/uploads/2020/03/tipos-interes-estados-unidos-rankiap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rankiapro.com/es/wp-content/uploads/2020/03/tipos-interes-estados-unidos-rankiapro.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2891642"/>
                    </a:xfrm>
                    <a:prstGeom prst="rect">
                      <a:avLst/>
                    </a:prstGeom>
                    <a:noFill/>
                    <a:ln>
                      <a:noFill/>
                    </a:ln>
                  </pic:spPr>
                </pic:pic>
              </a:graphicData>
            </a:graphic>
          </wp:inline>
        </w:drawing>
      </w:r>
    </w:p>
    <w:p w:rsidR="00583194" w:rsidRDefault="00583194" w:rsidP="00583194">
      <w:pPr>
        <w:spacing w:line="240" w:lineRule="auto"/>
        <w:jc w:val="both"/>
        <w:rPr>
          <w:rFonts w:ascii="Times New Roman" w:hAnsi="Times New Roman" w:cs="Times New Roman"/>
          <w:sz w:val="24"/>
          <w:szCs w:val="24"/>
        </w:rPr>
      </w:pPr>
    </w:p>
    <w:p w:rsidR="00583194" w:rsidRDefault="00583194" w:rsidP="00583194">
      <w:pPr>
        <w:spacing w:line="240" w:lineRule="auto"/>
        <w:jc w:val="both"/>
        <w:rPr>
          <w:rFonts w:ascii="Times New Roman" w:hAnsi="Times New Roman" w:cs="Times New Roman"/>
          <w:sz w:val="24"/>
          <w:szCs w:val="24"/>
        </w:rPr>
      </w:pPr>
    </w:p>
    <w:p w:rsidR="00583194" w:rsidRDefault="00583194" w:rsidP="00583194">
      <w:pPr>
        <w:spacing w:line="240" w:lineRule="auto"/>
        <w:jc w:val="both"/>
        <w:rPr>
          <w:rFonts w:ascii="Times New Roman" w:hAnsi="Times New Roman" w:cs="Times New Roman"/>
          <w:sz w:val="24"/>
          <w:szCs w:val="24"/>
        </w:rPr>
      </w:pPr>
      <w:r w:rsidRPr="00C069E2">
        <w:rPr>
          <w:rFonts w:ascii="Times New Roman" w:hAnsi="Times New Roman" w:cs="Times New Roman"/>
          <w:noProof/>
          <w:sz w:val="24"/>
          <w:szCs w:val="24"/>
          <w:lang w:eastAsia="es-ES"/>
        </w:rPr>
        <w:drawing>
          <wp:inline distT="0" distB="0" distL="0" distR="0" wp14:anchorId="7086F909" wp14:editId="050CCF26">
            <wp:extent cx="5727906" cy="3219450"/>
            <wp:effectExtent l="0" t="0" r="635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3221476"/>
                    </a:xfrm>
                    <a:prstGeom prst="rect">
                      <a:avLst/>
                    </a:prstGeom>
                  </pic:spPr>
                </pic:pic>
              </a:graphicData>
            </a:graphic>
          </wp:inline>
        </w:drawing>
      </w:r>
    </w:p>
    <w:p w:rsidR="00583194" w:rsidRDefault="00583194" w:rsidP="00583194">
      <w:pPr>
        <w:spacing w:line="240" w:lineRule="auto"/>
        <w:jc w:val="both"/>
        <w:rPr>
          <w:rFonts w:ascii="Times New Roman" w:hAnsi="Times New Roman" w:cs="Times New Roman"/>
          <w:sz w:val="24"/>
          <w:szCs w:val="24"/>
        </w:rPr>
      </w:pPr>
    </w:p>
    <w:p w:rsidR="00583194" w:rsidRDefault="00583194" w:rsidP="00583194">
      <w:pPr>
        <w:spacing w:line="240" w:lineRule="auto"/>
        <w:jc w:val="both"/>
        <w:rPr>
          <w:rFonts w:ascii="Times New Roman" w:hAnsi="Times New Roman" w:cs="Times New Roman"/>
          <w:sz w:val="24"/>
          <w:szCs w:val="24"/>
        </w:rPr>
      </w:pPr>
    </w:p>
    <w:p w:rsidR="00583194" w:rsidRDefault="00583194" w:rsidP="00583194">
      <w:pPr>
        <w:spacing w:line="240" w:lineRule="auto"/>
        <w:jc w:val="both"/>
        <w:rPr>
          <w:rFonts w:ascii="Times New Roman" w:hAnsi="Times New Roman" w:cs="Times New Roman"/>
          <w:sz w:val="24"/>
          <w:szCs w:val="24"/>
        </w:rPr>
      </w:pPr>
    </w:p>
    <w:p w:rsidR="00583194" w:rsidRPr="0040122D" w:rsidRDefault="00583194" w:rsidP="0058319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El BCE y el BoE, </w:t>
      </w:r>
      <w:r w:rsidRPr="0040122D">
        <w:rPr>
          <w:rFonts w:ascii="Times New Roman" w:hAnsi="Times New Roman" w:cs="Times New Roman"/>
          <w:b/>
          <w:sz w:val="24"/>
          <w:szCs w:val="24"/>
        </w:rPr>
        <w:t>por la misma senda de la Fed</w:t>
      </w:r>
      <w:r>
        <w:rPr>
          <w:rFonts w:ascii="Times New Roman" w:hAnsi="Times New Roman" w:cs="Times New Roman"/>
          <w:b/>
          <w:sz w:val="24"/>
          <w:szCs w:val="24"/>
        </w:rPr>
        <w:t xml:space="preserve"> (¿esclavos morales de los mercados?) </w:t>
      </w:r>
    </w:p>
    <w:p w:rsidR="00583194" w:rsidRDefault="00583194" w:rsidP="00583194">
      <w:pPr>
        <w:spacing w:line="240" w:lineRule="auto"/>
        <w:jc w:val="both"/>
        <w:rPr>
          <w:rFonts w:ascii="Times New Roman" w:hAnsi="Times New Roman" w:cs="Times New Roman"/>
          <w:sz w:val="24"/>
          <w:szCs w:val="24"/>
        </w:rPr>
      </w:pPr>
      <w:r w:rsidRPr="00C069E2">
        <w:rPr>
          <w:rFonts w:ascii="Times New Roman" w:hAnsi="Times New Roman" w:cs="Times New Roman"/>
          <w:noProof/>
          <w:sz w:val="24"/>
          <w:szCs w:val="24"/>
          <w:lang w:eastAsia="es-ES"/>
        </w:rPr>
        <w:drawing>
          <wp:inline distT="0" distB="0" distL="0" distR="0" wp14:anchorId="5773A877" wp14:editId="0B12B7E6">
            <wp:extent cx="5726033" cy="3536950"/>
            <wp:effectExtent l="0" t="0" r="8255"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540333"/>
                    </a:xfrm>
                    <a:prstGeom prst="rect">
                      <a:avLst/>
                    </a:prstGeom>
                  </pic:spPr>
                </pic:pic>
              </a:graphicData>
            </a:graphic>
          </wp:inline>
        </w:drawing>
      </w:r>
    </w:p>
    <w:p w:rsidR="00583194" w:rsidRDefault="00583194" w:rsidP="00583194">
      <w:pPr>
        <w:spacing w:line="240" w:lineRule="auto"/>
        <w:jc w:val="both"/>
        <w:rPr>
          <w:rFonts w:ascii="Times New Roman" w:hAnsi="Times New Roman" w:cs="Times New Roman"/>
          <w:sz w:val="24"/>
          <w:szCs w:val="24"/>
        </w:rPr>
      </w:pPr>
      <w:r w:rsidRPr="00C069E2">
        <w:rPr>
          <w:rFonts w:ascii="Times New Roman" w:hAnsi="Times New Roman" w:cs="Times New Roman"/>
          <w:noProof/>
          <w:sz w:val="24"/>
          <w:szCs w:val="24"/>
          <w:lang w:eastAsia="es-ES"/>
        </w:rPr>
        <w:drawing>
          <wp:inline distT="0" distB="0" distL="0" distR="0" wp14:anchorId="68259DC9" wp14:editId="062320CF">
            <wp:extent cx="5727363" cy="3225800"/>
            <wp:effectExtent l="0" t="0" r="698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3228136"/>
                    </a:xfrm>
                    <a:prstGeom prst="rect">
                      <a:avLst/>
                    </a:prstGeom>
                  </pic:spPr>
                </pic:pic>
              </a:graphicData>
            </a:graphic>
          </wp:inline>
        </w:drawing>
      </w:r>
    </w:p>
    <w:p w:rsidR="00583194" w:rsidRDefault="00583194" w:rsidP="00583194">
      <w:pPr>
        <w:spacing w:line="240" w:lineRule="auto"/>
        <w:jc w:val="both"/>
        <w:rPr>
          <w:rFonts w:ascii="Times New Roman" w:hAnsi="Times New Roman" w:cs="Times New Roman"/>
          <w:sz w:val="24"/>
          <w:szCs w:val="24"/>
        </w:rPr>
      </w:pPr>
    </w:p>
    <w:p w:rsidR="00583194" w:rsidRPr="00320767" w:rsidRDefault="00583194" w:rsidP="00583194">
      <w:pPr>
        <w:spacing w:line="240" w:lineRule="auto"/>
        <w:jc w:val="both"/>
        <w:rPr>
          <w:rFonts w:ascii="Times New Roman" w:hAnsi="Times New Roman"/>
          <w:sz w:val="24"/>
          <w:szCs w:val="24"/>
        </w:rPr>
      </w:pPr>
      <w:r w:rsidRPr="00320767">
        <w:rPr>
          <w:rFonts w:ascii="Times New Roman" w:hAnsi="Times New Roman"/>
          <w:b/>
          <w:sz w:val="24"/>
          <w:szCs w:val="24"/>
        </w:rPr>
        <w:t>Nota</w:t>
      </w:r>
      <w:r w:rsidRPr="00320767">
        <w:rPr>
          <w:rFonts w:ascii="Times New Roman" w:hAnsi="Times New Roman"/>
          <w:sz w:val="24"/>
          <w:szCs w:val="24"/>
        </w:rPr>
        <w:t>: La irrupción de la inflación fue tan rápida y violenta que forzó a los bancos centrales a reaccionar en consecuencia: la subida de tipos que ha llevado a cabo el BCE entre 2022 y 2023 ha sido la más rápida de su historia, y la de la Fed ha marcado el récord en más de 40 años.</w:t>
      </w:r>
    </w:p>
    <w:p w:rsidR="00583194" w:rsidRPr="00D76577" w:rsidRDefault="00583194" w:rsidP="00583194">
      <w:pPr>
        <w:spacing w:line="240" w:lineRule="auto"/>
        <w:jc w:val="both"/>
        <w:rPr>
          <w:rFonts w:ascii="Times New Roman" w:hAnsi="Times New Roman" w:cs="Times New Roman"/>
          <w:sz w:val="24"/>
          <w:szCs w:val="24"/>
        </w:rPr>
      </w:pPr>
    </w:p>
    <w:p w:rsidR="00583194" w:rsidRDefault="00583194" w:rsidP="00583194">
      <w:pPr>
        <w:spacing w:line="240" w:lineRule="auto"/>
        <w:jc w:val="both"/>
        <w:rPr>
          <w:rFonts w:ascii="Times New Roman" w:hAnsi="Times New Roman" w:cs="Times New Roman"/>
          <w:sz w:val="24"/>
          <w:szCs w:val="24"/>
        </w:rPr>
      </w:pPr>
      <w:r w:rsidRPr="00DE10F5">
        <w:rPr>
          <w:rFonts w:ascii="Times New Roman" w:hAnsi="Times New Roman" w:cs="Times New Roman"/>
          <w:noProof/>
          <w:sz w:val="24"/>
          <w:szCs w:val="24"/>
          <w:lang w:eastAsia="es-ES"/>
        </w:rPr>
        <w:lastRenderedPageBreak/>
        <w:drawing>
          <wp:inline distT="0" distB="0" distL="0" distR="0" wp14:anchorId="0CAE5130" wp14:editId="166D4374">
            <wp:extent cx="5734050" cy="413385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4132019"/>
                    </a:xfrm>
                    <a:prstGeom prst="rect">
                      <a:avLst/>
                    </a:prstGeom>
                  </pic:spPr>
                </pic:pic>
              </a:graphicData>
            </a:graphic>
          </wp:inline>
        </w:drawing>
      </w:r>
    </w:p>
    <w:p w:rsidR="00583194" w:rsidRDefault="00583194" w:rsidP="00583194">
      <w:pPr>
        <w:spacing w:line="240" w:lineRule="auto"/>
        <w:jc w:val="both"/>
        <w:rPr>
          <w:rFonts w:ascii="Times New Roman" w:hAnsi="Times New Roman" w:cs="Times New Roman"/>
          <w:sz w:val="24"/>
          <w:szCs w:val="24"/>
        </w:rPr>
      </w:pPr>
    </w:p>
    <w:p w:rsidR="00583194" w:rsidRDefault="00583194" w:rsidP="00583194">
      <w:pPr>
        <w:spacing w:line="240" w:lineRule="auto"/>
        <w:jc w:val="both"/>
        <w:rPr>
          <w:rFonts w:ascii="Times New Roman" w:hAnsi="Times New Roman" w:cs="Times New Roman"/>
          <w:sz w:val="24"/>
          <w:szCs w:val="24"/>
        </w:rPr>
      </w:pPr>
      <w:r w:rsidRPr="00DE10F5">
        <w:rPr>
          <w:rFonts w:ascii="Times New Roman" w:hAnsi="Times New Roman" w:cs="Times New Roman"/>
          <w:noProof/>
          <w:sz w:val="24"/>
          <w:szCs w:val="24"/>
          <w:lang w:eastAsia="es-ES"/>
        </w:rPr>
        <w:drawing>
          <wp:inline distT="0" distB="0" distL="0" distR="0" wp14:anchorId="78C188A3" wp14:editId="33A3CAB4">
            <wp:extent cx="5732116" cy="4152900"/>
            <wp:effectExtent l="0" t="0" r="254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4152461"/>
                    </a:xfrm>
                    <a:prstGeom prst="rect">
                      <a:avLst/>
                    </a:prstGeom>
                  </pic:spPr>
                </pic:pic>
              </a:graphicData>
            </a:graphic>
          </wp:inline>
        </w:drawing>
      </w:r>
    </w:p>
    <w:p w:rsidR="00583194" w:rsidRPr="00E575EF"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575EF">
        <w:rPr>
          <w:rFonts w:ascii="Times New Roman" w:hAnsi="Times New Roman" w:cs="Times New Roman"/>
          <w:sz w:val="24"/>
          <w:szCs w:val="24"/>
          <w:u w:val="single"/>
        </w:rPr>
        <w:t>El ex jefe del Bundesbank alerta de que es poco probable que la Fed y el BCE eviten una recesión</w:t>
      </w:r>
      <w:r>
        <w:rPr>
          <w:rFonts w:ascii="Times New Roman" w:hAnsi="Times New Roman" w:cs="Times New Roman"/>
          <w:sz w:val="24"/>
          <w:szCs w:val="24"/>
        </w:rPr>
        <w:t xml:space="preserve"> (Cinco Días - </w:t>
      </w:r>
      <w:r w:rsidRPr="00E575EF">
        <w:rPr>
          <w:rFonts w:ascii="Times New Roman" w:hAnsi="Times New Roman" w:cs="Times New Roman"/>
          <w:b/>
          <w:sz w:val="24"/>
          <w:szCs w:val="24"/>
        </w:rPr>
        <w:t>28/9/23</w:t>
      </w:r>
      <w:r>
        <w:rPr>
          <w:rFonts w:ascii="Times New Roman" w:hAnsi="Times New Roman" w:cs="Times New Roman"/>
          <w:sz w:val="24"/>
          <w:szCs w:val="24"/>
        </w:rPr>
        <w:t>)</w:t>
      </w:r>
    </w:p>
    <w:p w:rsidR="00583194" w:rsidRPr="00E575EF" w:rsidRDefault="00583194" w:rsidP="00583194">
      <w:pPr>
        <w:spacing w:line="240" w:lineRule="auto"/>
        <w:jc w:val="both"/>
        <w:rPr>
          <w:rFonts w:ascii="Times New Roman" w:hAnsi="Times New Roman" w:cs="Times New Roman"/>
          <w:sz w:val="24"/>
          <w:szCs w:val="24"/>
        </w:rPr>
      </w:pPr>
      <w:r w:rsidRPr="00E575EF">
        <w:rPr>
          <w:rFonts w:ascii="Times New Roman" w:hAnsi="Times New Roman" w:cs="Times New Roman"/>
          <w:sz w:val="24"/>
          <w:szCs w:val="24"/>
        </w:rPr>
        <w:t>El exbanquero central alemán apunta que los tipos de interés en Europa y Estados Unidos podrían acabar en torno al 4% y el 5%</w:t>
      </w:r>
    </w:p>
    <w:p w:rsidR="00583194" w:rsidRPr="00E575EF" w:rsidRDefault="00583194" w:rsidP="00583194">
      <w:pPr>
        <w:spacing w:line="240" w:lineRule="auto"/>
        <w:jc w:val="both"/>
        <w:rPr>
          <w:rFonts w:ascii="Times New Roman" w:hAnsi="Times New Roman" w:cs="Times New Roman"/>
          <w:sz w:val="24"/>
          <w:szCs w:val="24"/>
        </w:rPr>
      </w:pPr>
      <w:r w:rsidRPr="00E575EF">
        <w:rPr>
          <w:rFonts w:ascii="Times New Roman" w:hAnsi="Times New Roman" w:cs="Times New Roman"/>
          <w:sz w:val="24"/>
          <w:szCs w:val="24"/>
        </w:rPr>
        <w:t>(Por M</w:t>
      </w:r>
      <w:r>
        <w:rPr>
          <w:rFonts w:ascii="Times New Roman" w:hAnsi="Times New Roman" w:cs="Times New Roman"/>
          <w:sz w:val="24"/>
          <w:szCs w:val="24"/>
        </w:rPr>
        <w:t>onique Z. Vigneault)</w:t>
      </w:r>
    </w:p>
    <w:p w:rsidR="00583194" w:rsidRPr="00E575EF" w:rsidRDefault="00583194" w:rsidP="00583194">
      <w:pPr>
        <w:spacing w:line="240" w:lineRule="auto"/>
        <w:jc w:val="both"/>
        <w:rPr>
          <w:rFonts w:ascii="Times New Roman" w:hAnsi="Times New Roman" w:cs="Times New Roman"/>
          <w:sz w:val="24"/>
          <w:szCs w:val="24"/>
        </w:rPr>
      </w:pPr>
      <w:r w:rsidRPr="00E575EF">
        <w:rPr>
          <w:rFonts w:ascii="Times New Roman" w:hAnsi="Times New Roman" w:cs="Times New Roman"/>
          <w:sz w:val="24"/>
          <w:szCs w:val="24"/>
        </w:rPr>
        <w:t>En el punto álgido de su mandato al frente del Bundesbank alemán, Axel Weber (Kusel, Alemania, 1957) , considerado durante un tiempo como uno de los principales candidatos al puesto de jefe del Banco Central Europeo (BCE), dimitió inesperadamente. El economista alemán, que había sido miembro del Consejo de Gobierno del BCE, era un firme defensor de la ortodoxia en política monetaria y con su renuncia frustró las aspiraciones de la canciller Angela Merkel de colocar a un alemán al frente del BCE. El banquero pasó después a presidir el banco suizo UBS, hasta que se incorporó a la gestora de inversión alemana, Flossbach Vo</w:t>
      </w:r>
      <w:r>
        <w:rPr>
          <w:rFonts w:ascii="Times New Roman" w:hAnsi="Times New Roman" w:cs="Times New Roman"/>
          <w:sz w:val="24"/>
          <w:szCs w:val="24"/>
        </w:rPr>
        <w:t>n Storch en septiembre de 2022.</w:t>
      </w:r>
    </w:p>
    <w:p w:rsidR="00583194" w:rsidRPr="00E575EF" w:rsidRDefault="00583194" w:rsidP="00583194">
      <w:pPr>
        <w:spacing w:line="240" w:lineRule="auto"/>
        <w:jc w:val="both"/>
        <w:rPr>
          <w:rFonts w:ascii="Times New Roman" w:hAnsi="Times New Roman" w:cs="Times New Roman"/>
          <w:sz w:val="24"/>
          <w:szCs w:val="24"/>
        </w:rPr>
      </w:pPr>
      <w:r w:rsidRPr="00E575EF">
        <w:rPr>
          <w:rFonts w:ascii="Times New Roman" w:hAnsi="Times New Roman" w:cs="Times New Roman"/>
          <w:sz w:val="24"/>
          <w:szCs w:val="24"/>
        </w:rPr>
        <w:t xml:space="preserve">Frente las alzas de los tipos de interés por los bancos centrales en todo el mundo, Weber considera que hay similitudes entre la situación actual y la crisis financiera de 2008, que estalló durante su cargo como banquero central, aunque señala que no llega a ser tan grave. El economista estima que Europa y Estados Unidos están al final del ciclo actual de subidas, a pesar de las señales de los banqueros centrales de que mantendrán los tipos altos hasta que la inflación se modere. Estima que la posible normalización de los tipos de interés de los bancos centrales de Estados Unidos y de Europa podría situarse en </w:t>
      </w:r>
      <w:r>
        <w:rPr>
          <w:rFonts w:ascii="Times New Roman" w:hAnsi="Times New Roman" w:cs="Times New Roman"/>
          <w:sz w:val="24"/>
          <w:szCs w:val="24"/>
        </w:rPr>
        <w:t>niveles en torno al 4% y el 5%.</w:t>
      </w:r>
    </w:p>
    <w:p w:rsidR="00583194" w:rsidRPr="00E575EF" w:rsidRDefault="00583194" w:rsidP="00583194">
      <w:pPr>
        <w:spacing w:line="240" w:lineRule="auto"/>
        <w:jc w:val="both"/>
        <w:rPr>
          <w:rFonts w:ascii="Times New Roman" w:hAnsi="Times New Roman" w:cs="Times New Roman"/>
          <w:sz w:val="24"/>
          <w:szCs w:val="24"/>
        </w:rPr>
      </w:pPr>
      <w:r w:rsidRPr="00E575EF">
        <w:rPr>
          <w:rFonts w:ascii="Times New Roman" w:hAnsi="Times New Roman" w:cs="Times New Roman"/>
          <w:sz w:val="24"/>
          <w:szCs w:val="24"/>
        </w:rPr>
        <w:t>Jerome Powell, el preside</w:t>
      </w:r>
      <w:r>
        <w:rPr>
          <w:rFonts w:ascii="Times New Roman" w:hAnsi="Times New Roman" w:cs="Times New Roman"/>
          <w:sz w:val="24"/>
          <w:szCs w:val="24"/>
        </w:rPr>
        <w:t>nte de la Reserva Federal de EE</w:t>
      </w:r>
      <w:r w:rsidRPr="00E575EF">
        <w:rPr>
          <w:rFonts w:ascii="Times New Roman" w:hAnsi="Times New Roman" w:cs="Times New Roman"/>
          <w:sz w:val="24"/>
          <w:szCs w:val="24"/>
        </w:rPr>
        <w:t>UU, declaró la semana pasada que espera un “aterrizaje suave” frente la subida de precios, pero el economista alemán considera poco probable este resultado en Estados Unidos, igual que en la eurozona. “Acabar con la inflación y evitar una recesión son incompatibles en mi opinión”, ha comentado Weber este jue</w:t>
      </w:r>
      <w:r>
        <w:rPr>
          <w:rFonts w:ascii="Times New Roman" w:hAnsi="Times New Roman" w:cs="Times New Roman"/>
          <w:sz w:val="24"/>
          <w:szCs w:val="24"/>
        </w:rPr>
        <w:t>ves en un encuentro con prensa.</w:t>
      </w:r>
    </w:p>
    <w:p w:rsidR="00583194" w:rsidRPr="00E575EF" w:rsidRDefault="00583194" w:rsidP="00583194">
      <w:pPr>
        <w:spacing w:line="240" w:lineRule="auto"/>
        <w:jc w:val="both"/>
        <w:rPr>
          <w:rFonts w:ascii="Times New Roman" w:hAnsi="Times New Roman" w:cs="Times New Roman"/>
          <w:sz w:val="24"/>
          <w:szCs w:val="24"/>
        </w:rPr>
      </w:pPr>
      <w:r w:rsidRPr="00E575EF">
        <w:rPr>
          <w:rFonts w:ascii="Times New Roman" w:hAnsi="Times New Roman" w:cs="Times New Roman"/>
          <w:sz w:val="24"/>
          <w:szCs w:val="24"/>
        </w:rPr>
        <w:t>La institución que preside Christine Lagarde subió el tipo de interés de referencia por décima vez consecutiva hasta un máximo histórico hace dos semanas, al igual que la Reserva Federal (Fed) que ha subido los tipos en 525 puntos básicos desde 2022 para</w:t>
      </w:r>
      <w:r>
        <w:rPr>
          <w:rFonts w:ascii="Times New Roman" w:hAnsi="Times New Roman" w:cs="Times New Roman"/>
          <w:sz w:val="24"/>
          <w:szCs w:val="24"/>
        </w:rPr>
        <w:t xml:space="preserve"> combatir la tasa de inflación.</w:t>
      </w:r>
    </w:p>
    <w:p w:rsidR="00583194" w:rsidRPr="00E575EF" w:rsidRDefault="00583194" w:rsidP="00583194">
      <w:pPr>
        <w:spacing w:line="240" w:lineRule="auto"/>
        <w:jc w:val="both"/>
        <w:rPr>
          <w:rFonts w:ascii="Times New Roman" w:hAnsi="Times New Roman" w:cs="Times New Roman"/>
          <w:sz w:val="24"/>
          <w:szCs w:val="24"/>
        </w:rPr>
      </w:pPr>
      <w:r w:rsidRPr="00E575EF">
        <w:rPr>
          <w:rFonts w:ascii="Times New Roman" w:hAnsi="Times New Roman" w:cs="Times New Roman"/>
          <w:sz w:val="24"/>
          <w:szCs w:val="24"/>
        </w:rPr>
        <w:t>Weber se mostró crítico con l</w:t>
      </w:r>
      <w:r>
        <w:rPr>
          <w:rFonts w:ascii="Times New Roman" w:hAnsi="Times New Roman" w:cs="Times New Roman"/>
          <w:sz w:val="24"/>
          <w:szCs w:val="24"/>
        </w:rPr>
        <w:t>os modelos económicos, como el “objetivo de inflación media”</w:t>
      </w:r>
      <w:r w:rsidRPr="00E575EF">
        <w:rPr>
          <w:rFonts w:ascii="Times New Roman" w:hAnsi="Times New Roman" w:cs="Times New Roman"/>
          <w:sz w:val="24"/>
          <w:szCs w:val="24"/>
        </w:rPr>
        <w:t xml:space="preserve"> que siguen los bancos centrales, que no acertaron en predecir que la inflación surgida tras la pandemia no era el fenómeno transitorio que suponían. “Si los bancos centrales no reformulan masivamente su forma de predecir la inflación e intentan suavizar la economía con las mismas herramientas, mi predicción es qu</w:t>
      </w:r>
      <w:r>
        <w:rPr>
          <w:rFonts w:ascii="Times New Roman" w:hAnsi="Times New Roman" w:cs="Times New Roman"/>
          <w:sz w:val="24"/>
          <w:szCs w:val="24"/>
        </w:rPr>
        <w:t>e lo pasarán mal”, ha señalado.</w:t>
      </w:r>
    </w:p>
    <w:p w:rsidR="00583194" w:rsidRPr="00E575EF" w:rsidRDefault="00583194" w:rsidP="00583194">
      <w:pPr>
        <w:spacing w:line="240" w:lineRule="auto"/>
        <w:jc w:val="both"/>
        <w:rPr>
          <w:rFonts w:ascii="Times New Roman" w:hAnsi="Times New Roman" w:cs="Times New Roman"/>
          <w:sz w:val="24"/>
          <w:szCs w:val="24"/>
        </w:rPr>
      </w:pPr>
      <w:r w:rsidRPr="00E575EF">
        <w:rPr>
          <w:rFonts w:ascii="Times New Roman" w:hAnsi="Times New Roman" w:cs="Times New Roman"/>
          <w:sz w:val="24"/>
          <w:szCs w:val="24"/>
        </w:rPr>
        <w:t>Además, considera como un gran error el cambio de estrategia de la Fed al inicio de la crisis sanitaria de 2020, a la que respondió con unos estímulos monetarios sin precedentes. Aunque ha aplaudido Powell por estabilizar el empleo en Estados Unidos, advierte que el de</w:t>
      </w:r>
      <w:r>
        <w:rPr>
          <w:rFonts w:ascii="Times New Roman" w:hAnsi="Times New Roman" w:cs="Times New Roman"/>
          <w:sz w:val="24"/>
          <w:szCs w:val="24"/>
        </w:rPr>
        <w:t>sempleo inevitablemente subirá.</w:t>
      </w:r>
    </w:p>
    <w:p w:rsidR="00583194" w:rsidRDefault="00583194" w:rsidP="00583194">
      <w:pPr>
        <w:spacing w:line="240" w:lineRule="auto"/>
        <w:jc w:val="both"/>
        <w:rPr>
          <w:rFonts w:ascii="Times New Roman" w:hAnsi="Times New Roman" w:cs="Times New Roman"/>
          <w:sz w:val="24"/>
          <w:szCs w:val="24"/>
        </w:rPr>
      </w:pPr>
      <w:r w:rsidRPr="00E575EF">
        <w:rPr>
          <w:rFonts w:ascii="Times New Roman" w:hAnsi="Times New Roman" w:cs="Times New Roman"/>
          <w:sz w:val="24"/>
          <w:szCs w:val="24"/>
        </w:rPr>
        <w:t>El economista prevé la llegada de una recesión, o por lo menos una desaceleración económica frente las últimas proyecciones de la Fed, que indican que la tasa de paro estadounidense subirá por encima del 4% y el IPC en Estados Unidos se estabilizará un 2,5% a partir de junio del próximo año.</w:t>
      </w:r>
    </w:p>
    <w:p w:rsidR="00583194" w:rsidRDefault="00583194" w:rsidP="00583194">
      <w:pPr>
        <w:spacing w:line="240" w:lineRule="auto"/>
        <w:jc w:val="both"/>
        <w:rPr>
          <w:rFonts w:ascii="Times New Roman" w:hAnsi="Times New Roman" w:cs="Times New Roman"/>
          <w:sz w:val="24"/>
          <w:szCs w:val="24"/>
        </w:rPr>
      </w:pPr>
    </w:p>
    <w:p w:rsidR="00583194" w:rsidRPr="001D3EDA" w:rsidRDefault="00583194" w:rsidP="00583194">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8D0FCF">
        <w:rPr>
          <w:rFonts w:ascii="Times New Roman" w:hAnsi="Times New Roman"/>
          <w:sz w:val="24"/>
          <w:szCs w:val="24"/>
          <w:u w:val="single"/>
        </w:rPr>
        <w:t>Si el BCE relaja su política monetaria, el daño será mayor</w:t>
      </w:r>
      <w:r>
        <w:rPr>
          <w:rFonts w:ascii="Times New Roman" w:hAnsi="Times New Roman"/>
          <w:sz w:val="24"/>
          <w:szCs w:val="24"/>
        </w:rPr>
        <w:t xml:space="preserve"> (Libertad Digital - </w:t>
      </w:r>
      <w:r w:rsidRPr="001D3EDA">
        <w:rPr>
          <w:rFonts w:ascii="Times New Roman" w:hAnsi="Times New Roman"/>
          <w:b/>
          <w:sz w:val="24"/>
          <w:szCs w:val="24"/>
        </w:rPr>
        <w:t>23/10/23</w:t>
      </w:r>
      <w:r>
        <w:rPr>
          <w:rFonts w:ascii="Times New Roman" w:hAnsi="Times New Roman"/>
          <w:sz w:val="24"/>
          <w:szCs w:val="24"/>
        </w:rPr>
        <w:t>)</w:t>
      </w:r>
    </w:p>
    <w:p w:rsidR="00583194" w:rsidRPr="001D3EDA" w:rsidRDefault="00583194" w:rsidP="00583194">
      <w:pPr>
        <w:spacing w:line="240" w:lineRule="auto"/>
        <w:jc w:val="both"/>
        <w:rPr>
          <w:rFonts w:ascii="Times New Roman" w:hAnsi="Times New Roman"/>
          <w:sz w:val="24"/>
          <w:szCs w:val="24"/>
        </w:rPr>
      </w:pPr>
      <w:r w:rsidRPr="001D3EDA">
        <w:rPr>
          <w:rFonts w:ascii="Times New Roman" w:hAnsi="Times New Roman"/>
          <w:sz w:val="24"/>
          <w:szCs w:val="24"/>
        </w:rPr>
        <w:t xml:space="preserve">El BCE debe mantener la lucha contra la inflación sin dudar, pues la subida de precios es uno de los elementos más perjudiciales que hay para la economía. </w:t>
      </w:r>
    </w:p>
    <w:p w:rsidR="00583194" w:rsidRPr="001D3EDA" w:rsidRDefault="00583194" w:rsidP="00583194">
      <w:pPr>
        <w:spacing w:line="240" w:lineRule="auto"/>
        <w:jc w:val="both"/>
        <w:rPr>
          <w:rFonts w:ascii="Times New Roman" w:hAnsi="Times New Roman"/>
          <w:sz w:val="24"/>
          <w:szCs w:val="24"/>
        </w:rPr>
      </w:pPr>
      <w:r>
        <w:rPr>
          <w:rFonts w:ascii="Times New Roman" w:hAnsi="Times New Roman"/>
          <w:sz w:val="24"/>
          <w:szCs w:val="24"/>
        </w:rPr>
        <w:t xml:space="preserve">(Por </w:t>
      </w:r>
      <w:r w:rsidRPr="001D3EDA">
        <w:rPr>
          <w:rFonts w:ascii="Times New Roman" w:hAnsi="Times New Roman"/>
          <w:sz w:val="24"/>
          <w:szCs w:val="24"/>
        </w:rPr>
        <w:t>J</w:t>
      </w:r>
      <w:r>
        <w:rPr>
          <w:rFonts w:ascii="Times New Roman" w:hAnsi="Times New Roman"/>
          <w:sz w:val="24"/>
          <w:szCs w:val="24"/>
        </w:rPr>
        <w:t>osé María Rotellar)</w:t>
      </w:r>
    </w:p>
    <w:p w:rsidR="00583194" w:rsidRDefault="00583194" w:rsidP="00583194">
      <w:pPr>
        <w:spacing w:line="240" w:lineRule="auto"/>
        <w:jc w:val="both"/>
        <w:rPr>
          <w:rFonts w:ascii="Times New Roman" w:hAnsi="Times New Roman"/>
          <w:sz w:val="24"/>
          <w:szCs w:val="24"/>
        </w:rPr>
      </w:pPr>
      <w:r w:rsidRPr="001D3EDA">
        <w:rPr>
          <w:rFonts w:ascii="Times New Roman" w:hAnsi="Times New Roman"/>
          <w:sz w:val="24"/>
          <w:szCs w:val="24"/>
        </w:rPr>
        <w:t>El Banco Central Europeo (BCE) subió en septiembre los tipos otros 25 puntos básicos, situando el precio oficial del dinero en la zona euro en el 4,50%. Es decir, se trata de la décima subida en poco</w:t>
      </w:r>
      <w:r>
        <w:rPr>
          <w:rFonts w:ascii="Times New Roman" w:hAnsi="Times New Roman"/>
          <w:sz w:val="24"/>
          <w:szCs w:val="24"/>
        </w:rPr>
        <w:t xml:space="preserve"> más de un año -catorce meses-.</w:t>
      </w:r>
    </w:p>
    <w:p w:rsidR="00583194" w:rsidRPr="001D3EDA" w:rsidRDefault="00583194" w:rsidP="00583194">
      <w:pPr>
        <w:spacing w:line="240" w:lineRule="auto"/>
        <w:jc w:val="both"/>
        <w:rPr>
          <w:rFonts w:ascii="Times New Roman" w:hAnsi="Times New Roman"/>
          <w:sz w:val="24"/>
          <w:szCs w:val="24"/>
        </w:rPr>
      </w:pPr>
      <w:r>
        <w:rPr>
          <w:noProof/>
          <w:lang w:eastAsia="es-ES"/>
        </w:rPr>
        <w:drawing>
          <wp:inline distT="0" distB="0" distL="0" distR="0" wp14:anchorId="2DA42E0A" wp14:editId="0E86F686">
            <wp:extent cx="5727700" cy="2781300"/>
            <wp:effectExtent l="0" t="0" r="6350" b="0"/>
            <wp:docPr id="51" name="Imagen 51" descr="1-evolucion-tipo-interes-politica-monetaria-euroz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evolucion-tipo-interes-politica-monetaria-eurozona.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2783150"/>
                    </a:xfrm>
                    <a:prstGeom prst="rect">
                      <a:avLst/>
                    </a:prstGeom>
                    <a:noFill/>
                    <a:ln>
                      <a:noFill/>
                    </a:ln>
                  </pic:spPr>
                </pic:pic>
              </a:graphicData>
            </a:graphic>
          </wp:inline>
        </w:drawing>
      </w:r>
    </w:p>
    <w:p w:rsidR="00583194" w:rsidRPr="001D3EDA" w:rsidRDefault="00583194" w:rsidP="00583194">
      <w:pPr>
        <w:spacing w:line="240" w:lineRule="auto"/>
        <w:jc w:val="both"/>
        <w:rPr>
          <w:rFonts w:ascii="Times New Roman" w:hAnsi="Times New Roman"/>
          <w:sz w:val="24"/>
          <w:szCs w:val="24"/>
        </w:rPr>
      </w:pPr>
      <w:r w:rsidRPr="001D3EDA">
        <w:rPr>
          <w:rFonts w:ascii="Times New Roman" w:hAnsi="Times New Roman"/>
          <w:sz w:val="24"/>
          <w:szCs w:val="24"/>
        </w:rPr>
        <w:t>La Fed, por su parte, en su última reunión decidió no tocar los tipos, pero sí que dio a entender que habría otra subida más antes de que terminase el año. En el caso de la eurozona, es especialmente relevante que no se llevase a cabo la pausa en las subidas porque se había especulado con el hecho de si el BCE iba a hacer una parada en las subidas e incluso si iba a comenzar una rebaja de tipos en los próximos meses, por el riesgo de contracción de la economía, ante la fragilidad de la econom</w:t>
      </w:r>
      <w:r>
        <w:rPr>
          <w:rFonts w:ascii="Times New Roman" w:hAnsi="Times New Roman"/>
          <w:sz w:val="24"/>
          <w:szCs w:val="24"/>
        </w:rPr>
        <w:t>ía del conjunto de la eurozona.</w:t>
      </w:r>
    </w:p>
    <w:p w:rsidR="00583194" w:rsidRPr="001D3EDA" w:rsidRDefault="00583194" w:rsidP="00583194">
      <w:pPr>
        <w:spacing w:line="240" w:lineRule="auto"/>
        <w:jc w:val="both"/>
        <w:rPr>
          <w:rFonts w:ascii="Times New Roman" w:hAnsi="Times New Roman"/>
          <w:sz w:val="24"/>
          <w:szCs w:val="24"/>
        </w:rPr>
      </w:pPr>
      <w:r w:rsidRPr="001D3EDA">
        <w:rPr>
          <w:rFonts w:ascii="Times New Roman" w:hAnsi="Times New Roman"/>
          <w:sz w:val="24"/>
          <w:szCs w:val="24"/>
        </w:rPr>
        <w:t xml:space="preserve">De hecho, en esta última subida, si leemos la reseña de política monetaria del Consejo de Gobierno del BCE, puede comprobarse cómo una parte de los miembros del consejo abogaban por imponer esa pausa, en un episodio más de </w:t>
      </w:r>
      <w:r>
        <w:rPr>
          <w:rFonts w:ascii="Times New Roman" w:hAnsi="Times New Roman"/>
          <w:sz w:val="24"/>
          <w:szCs w:val="24"/>
        </w:rPr>
        <w:t>la lucha entre los llamados “halcones” y “palomas”</w:t>
      </w:r>
      <w:r w:rsidRPr="001D3EDA">
        <w:rPr>
          <w:rFonts w:ascii="Times New Roman" w:hAnsi="Times New Roman"/>
          <w:sz w:val="24"/>
          <w:szCs w:val="24"/>
        </w:rPr>
        <w:t>, donde estos últimos, entre los que parece encontrarse el gobernador del Banco de España, argüían que el crecimiento podía ponerse en riesgo, frente a la posición de los primeros, donde parece situarse el vicepresidente de Guindos, que abogan por no relajar el control de la estabilidad de precios, que, recordemos, es el único objetivo del BCE.</w:t>
      </w:r>
    </w:p>
    <w:p w:rsidR="00583194" w:rsidRPr="0040122D" w:rsidRDefault="00583194" w:rsidP="00583194">
      <w:pPr>
        <w:spacing w:line="240" w:lineRule="auto"/>
        <w:jc w:val="both"/>
        <w:rPr>
          <w:rFonts w:ascii="Times New Roman" w:hAnsi="Times New Roman"/>
          <w:sz w:val="24"/>
          <w:szCs w:val="24"/>
        </w:rPr>
      </w:pPr>
      <w:r w:rsidRPr="0040122D">
        <w:rPr>
          <w:rFonts w:ascii="Times New Roman" w:hAnsi="Times New Roman"/>
          <w:sz w:val="24"/>
          <w:szCs w:val="24"/>
        </w:rPr>
        <w:t>De haber relajado la contracción de su política monetaria, el BCE habría cometido un grave error, a mi juicio, por dos motivos. El primero de ellos, frenar la lucha contra la inflación, que habría empeorado la evolución de los precios, que ya muestran, actualmente, una gran resistencia a moderar su crecimiento, con una inflación subyacente muy elevada. El segundo, habría sido muy preocupante, porque con dicha elevada inflación, una relajación en la política monetaria contractiva habría podido ser interpretada por el mercado como un desistimiento de su único objetivo, que es la estabilidad de precios.</w:t>
      </w:r>
    </w:p>
    <w:p w:rsidR="00583194" w:rsidRPr="001D3EDA" w:rsidRDefault="00583194" w:rsidP="00583194">
      <w:pPr>
        <w:spacing w:line="240" w:lineRule="auto"/>
        <w:jc w:val="both"/>
        <w:rPr>
          <w:rFonts w:ascii="Times New Roman" w:hAnsi="Times New Roman"/>
          <w:sz w:val="24"/>
          <w:szCs w:val="24"/>
        </w:rPr>
      </w:pPr>
      <w:r w:rsidRPr="001D3EDA">
        <w:rPr>
          <w:rFonts w:ascii="Times New Roman" w:hAnsi="Times New Roman"/>
          <w:sz w:val="24"/>
          <w:szCs w:val="24"/>
        </w:rPr>
        <w:lastRenderedPageBreak/>
        <w:t>Es probable que al BCE, no obstante, le hubiese gustado frenar hasta estar bien seguro de que ese riesgo de contracción económica no sea excesivamente acusado, pero el problema es que se ha quedado sin tiempo por su enorme retardo interno a la hora de empezar a combatir el efecto inflacionista.</w:t>
      </w:r>
    </w:p>
    <w:p w:rsidR="00583194" w:rsidRPr="0040122D" w:rsidRDefault="00583194" w:rsidP="00583194">
      <w:pPr>
        <w:spacing w:line="240" w:lineRule="auto"/>
        <w:jc w:val="both"/>
        <w:rPr>
          <w:rFonts w:ascii="Times New Roman" w:hAnsi="Times New Roman"/>
          <w:sz w:val="24"/>
          <w:szCs w:val="24"/>
        </w:rPr>
      </w:pPr>
      <w:r w:rsidRPr="0040122D">
        <w:rPr>
          <w:rFonts w:ascii="Times New Roman" w:hAnsi="Times New Roman"/>
          <w:sz w:val="24"/>
          <w:szCs w:val="24"/>
        </w:rPr>
        <w:t>Si hubiese reaccionado a tiempo, si no hubiese perdido tantos meses repitiendo que la inflación no era más que un fenómeno transitorio, que era una inflación de oferta de los mercados de bienes -ignorando la causa real que se encuentra en la oferta de dinero- y que no tenía sentido aplicar una restricción monetaria, probablemente la inflación no se habría enroscado tan profundamente en la cadena de valor, los precios no habrían subido tanto y se habría podido corregir de manera más rápida, con menor intensidad y, por tanto, con un impacto menos negativo en el crecimiento económico.</w:t>
      </w:r>
    </w:p>
    <w:p w:rsidR="00583194" w:rsidRPr="0040122D" w:rsidRDefault="00583194" w:rsidP="00583194">
      <w:pPr>
        <w:spacing w:line="240" w:lineRule="auto"/>
        <w:jc w:val="both"/>
        <w:rPr>
          <w:rFonts w:ascii="Times New Roman" w:hAnsi="Times New Roman"/>
          <w:sz w:val="24"/>
          <w:szCs w:val="24"/>
        </w:rPr>
      </w:pPr>
      <w:r w:rsidRPr="0040122D">
        <w:rPr>
          <w:rFonts w:ascii="Times New Roman" w:hAnsi="Times New Roman"/>
          <w:sz w:val="24"/>
          <w:szCs w:val="24"/>
        </w:rPr>
        <w:t>Ahora se dará cuenta el BCE del grave error que cometió entonces, que ha llevado a la inflación a cotas muy elevadas, como no se veía desde hace décadas, que provoca que resista mucho en niveles altos y que le deja sin capacidad de recorrido.</w:t>
      </w:r>
    </w:p>
    <w:p w:rsidR="00583194" w:rsidRPr="0040122D" w:rsidRDefault="00583194" w:rsidP="00583194">
      <w:pPr>
        <w:spacing w:line="240" w:lineRule="auto"/>
        <w:jc w:val="both"/>
        <w:rPr>
          <w:rFonts w:ascii="Times New Roman" w:hAnsi="Times New Roman"/>
          <w:sz w:val="24"/>
          <w:szCs w:val="24"/>
        </w:rPr>
      </w:pPr>
      <w:r w:rsidRPr="0040122D">
        <w:rPr>
          <w:rFonts w:ascii="Times New Roman" w:hAnsi="Times New Roman"/>
          <w:sz w:val="24"/>
          <w:szCs w:val="24"/>
        </w:rPr>
        <w:t>Si el retardo externo de política monetaria dura entre doce y dieciocho meses desde que se comienza adoptar una decisión hasta que surte efecto, al haber sido mayor de lo deseado el retardo interno -tiempo que pasa desde que surge la perturbación hasta que se toma la decisión de combatirla- ese retardo externo puede prolongarse algo más, con lo que el BCE debe ser consciente de que sus decisiones todavía no se ven reflejadas por ese período de tiempo que falta.</w:t>
      </w:r>
    </w:p>
    <w:p w:rsidR="00583194" w:rsidRPr="0040122D" w:rsidRDefault="00583194" w:rsidP="00583194">
      <w:pPr>
        <w:spacing w:line="240" w:lineRule="auto"/>
        <w:jc w:val="both"/>
        <w:rPr>
          <w:rFonts w:ascii="Times New Roman" w:hAnsi="Times New Roman"/>
          <w:sz w:val="24"/>
          <w:szCs w:val="24"/>
        </w:rPr>
      </w:pPr>
      <w:r w:rsidRPr="0040122D">
        <w:rPr>
          <w:rFonts w:ascii="Times New Roman" w:hAnsi="Times New Roman"/>
          <w:sz w:val="24"/>
          <w:szCs w:val="24"/>
        </w:rPr>
        <w:t>Con la inflación de la eurozona muy alta, con la subyacente extremadamente elevada, el BCE no puede relajarse o provocará un daño todavía mayor a la economía. De hecho, debe comenzar a disminuir su balance para que el propio mercado monetario vaya adecuando la disminución monetaria a la subida de tipos.</w:t>
      </w:r>
    </w:p>
    <w:p w:rsidR="00583194" w:rsidRDefault="00583194" w:rsidP="00583194">
      <w:pPr>
        <w:spacing w:line="240" w:lineRule="auto"/>
        <w:jc w:val="both"/>
        <w:rPr>
          <w:rFonts w:ascii="Times New Roman" w:hAnsi="Times New Roman"/>
          <w:sz w:val="24"/>
          <w:szCs w:val="24"/>
          <w:u w:val="single"/>
        </w:rPr>
      </w:pPr>
      <w:r w:rsidRPr="001D3EDA">
        <w:rPr>
          <w:rFonts w:ascii="Times New Roman" w:hAnsi="Times New Roman"/>
          <w:sz w:val="24"/>
          <w:szCs w:val="24"/>
        </w:rPr>
        <w:t xml:space="preserve">Es verdad que la M3 -el agregado monetario más amplio- ha empezado a contraerse en términos anuales, pero todavía no ha culminado todo su recorrido para lograr embridar el crecimiento de los precios. Se está acelerando su disminución, pero sin embridar todavía los precios, </w:t>
      </w:r>
      <w:r w:rsidRPr="0040122D">
        <w:rPr>
          <w:rFonts w:ascii="Times New Roman" w:hAnsi="Times New Roman"/>
          <w:sz w:val="24"/>
          <w:szCs w:val="24"/>
        </w:rPr>
        <w:t>relajar la política monetaria sería un error, que pondría en riesgo lo avanzado hasta el momento.</w:t>
      </w:r>
    </w:p>
    <w:p w:rsidR="00583194" w:rsidRPr="009F5E0B" w:rsidRDefault="00583194" w:rsidP="00583194">
      <w:pPr>
        <w:spacing w:line="240" w:lineRule="auto"/>
        <w:jc w:val="both"/>
        <w:rPr>
          <w:rFonts w:ascii="Times New Roman" w:hAnsi="Times New Roman"/>
          <w:sz w:val="24"/>
          <w:szCs w:val="24"/>
          <w:u w:val="single"/>
        </w:rPr>
      </w:pPr>
      <w:r>
        <w:rPr>
          <w:noProof/>
          <w:lang w:eastAsia="es-ES"/>
        </w:rPr>
        <w:drawing>
          <wp:inline distT="0" distB="0" distL="0" distR="0" wp14:anchorId="6AAC31B1" wp14:editId="6AFB4A49">
            <wp:extent cx="5734049" cy="2959100"/>
            <wp:effectExtent l="0" t="0" r="635" b="0"/>
            <wp:docPr id="52" name="Imagen 52" descr="2-evolucion-m3-zona-eu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evolucion-m3-zona-euro.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4049" cy="2959100"/>
                    </a:xfrm>
                    <a:prstGeom prst="rect">
                      <a:avLst/>
                    </a:prstGeom>
                    <a:noFill/>
                    <a:ln>
                      <a:noFill/>
                    </a:ln>
                  </pic:spPr>
                </pic:pic>
              </a:graphicData>
            </a:graphic>
          </wp:inline>
        </w:drawing>
      </w:r>
    </w:p>
    <w:p w:rsidR="00583194" w:rsidRPr="0040122D" w:rsidRDefault="00583194" w:rsidP="00583194">
      <w:pPr>
        <w:spacing w:line="240" w:lineRule="auto"/>
        <w:jc w:val="both"/>
        <w:rPr>
          <w:rFonts w:ascii="Times New Roman" w:hAnsi="Times New Roman"/>
          <w:sz w:val="24"/>
          <w:szCs w:val="24"/>
        </w:rPr>
      </w:pPr>
      <w:r w:rsidRPr="0040122D">
        <w:rPr>
          <w:rFonts w:ascii="Times New Roman" w:hAnsi="Times New Roman"/>
          <w:sz w:val="24"/>
          <w:szCs w:val="24"/>
        </w:rPr>
        <w:lastRenderedPageBreak/>
        <w:t>Por tanto, el BCE debe mantener la lucha contra la inflación sin dudar, pues la subida de precios es uno de los elementos más perjudiciales que hay para la economía, que merma competitividad a las empresas, hace perder poder adquisitivo a las familias y empobrece, en suma, a toda la sociedad, especialmente a las rentas más bajas, debido a su mayor propensión marginal a consumir, que hace que, además, el incremento de impuestos pagados debido a la inflación en proporción a la renta sea mayor que en el caso del resto de ciudadanos.</w:t>
      </w:r>
    </w:p>
    <w:p w:rsidR="00583194" w:rsidRPr="001D3EDA" w:rsidRDefault="00583194" w:rsidP="00583194">
      <w:pPr>
        <w:spacing w:line="240" w:lineRule="auto"/>
        <w:jc w:val="both"/>
        <w:rPr>
          <w:rFonts w:ascii="Times New Roman" w:hAnsi="Times New Roman"/>
          <w:sz w:val="24"/>
          <w:szCs w:val="24"/>
        </w:rPr>
      </w:pPr>
      <w:r w:rsidRPr="001D3EDA">
        <w:rPr>
          <w:rFonts w:ascii="Times New Roman" w:hAnsi="Times New Roman"/>
          <w:sz w:val="24"/>
          <w:szCs w:val="24"/>
        </w:rPr>
        <w:t>En la relajación de los precios, ayudaría, y mucho, que el sector público redujese el gasto para no interferir en la transmisión correcta de la política monetaria del BCE. Eso es algo que debería aplicarse especialmente el gobierno español, que es el que con más intensidad incrementa el gasto público y que, al hacerlo, entorpece que la política monetaria del banco emisor pueda tener un efecto más rápido y certero.</w:t>
      </w:r>
    </w:p>
    <w:p w:rsidR="00583194" w:rsidRDefault="00583194" w:rsidP="00583194">
      <w:pPr>
        <w:spacing w:line="240" w:lineRule="auto"/>
        <w:jc w:val="both"/>
        <w:rPr>
          <w:rFonts w:ascii="Times New Roman" w:hAnsi="Times New Roman"/>
          <w:sz w:val="24"/>
          <w:szCs w:val="24"/>
        </w:rPr>
      </w:pPr>
      <w:r w:rsidRPr="001D3EDA">
        <w:rPr>
          <w:rFonts w:ascii="Times New Roman" w:hAnsi="Times New Roman"/>
          <w:sz w:val="24"/>
          <w:szCs w:val="24"/>
        </w:rPr>
        <w:t>Por todo ello, el BCE no debe relajar su política monetaria, porque si lo hace la inflación tardará todavía más en bajar, generando un problema de precios</w:t>
      </w:r>
      <w:r>
        <w:rPr>
          <w:rFonts w:ascii="Times New Roman" w:hAnsi="Times New Roman"/>
          <w:sz w:val="24"/>
          <w:szCs w:val="24"/>
        </w:rPr>
        <w:t>,</w:t>
      </w:r>
      <w:r w:rsidRPr="001D3EDA">
        <w:rPr>
          <w:rFonts w:ascii="Times New Roman" w:hAnsi="Times New Roman"/>
          <w:sz w:val="24"/>
          <w:szCs w:val="24"/>
        </w:rPr>
        <w:t xml:space="preserve"> todavía mayor al actual, afectando a la economía y al empleo, de manera que podría llevarnos a una peligrosa estanflación. La disminución del agregado monetario ha comenzado a intensificarse, pero no puede quedar truncado a medio camino, o el problema, en lugar de solucionarse, se enquistará.</w:t>
      </w:r>
    </w:p>
    <w:p w:rsidR="00583194" w:rsidRPr="00583194" w:rsidRDefault="00583194" w:rsidP="00583194">
      <w:pPr>
        <w:spacing w:line="240" w:lineRule="auto"/>
        <w:jc w:val="both"/>
        <w:rPr>
          <w:rFonts w:ascii="Times New Roman" w:hAnsi="Times New Roman"/>
          <w:b/>
          <w:sz w:val="24"/>
          <w:szCs w:val="24"/>
        </w:rPr>
      </w:pPr>
      <w:r w:rsidRPr="00583194">
        <w:rPr>
          <w:rFonts w:ascii="Times New Roman" w:hAnsi="Times New Roman"/>
          <w:b/>
          <w:sz w:val="24"/>
          <w:szCs w:val="24"/>
        </w:rPr>
        <w:t>La pregunta</w:t>
      </w:r>
      <w:r w:rsidR="00320767">
        <w:rPr>
          <w:rFonts w:ascii="Times New Roman" w:hAnsi="Times New Roman"/>
          <w:b/>
          <w:sz w:val="24"/>
          <w:szCs w:val="24"/>
        </w:rPr>
        <w:t>,</w:t>
      </w:r>
      <w:r w:rsidRPr="00583194">
        <w:rPr>
          <w:rFonts w:ascii="Times New Roman" w:hAnsi="Times New Roman"/>
          <w:b/>
          <w:sz w:val="24"/>
          <w:szCs w:val="24"/>
        </w:rPr>
        <w:t xml:space="preserve"> “políticamente incorrecta”</w:t>
      </w:r>
      <w:r w:rsidR="00320767">
        <w:rPr>
          <w:rFonts w:ascii="Times New Roman" w:hAnsi="Times New Roman"/>
          <w:b/>
          <w:sz w:val="24"/>
          <w:szCs w:val="24"/>
        </w:rPr>
        <w:t>,</w:t>
      </w:r>
      <w:r w:rsidRPr="00583194">
        <w:rPr>
          <w:rFonts w:ascii="Times New Roman" w:hAnsi="Times New Roman"/>
          <w:b/>
          <w:sz w:val="24"/>
          <w:szCs w:val="24"/>
        </w:rPr>
        <w:t xml:space="preserve"> de la Reina Isabel II</w:t>
      </w:r>
    </w:p>
    <w:p w:rsidR="00583194" w:rsidRPr="00320767" w:rsidRDefault="00583194" w:rsidP="00583194">
      <w:pPr>
        <w:spacing w:line="240" w:lineRule="auto"/>
        <w:jc w:val="both"/>
        <w:rPr>
          <w:rFonts w:ascii="Times New Roman" w:hAnsi="Times New Roman"/>
          <w:sz w:val="24"/>
          <w:szCs w:val="24"/>
        </w:rPr>
      </w:pPr>
      <w:r w:rsidRPr="00320767">
        <w:rPr>
          <w:rFonts w:ascii="Times New Roman" w:hAnsi="Times New Roman"/>
          <w:sz w:val="24"/>
          <w:szCs w:val="24"/>
        </w:rPr>
        <w:t>“¿Por qué nadie lo vio venir?”. Esa fue la famosa pregunta que la reina Isabel de Inglaterra planteó a los economistas en noviembre de 2008, tras seis semanas de la mayor crisis financiera de la historia.</w:t>
      </w:r>
    </w:p>
    <w:p w:rsidR="00583194" w:rsidRPr="00320767" w:rsidRDefault="00583194" w:rsidP="00583194">
      <w:pPr>
        <w:spacing w:line="240" w:lineRule="auto"/>
        <w:jc w:val="both"/>
        <w:rPr>
          <w:rFonts w:ascii="Times New Roman" w:hAnsi="Times New Roman"/>
          <w:sz w:val="24"/>
          <w:szCs w:val="24"/>
        </w:rPr>
      </w:pPr>
      <w:r w:rsidRPr="00320767">
        <w:rPr>
          <w:rFonts w:ascii="Times New Roman" w:hAnsi="Times New Roman"/>
          <w:sz w:val="24"/>
          <w:szCs w:val="24"/>
        </w:rPr>
        <w:t>Ahora ese interrogante sería aplicable a la inflación: ¿Por nadie la vio venir?</w:t>
      </w:r>
    </w:p>
    <w:p w:rsidR="00583194" w:rsidRPr="00320767" w:rsidRDefault="00583194" w:rsidP="00583194">
      <w:pPr>
        <w:spacing w:line="240" w:lineRule="auto"/>
        <w:jc w:val="both"/>
        <w:rPr>
          <w:rFonts w:ascii="Times New Roman" w:hAnsi="Times New Roman"/>
          <w:sz w:val="24"/>
          <w:szCs w:val="24"/>
        </w:rPr>
      </w:pPr>
      <w:r w:rsidRPr="00320767">
        <w:rPr>
          <w:rFonts w:ascii="Times New Roman" w:hAnsi="Times New Roman"/>
          <w:sz w:val="24"/>
          <w:szCs w:val="24"/>
        </w:rPr>
        <w:t>En aquella ocasión, la respuesta era obvia. Los principales bancos centrales habían pasado las dos décadas anteriores centrados en la baja inflación, descuidando los riesgos para la estabilidad financiera.</w:t>
      </w:r>
    </w:p>
    <w:p w:rsidR="00583194" w:rsidRPr="00320767" w:rsidRDefault="00583194" w:rsidP="00583194">
      <w:pPr>
        <w:spacing w:line="240" w:lineRule="auto"/>
        <w:jc w:val="both"/>
        <w:rPr>
          <w:rFonts w:ascii="Times New Roman" w:hAnsi="Times New Roman"/>
          <w:sz w:val="24"/>
          <w:szCs w:val="24"/>
        </w:rPr>
      </w:pPr>
      <w:r w:rsidRPr="00320767">
        <w:rPr>
          <w:rFonts w:ascii="Times New Roman" w:hAnsi="Times New Roman"/>
          <w:sz w:val="24"/>
          <w:szCs w:val="24"/>
        </w:rPr>
        <w:t>La monarca británica, fallecida hace un año, ya no puede poner en aprietos a los expertos. Pero su pregunta ha vuelto con fuerza. Esta vez, es más difícil de esquivar, ya que lo que los responsables políticos no vieron venir fue el resurgimiento de la propia inflación, el mismo fenómeno que se supone que los bancos centrales modernos deben mantener bajo control.</w:t>
      </w:r>
    </w:p>
    <w:p w:rsidR="00583194" w:rsidRPr="00320767" w:rsidRDefault="00583194" w:rsidP="00583194">
      <w:pPr>
        <w:spacing w:line="240" w:lineRule="auto"/>
        <w:jc w:val="both"/>
        <w:rPr>
          <w:rFonts w:ascii="Times New Roman" w:hAnsi="Times New Roman"/>
          <w:sz w:val="24"/>
          <w:szCs w:val="24"/>
        </w:rPr>
      </w:pPr>
      <w:r w:rsidRPr="00320767">
        <w:rPr>
          <w:rFonts w:ascii="Times New Roman" w:hAnsi="Times New Roman"/>
          <w:sz w:val="24"/>
          <w:szCs w:val="24"/>
        </w:rPr>
        <w:t>La explicación dominante de la evolución de los precios se basa en la famosa curva de Phillips. En este modelo económico de olla a presión, la inflación es el resultado de desequilibrios en la oferta y la demanda agregadas. Si la economía se recalienta, el nivel de precios tiende a subir. Si se fuerza el enfriamiento de la demanda, las presiones sobre los precios también disminuyen.</w:t>
      </w:r>
    </w:p>
    <w:p w:rsidR="00583194" w:rsidRPr="00320767" w:rsidRDefault="00583194" w:rsidP="00583194">
      <w:pPr>
        <w:spacing w:line="240" w:lineRule="auto"/>
        <w:jc w:val="both"/>
        <w:rPr>
          <w:rFonts w:ascii="Times New Roman" w:hAnsi="Times New Roman"/>
          <w:sz w:val="24"/>
          <w:szCs w:val="24"/>
        </w:rPr>
      </w:pPr>
      <w:r w:rsidRPr="00320767">
        <w:rPr>
          <w:rFonts w:ascii="Times New Roman" w:hAnsi="Times New Roman"/>
          <w:sz w:val="24"/>
          <w:szCs w:val="24"/>
        </w:rPr>
        <w:t>Este marco simple e intuitivo funcionó razonablemente bien durante 30 años. Sin embargo, fracasó en 2021, cuando llevó a los responsables políticos a predecir que la subida de los precios tras la pandemia sería leve y breve. Dos críticas principales a este enfoque han dominado desde entonces los círculos de la banca central.</w:t>
      </w:r>
    </w:p>
    <w:p w:rsidR="00583194" w:rsidRPr="00320767" w:rsidRDefault="00583194" w:rsidP="00583194">
      <w:pPr>
        <w:spacing w:line="240" w:lineRule="auto"/>
        <w:jc w:val="both"/>
        <w:rPr>
          <w:rFonts w:ascii="Times New Roman" w:hAnsi="Times New Roman"/>
          <w:sz w:val="24"/>
          <w:szCs w:val="24"/>
        </w:rPr>
      </w:pPr>
      <w:r w:rsidRPr="00320767">
        <w:rPr>
          <w:rFonts w:ascii="Times New Roman" w:hAnsi="Times New Roman"/>
          <w:sz w:val="24"/>
          <w:szCs w:val="24"/>
        </w:rPr>
        <w:t>La primera es que la curva de Phillips ofrece escasa orientación práctica cuando los precios se desestabilizan por perturbaciones de la oferta, en lugar de la demanda. Las inmensas perturbaciones provocadas por el Covid, la subida de los precios de la energía tras la invasión de Ucrania y el retroceso de tres décadas de liberalización del comercio han hecho saltar por los aires esa hipótesis.</w:t>
      </w:r>
    </w:p>
    <w:p w:rsidR="00583194" w:rsidRPr="00320767" w:rsidRDefault="00583194" w:rsidP="00583194">
      <w:pPr>
        <w:spacing w:line="240" w:lineRule="auto"/>
        <w:jc w:val="both"/>
        <w:rPr>
          <w:rFonts w:ascii="Times New Roman" w:hAnsi="Times New Roman"/>
          <w:sz w:val="24"/>
          <w:szCs w:val="24"/>
        </w:rPr>
      </w:pPr>
      <w:r w:rsidRPr="00320767">
        <w:rPr>
          <w:rFonts w:ascii="Times New Roman" w:hAnsi="Times New Roman"/>
          <w:sz w:val="24"/>
          <w:szCs w:val="24"/>
        </w:rPr>
        <w:lastRenderedPageBreak/>
        <w:t>La segunda alternativa resurgente a la explicación dominante de la inflación procede de la venerable teoría monetarista. Esta sostiene que el desequilibrio relevante es un desajuste entre la oferta y la demanda de dinero. Los bancos centrales deberían dejar de preocuparse por conceptos empíricamente elusivos como la brecha entre el producto potencial y el real, y centrarse, en cambio, en vigilar y manipular la cantidad de dinero en circulación.</w:t>
      </w:r>
    </w:p>
    <w:p w:rsidR="00583194" w:rsidRPr="00320767" w:rsidRDefault="00583194" w:rsidP="00583194">
      <w:pPr>
        <w:spacing w:line="240" w:lineRule="auto"/>
        <w:jc w:val="both"/>
        <w:rPr>
          <w:rFonts w:ascii="Times New Roman" w:hAnsi="Times New Roman"/>
          <w:sz w:val="24"/>
          <w:szCs w:val="24"/>
        </w:rPr>
      </w:pPr>
      <w:r w:rsidRPr="00320767">
        <w:rPr>
          <w:rFonts w:ascii="Times New Roman" w:hAnsi="Times New Roman"/>
          <w:sz w:val="24"/>
          <w:szCs w:val="24"/>
        </w:rPr>
        <w:t>A la hora de explicar el actual estallido inflacionista, los monetaristas parecen tener razón. En 2021, cuando la curva de Phillips estaba dormida al volante, el crecimiento de la masa monetaria parpadeaba en rojo. Si los bancos centrales hubieran prestado más atención a los agregados monetarios, podrían haber reaccionado antes.</w:t>
      </w:r>
    </w:p>
    <w:p w:rsidR="00583194" w:rsidRDefault="00583194" w:rsidP="00583194">
      <w:pPr>
        <w:spacing w:line="240" w:lineRule="auto"/>
        <w:jc w:val="both"/>
        <w:rPr>
          <w:rFonts w:ascii="Times New Roman" w:hAnsi="Times New Roman"/>
          <w:b/>
          <w:sz w:val="24"/>
          <w:szCs w:val="24"/>
        </w:rPr>
      </w:pPr>
      <w:r w:rsidRPr="00A60456">
        <w:rPr>
          <w:rFonts w:ascii="Times New Roman" w:hAnsi="Times New Roman"/>
          <w:b/>
          <w:sz w:val="24"/>
          <w:szCs w:val="24"/>
        </w:rPr>
        <w:t>Nota</w:t>
      </w:r>
      <w:r w:rsidRPr="00ED1AE8">
        <w:rPr>
          <w:rFonts w:ascii="Times New Roman" w:hAnsi="Times New Roman"/>
          <w:sz w:val="24"/>
          <w:szCs w:val="24"/>
        </w:rPr>
        <w:t xml:space="preserve">: El Banco de Inglaterra es la primera gran autoridad monetaria que aborda la cuestión de frente. A finales de julio (2023), nombró a Ben Bernanke, expresidente de la Fed, para que hiciera una revisión de sus modelos y previsiones internos. (Félix Martín - Cinco Días - </w:t>
      </w:r>
      <w:r w:rsidRPr="00ED1AE8">
        <w:rPr>
          <w:rFonts w:ascii="Times New Roman" w:hAnsi="Times New Roman"/>
          <w:b/>
          <w:sz w:val="24"/>
          <w:szCs w:val="24"/>
        </w:rPr>
        <w:t>9/11/23)</w:t>
      </w:r>
    </w:p>
    <w:p w:rsidR="00583194" w:rsidRDefault="00583194" w:rsidP="00583194">
      <w:pPr>
        <w:spacing w:line="240" w:lineRule="auto"/>
        <w:jc w:val="both"/>
        <w:rPr>
          <w:rFonts w:ascii="Times New Roman" w:hAnsi="Times New Roman"/>
          <w:sz w:val="24"/>
          <w:szCs w:val="24"/>
        </w:rPr>
      </w:pPr>
      <w:r>
        <w:rPr>
          <w:rFonts w:ascii="Times New Roman" w:hAnsi="Times New Roman"/>
          <w:b/>
          <w:sz w:val="24"/>
          <w:szCs w:val="24"/>
        </w:rPr>
        <w:t xml:space="preserve">Comentario a la Nota: </w:t>
      </w:r>
      <w:r>
        <w:rPr>
          <w:rFonts w:ascii="Times New Roman" w:hAnsi="Times New Roman"/>
          <w:sz w:val="24"/>
          <w:szCs w:val="24"/>
        </w:rPr>
        <w:t xml:space="preserve">resulta cuanto menos sorprendente (por no decir surrealista), que sea al principal teórico y defensor del Quantitative Easing (el piloto del helicóptero monetario, </w:t>
      </w:r>
      <w:r w:rsidRPr="00A60456">
        <w:rPr>
          <w:rFonts w:ascii="Times New Roman" w:hAnsi="Times New Roman"/>
          <w:sz w:val="24"/>
          <w:szCs w:val="24"/>
        </w:rPr>
        <w:t>el heterodoxo “socializador” de las pérdidas del sistema financiero</w:t>
      </w:r>
      <w:r>
        <w:rPr>
          <w:rFonts w:ascii="Times New Roman" w:hAnsi="Times New Roman"/>
          <w:sz w:val="24"/>
          <w:szCs w:val="24"/>
        </w:rPr>
        <w:t>), al que pidan opinión.</w:t>
      </w:r>
    </w:p>
    <w:p w:rsidR="00583194" w:rsidRDefault="00583194" w:rsidP="00583194">
      <w:pPr>
        <w:jc w:val="both"/>
        <w:rPr>
          <w:rFonts w:ascii="Times New Roman" w:hAnsi="Times New Roman"/>
          <w:sz w:val="24"/>
          <w:szCs w:val="24"/>
        </w:rPr>
      </w:pPr>
      <w:r>
        <w:rPr>
          <w:rFonts w:ascii="Times New Roman" w:hAnsi="Times New Roman"/>
          <w:sz w:val="24"/>
          <w:szCs w:val="24"/>
        </w:rPr>
        <w:t xml:space="preserve">¿Llaman al bombero </w:t>
      </w:r>
      <w:r w:rsidR="003A3508">
        <w:rPr>
          <w:rFonts w:ascii="Times New Roman" w:hAnsi="Times New Roman"/>
          <w:sz w:val="24"/>
          <w:szCs w:val="24"/>
        </w:rPr>
        <w:t>pirómano</w:t>
      </w:r>
      <w:r>
        <w:rPr>
          <w:rFonts w:ascii="Times New Roman" w:hAnsi="Times New Roman"/>
          <w:sz w:val="24"/>
          <w:szCs w:val="24"/>
        </w:rPr>
        <w:t xml:space="preserve"> a hacer el forensic del incendio? ¿Llaman al zorro a investigar quién se comió las gallinas? ¿</w:t>
      </w:r>
      <w:r w:rsidRPr="00FF1727">
        <w:rPr>
          <w:rFonts w:ascii="Times New Roman" w:hAnsi="Times New Roman"/>
          <w:sz w:val="24"/>
          <w:szCs w:val="24"/>
        </w:rPr>
        <w:t>Del conundrum de Greenspan al conundrum de Bernanke</w:t>
      </w:r>
      <w:r>
        <w:rPr>
          <w:rFonts w:ascii="Times New Roman" w:hAnsi="Times New Roman"/>
          <w:sz w:val="24"/>
          <w:szCs w:val="24"/>
        </w:rPr>
        <w:t xml:space="preserve">? </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t>El presidente de la Reserva Federal, Ben Bernanke, explicaba en el Washington Post (</w:t>
      </w:r>
      <w:r w:rsidRPr="00320767">
        <w:rPr>
          <w:rFonts w:ascii="Times New Roman" w:eastAsia="Times New Roman" w:hAnsi="Times New Roman"/>
          <w:b/>
          <w:sz w:val="24"/>
          <w:szCs w:val="24"/>
          <w:lang w:eastAsia="es-ES"/>
        </w:rPr>
        <w:t>14/11/10</w:t>
      </w:r>
      <w:r w:rsidRPr="00320767">
        <w:rPr>
          <w:rFonts w:ascii="Times New Roman" w:eastAsia="Times New Roman" w:hAnsi="Times New Roman"/>
          <w:sz w:val="24"/>
          <w:szCs w:val="24"/>
          <w:lang w:eastAsia="es-ES"/>
        </w:rPr>
        <w:t>): “Los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producirá mayores rentas y beneficios que, en un círculo virtual, darán un mayor soporte a la expansión económica”… Sólo le faltó decir: Y si el “círculo virtual” no se cierra, que Dios (o Yahveh, en su caso) y la Patria, me lo demanden.</w:t>
      </w:r>
    </w:p>
    <w:p w:rsidR="00583194" w:rsidRPr="00320767" w:rsidRDefault="00583194" w:rsidP="00583194">
      <w:pPr>
        <w:spacing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t>Algunas reflexiones (oportunas) de</w:t>
      </w:r>
      <w:r w:rsidR="003A3508">
        <w:rPr>
          <w:rFonts w:ascii="Times New Roman" w:eastAsia="Times New Roman" w:hAnsi="Times New Roman"/>
          <w:sz w:val="24"/>
          <w:szCs w:val="24"/>
          <w:lang w:eastAsia="es-ES"/>
        </w:rPr>
        <w:t>l libro</w:t>
      </w:r>
      <w:r w:rsidRPr="00320767">
        <w:rPr>
          <w:rFonts w:ascii="Times New Roman" w:eastAsia="Times New Roman" w:hAnsi="Times New Roman"/>
          <w:sz w:val="24"/>
          <w:szCs w:val="24"/>
          <w:lang w:eastAsia="es-ES"/>
        </w:rPr>
        <w:t xml:space="preserve"> “Manias, panics and crashes”: “La labor del prestamista de último recurso ante una debacle está plagada de ambigüedades y dilemas. (...) En estas circunstancias, más que una ciencia la intervención se convierte en un arte”. </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t xml:space="preserve">“La evolución del “Arte del banquero central” durante los últimos doscientos años tiene como seña de identidad la evolución del concepto de prestamista de último recurso”.  </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t>“El prestamista de último recurso está listo para frenar una estampida (…) proporcionando tanto dinero como sea necesario”.</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t>“¿Con cuánto dinero? ¿Para quién? ¿En qué condiciones? ¿Cuándo? Estas preguntas acechan al prestamista de último recurso, que afronta el dilema de que los inversores piensen que los bancos y otros privilegiados acreedores recibirán apoyo en caso de dificultades, lo que reducirá su prudencia en el siguiente boom”.</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lastRenderedPageBreak/>
        <w:t xml:space="preserve">“Sin embargo, si en medio del pánico la estampida no se frena (…) la venta de activos para minimizar pérdidas puede llevar a la bancarrota a un gran número de empresas, que hasta entonces eran solventes y estaban bien capitalizadas”. </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t xml:space="preserve">“Los argumentos en contra del prestamista de último recurso han sido continuos. (…) El más tajante fue de Herbert Spencer. “Proteger al hombre de los efectos de su locura lo único que consigue es llenar el mundo de locos”. Un punto de vista comprensible en una era Darwiniana”. </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t xml:space="preserve">“Los bancos centrales suelen tener normas. Cuando no se pueden romper con facilidad, a menudo surgen problemas. También hay problemas cuando las normas se rompen con demasiada facilidad”.  </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t xml:space="preserve">“'Demasiado poco, demasiado tarde’ es una de las frases más tristes en la jerga de los bancos centrales y de cualquier actividad. Pero ¿cuánto es bastante? Y ¿cuándo es el momento adecuado?”. </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t>“La gestión del tiempo es un arte. Eso no dice nada y lo dice todo”…</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hAnsi="Times New Roman"/>
          <w:sz w:val="24"/>
          <w:szCs w:val="24"/>
        </w:rPr>
        <w:t>Comentario sobre la crisis financiera del año 2008, de Muhammad Yunus, Presidente del Banco Grameen y Nobel de la Paz:</w:t>
      </w:r>
      <w:r w:rsidRPr="00320767">
        <w:rPr>
          <w:rFonts w:ascii="Times New Roman" w:eastAsia="Times New Roman" w:hAnsi="Times New Roman"/>
          <w:sz w:val="24"/>
          <w:szCs w:val="24"/>
          <w:lang w:eastAsia="es-ES"/>
        </w:rPr>
        <w:t xml:space="preserve"> </w:t>
      </w:r>
      <w:r w:rsidRPr="00320767">
        <w:rPr>
          <w:rFonts w:ascii="Times New Roman" w:hAnsi="Times New Roman"/>
          <w:sz w:val="24"/>
          <w:szCs w:val="24"/>
        </w:rPr>
        <w:t xml:space="preserve">“Los bancos convencionales han perdido mucho, y ahora están en el proceso de depreciarse en cientos de miles de millones de dólares, que es mucho dinero. Y mientras discutimos sobre esto, y hablamos de la ralentización de la economía a causa de los problemas del sector bancario, nadie se ha hecho la pregunta de ¿quién es el responsable de esto? No se ha hecho ninguna investigación, no se ha escrito ningún editorial. Si un empleado mediano comete un error y pierde dinero, se hacen muchas investigaciones, pero por cientos de miles de millones nadie hace nada. La gente responsable de esto está probablemente jugando al golf, y no les importa. Sus salarios no se han visto afectados. Pero, eso sí, nadie le deja dinero a una mujer pobre por si no lo puede devolver”… </w:t>
      </w:r>
    </w:p>
    <w:p w:rsidR="00583194" w:rsidRPr="00320767" w:rsidRDefault="00583194" w:rsidP="00583194">
      <w:pPr>
        <w:pStyle w:val="times"/>
        <w:jc w:val="both"/>
      </w:pPr>
      <w:r w:rsidRPr="00320767">
        <w:t xml:space="preserve">El año 2008 fue un “Katrina” financiero. Imprevisión, frivolidad, indiferencia, incapacidad de los gestores, corrupción, distinta actitud con los ricos y con los pobres, falta de información (transparencia), incorrecta evaluación de los daños… Una derrota sin culpables. </w:t>
      </w:r>
    </w:p>
    <w:p w:rsidR="00583194" w:rsidRPr="00320767" w:rsidRDefault="00583194" w:rsidP="00583194">
      <w:pPr>
        <w:pStyle w:val="times"/>
        <w:jc w:val="both"/>
      </w:pPr>
      <w:r w:rsidRPr="00320767">
        <w:t>Varios años después 2023… casi todo, sigue igual, y otro “Katrina” (esta vez inflacionario) ha llegado… los diques estallan, todo se inunda y los pobres “vuelven” a joderse… Como varios años “antes”, habrá otra “derrota” sin culpables.</w:t>
      </w:r>
    </w:p>
    <w:p w:rsidR="00583194" w:rsidRPr="00320767" w:rsidRDefault="00583194" w:rsidP="00583194">
      <w:pPr>
        <w:pStyle w:val="times"/>
        <w:jc w:val="both"/>
      </w:pPr>
      <w:r w:rsidRPr="00320767">
        <w:t>Liberalismo asimétrico. La economía especulativa versus la economía real. El fracaso de la economía apalancada. Privatización de las ganancias y socialización de las pérdidas. Si yo gano, gano yo; si yo pierdo, pierdes tú. Cómo lograr que el que se joda sea el vecino.</w:t>
      </w:r>
    </w:p>
    <w:p w:rsidR="00583194" w:rsidRPr="00320767" w:rsidRDefault="00583194" w:rsidP="00583194">
      <w:pPr>
        <w:pStyle w:val="times"/>
        <w:jc w:val="both"/>
      </w:pPr>
      <w:r w:rsidRPr="00320767">
        <w:t>Cómo estará el percal, para que llamen a Bernanke a explicar lo inexplicable. ¿Podrá negar (otra vez) la evidencia? Que los “vigilantes de la playa” abrieron los grifos -olvidándose de la inflación proclamada- con el pretexto del Covid (una suerte de rescate por parte de los bancos centrales para poder compensar el cierre de las economías por las cuarentenas que se habían decretado). Que fluya el dinero… la inflación, puede esperar… la ortodoxia económica</w:t>
      </w:r>
      <w:r w:rsidR="006C39FE" w:rsidRPr="00320767">
        <w:t>, también… Se volvieron</w:t>
      </w:r>
      <w:r w:rsidRPr="00320767">
        <w:t xml:space="preserve"> a tirar los dados</w:t>
      </w:r>
      <w:r w:rsidR="006C39FE" w:rsidRPr="00320767">
        <w:t>…</w:t>
      </w:r>
      <w:r w:rsidRPr="00320767">
        <w:t xml:space="preserve"> El “riesgo moral”… ¿qué es el “riesgo moral”?</w:t>
      </w:r>
    </w:p>
    <w:p w:rsidR="00583194" w:rsidRPr="00320767" w:rsidRDefault="00583194" w:rsidP="00583194">
      <w:pPr>
        <w:pStyle w:val="times"/>
        <w:jc w:val="both"/>
      </w:pPr>
    </w:p>
    <w:p w:rsidR="00583194" w:rsidRPr="006C39FE" w:rsidRDefault="0034097D" w:rsidP="00583194">
      <w:pPr>
        <w:pStyle w:val="times"/>
        <w:jc w:val="both"/>
      </w:pPr>
      <w:r>
        <w:rPr>
          <w:b/>
        </w:rPr>
        <w:lastRenderedPageBreak/>
        <w:t xml:space="preserve">- </w:t>
      </w:r>
      <w:r w:rsidR="00583194" w:rsidRPr="006C39FE">
        <w:rPr>
          <w:b/>
        </w:rPr>
        <w:t>La</w:t>
      </w:r>
      <w:r>
        <w:rPr>
          <w:b/>
        </w:rPr>
        <w:t xml:space="preserve"> socialización de las pérdidas de los “global players”, y</w:t>
      </w:r>
      <w:r w:rsidR="00583194" w:rsidRPr="006C39FE">
        <w:rPr>
          <w:b/>
        </w:rPr>
        <w:t xml:space="preserve"> los “paganinis” de la fiesta</w:t>
      </w:r>
    </w:p>
    <w:p w:rsidR="00583194" w:rsidRPr="007A0E78" w:rsidRDefault="00583194" w:rsidP="00583194">
      <w:pPr>
        <w:spacing w:line="240" w:lineRule="auto"/>
        <w:jc w:val="both"/>
        <w:rPr>
          <w:rFonts w:ascii="Times New Roman" w:hAnsi="Times New Roman" w:cs="Times New Roman"/>
          <w:b/>
          <w:color w:val="FF0000"/>
          <w:sz w:val="24"/>
          <w:szCs w:val="24"/>
        </w:rPr>
      </w:pPr>
    </w:p>
    <w:p w:rsidR="00583194" w:rsidRDefault="00583194" w:rsidP="00583194">
      <w:pPr>
        <w:spacing w:line="240" w:lineRule="auto"/>
        <w:jc w:val="both"/>
        <w:rPr>
          <w:rFonts w:ascii="Times New Roman" w:hAnsi="Times New Roman" w:cs="Times New Roman"/>
          <w:sz w:val="24"/>
          <w:szCs w:val="24"/>
        </w:rPr>
      </w:pPr>
      <w:r>
        <w:rPr>
          <w:noProof/>
          <w:lang w:eastAsia="es-ES"/>
        </w:rPr>
        <w:drawing>
          <wp:inline distT="0" distB="0" distL="0" distR="0" wp14:anchorId="455DBD71" wp14:editId="383979AF">
            <wp:extent cx="5727700" cy="6502400"/>
            <wp:effectExtent l="0" t="0" r="6350" b="0"/>
            <wp:docPr id="2" name="Imagen 2" descr="https://s.libertaddigital.com/2023/09/26/precios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libertaddigital.com/2023/09/26/precios00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7700" cy="6502400"/>
                    </a:xfrm>
                    <a:prstGeom prst="rect">
                      <a:avLst/>
                    </a:prstGeom>
                    <a:noFill/>
                    <a:ln>
                      <a:noFill/>
                    </a:ln>
                  </pic:spPr>
                </pic:pic>
              </a:graphicData>
            </a:graphic>
          </wp:inline>
        </w:drawing>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b/>
          <w:sz w:val="24"/>
          <w:szCs w:val="24"/>
          <w:lang w:eastAsia="es-ES"/>
        </w:rPr>
        <w:t>Nota</w:t>
      </w:r>
      <w:r w:rsidRPr="00320767">
        <w:rPr>
          <w:rFonts w:ascii="Times New Roman" w:eastAsia="Times New Roman" w:hAnsi="Times New Roman"/>
          <w:sz w:val="24"/>
          <w:szCs w:val="24"/>
          <w:lang w:eastAsia="es-ES"/>
        </w:rPr>
        <w:t>: Si antes la banca era un negocio de “hardware”, a partir de Greenspan y Bernanke (los grandes facilitadores) ha pasado a ser un negocio de “software” (fábricas de humo, gas, pedo… o como lo quieran llamar). Y con ellos, todos.</w:t>
      </w:r>
    </w:p>
    <w:p w:rsidR="00583194" w:rsidRPr="00320767" w:rsidRDefault="00583194" w:rsidP="00583194">
      <w:pPr>
        <w:spacing w:before="100" w:beforeAutospacing="1" w:after="100" w:afterAutospacing="1" w:line="240" w:lineRule="auto"/>
        <w:jc w:val="both"/>
        <w:rPr>
          <w:rFonts w:ascii="Times New Roman" w:eastAsia="Times New Roman" w:hAnsi="Times New Roman"/>
          <w:sz w:val="24"/>
          <w:szCs w:val="24"/>
          <w:lang w:eastAsia="es-ES"/>
        </w:rPr>
      </w:pPr>
      <w:r w:rsidRPr="00320767">
        <w:rPr>
          <w:rFonts w:ascii="Times New Roman" w:eastAsia="Times New Roman" w:hAnsi="Times New Roman"/>
          <w:sz w:val="24"/>
          <w:szCs w:val="24"/>
          <w:lang w:eastAsia="es-ES"/>
        </w:rPr>
        <w:t>Si la banca acierta gana un montón de dinero. Y si la banca se equivoca lo pagamos todos.</w:t>
      </w:r>
    </w:p>
    <w:p w:rsidR="00583194" w:rsidRDefault="00583194" w:rsidP="00583194">
      <w:pPr>
        <w:spacing w:line="240" w:lineRule="auto"/>
        <w:jc w:val="both"/>
        <w:rPr>
          <w:rFonts w:ascii="Times New Roman" w:hAnsi="Times New Roman" w:cs="Times New Roman"/>
          <w:sz w:val="24"/>
          <w:szCs w:val="24"/>
        </w:rPr>
      </w:pPr>
    </w:p>
    <w:p w:rsidR="00583194" w:rsidRDefault="00583194" w:rsidP="00583194">
      <w:pPr>
        <w:spacing w:line="240" w:lineRule="auto"/>
        <w:jc w:val="both"/>
        <w:rPr>
          <w:rFonts w:ascii="Times New Roman" w:hAnsi="Times New Roman" w:cs="Times New Roman"/>
          <w:sz w:val="24"/>
          <w:szCs w:val="24"/>
        </w:rPr>
      </w:pPr>
      <w:r w:rsidRPr="00237E49">
        <w:rPr>
          <w:rFonts w:ascii="Times New Roman" w:hAnsi="Times New Roman"/>
          <w:noProof/>
          <w:sz w:val="24"/>
          <w:szCs w:val="24"/>
          <w:u w:val="single"/>
          <w:lang w:eastAsia="es-ES"/>
        </w:rPr>
        <w:lastRenderedPageBreak/>
        <w:drawing>
          <wp:inline distT="0" distB="0" distL="0" distR="0" wp14:anchorId="0FFDFC0E" wp14:editId="1DBB5185">
            <wp:extent cx="3962400" cy="5251450"/>
            <wp:effectExtent l="0" t="0" r="0" b="635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962953" cy="5252183"/>
                    </a:xfrm>
                    <a:prstGeom prst="rect">
                      <a:avLst/>
                    </a:prstGeom>
                  </pic:spPr>
                </pic:pic>
              </a:graphicData>
            </a:graphic>
          </wp:inline>
        </w:drawing>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Libertad Digital - </w:t>
      </w:r>
      <w:r w:rsidRPr="00CC746D">
        <w:rPr>
          <w:rFonts w:ascii="Times New Roman" w:hAnsi="Times New Roman" w:cs="Times New Roman"/>
          <w:b/>
          <w:sz w:val="24"/>
          <w:szCs w:val="24"/>
        </w:rPr>
        <w:t>27/9/23</w:t>
      </w:r>
      <w:r>
        <w:rPr>
          <w:rFonts w:ascii="Times New Roman" w:hAnsi="Times New Roman" w:cs="Times New Roman"/>
          <w:sz w:val="24"/>
          <w:szCs w:val="24"/>
        </w:rPr>
        <w:t>)</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Información complementaria</w:t>
      </w:r>
    </w:p>
    <w:p w:rsidR="00583194" w:rsidRDefault="00583194" w:rsidP="00583194">
      <w:pPr>
        <w:spacing w:line="240" w:lineRule="auto"/>
        <w:jc w:val="both"/>
        <w:rPr>
          <w:rFonts w:ascii="Times New Roman" w:hAnsi="Times New Roman" w:cs="Times New Roman"/>
          <w:sz w:val="24"/>
          <w:szCs w:val="24"/>
        </w:rPr>
      </w:pPr>
      <w:r w:rsidRPr="004B4292">
        <w:rPr>
          <w:rFonts w:ascii="Times New Roman" w:hAnsi="Times New Roman" w:cs="Times New Roman"/>
          <w:noProof/>
          <w:sz w:val="24"/>
          <w:szCs w:val="24"/>
          <w:lang w:eastAsia="es-ES"/>
        </w:rPr>
        <w:drawing>
          <wp:inline distT="0" distB="0" distL="0" distR="0" wp14:anchorId="36332A24" wp14:editId="63E48436">
            <wp:extent cx="5731510" cy="492934"/>
            <wp:effectExtent l="0" t="0" r="2540" b="254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492934"/>
                    </a:xfrm>
                    <a:prstGeom prst="rect">
                      <a:avLst/>
                    </a:prstGeom>
                  </pic:spPr>
                </pic:pic>
              </a:graphicData>
            </a:graphic>
          </wp:inline>
        </w:drawing>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4B4292">
        <w:rPr>
          <w:rFonts w:ascii="Times New Roman" w:hAnsi="Times New Roman" w:cs="Times New Roman"/>
          <w:sz w:val="24"/>
          <w:szCs w:val="24"/>
        </w:rPr>
        <w:t>expansion.com/ Datosmacro.com</w:t>
      </w:r>
      <w:r>
        <w:rPr>
          <w:rFonts w:ascii="Times New Roman" w:hAnsi="Times New Roman" w:cs="Times New Roman"/>
          <w:sz w:val="24"/>
          <w:szCs w:val="24"/>
        </w:rPr>
        <w:t xml:space="preserve">) </w:t>
      </w:r>
    </w:p>
    <w:p w:rsidR="00583194" w:rsidRPr="004E4645" w:rsidRDefault="00583194" w:rsidP="00583194">
      <w:pPr>
        <w:spacing w:line="240" w:lineRule="auto"/>
        <w:jc w:val="both"/>
        <w:rPr>
          <w:rFonts w:ascii="Times New Roman" w:hAnsi="Times New Roman" w:cs="Times New Roman"/>
          <w:sz w:val="24"/>
          <w:szCs w:val="24"/>
        </w:rPr>
      </w:pPr>
      <w:r w:rsidRPr="004E4645">
        <w:rPr>
          <w:rFonts w:ascii="Times New Roman" w:hAnsi="Times New Roman" w:cs="Times New Roman"/>
          <w:sz w:val="24"/>
          <w:szCs w:val="24"/>
        </w:rPr>
        <w:t>La tasa de riesgo de pobreza es el porcentaje de población que se encuentra por debajo del umbral de riesgo de pobreza. La población en riesgo de pobreza mide cuántas personas tienen ingresos bajos en relación al conjunto de la población. No mide la pobreza absoluta, sino que se trata de un indicador relativo que mide desigualdad.</w:t>
      </w:r>
    </w:p>
    <w:p w:rsidR="00583194" w:rsidRDefault="00583194" w:rsidP="00583194">
      <w:pPr>
        <w:spacing w:line="240" w:lineRule="auto"/>
        <w:jc w:val="both"/>
        <w:rPr>
          <w:rFonts w:ascii="Times New Roman" w:hAnsi="Times New Roman" w:cs="Times New Roman"/>
          <w:sz w:val="24"/>
          <w:szCs w:val="24"/>
        </w:rPr>
      </w:pPr>
      <w:r w:rsidRPr="004E4645">
        <w:rPr>
          <w:rFonts w:ascii="Times New Roman" w:hAnsi="Times New Roman" w:cs="Times New Roman"/>
          <w:sz w:val="24"/>
          <w:szCs w:val="24"/>
        </w:rPr>
        <w:t>El umbral de la pobreza, son los ingresos por debajo de los cuales se considera que una persona o familia está en riesgo de pobreza. No se trata de una cifra fija, si no que varía en función de los ingresos de la población del país o región en cuestión, al subir los ingresos aumenta el umbral y al disminuir estos, también lo hace el umbral de pobreza. El umbral de pobreza es el 60% de la mediana de los ingresos por unidad de consumo de las personas de un país o región.</w:t>
      </w:r>
    </w:p>
    <w:p w:rsidR="00583194" w:rsidRPr="006C39FE" w:rsidRDefault="00583194" w:rsidP="00583194">
      <w:pPr>
        <w:spacing w:line="240" w:lineRule="auto"/>
        <w:jc w:val="both"/>
        <w:rPr>
          <w:rFonts w:ascii="Times New Roman" w:hAnsi="Times New Roman" w:cs="Times New Roman"/>
          <w:b/>
          <w:sz w:val="24"/>
          <w:szCs w:val="24"/>
        </w:rPr>
      </w:pPr>
      <w:r w:rsidRPr="006C39FE">
        <w:rPr>
          <w:rFonts w:ascii="Times New Roman" w:hAnsi="Times New Roman" w:cs="Times New Roman"/>
          <w:b/>
          <w:sz w:val="24"/>
          <w:szCs w:val="24"/>
        </w:rPr>
        <w:lastRenderedPageBreak/>
        <w:t>¿Y para qué ha servido todo este “delirio monetario” de los grandes bancos centrales</w:t>
      </w:r>
      <w:r w:rsidR="003A3508">
        <w:rPr>
          <w:rFonts w:ascii="Times New Roman" w:hAnsi="Times New Roman" w:cs="Times New Roman"/>
          <w:b/>
          <w:sz w:val="24"/>
          <w:szCs w:val="24"/>
        </w:rPr>
        <w:t>?</w:t>
      </w:r>
      <w:r w:rsidRPr="006C39FE">
        <w:rPr>
          <w:rFonts w:ascii="Times New Roman" w:hAnsi="Times New Roman" w:cs="Times New Roman"/>
          <w:b/>
          <w:sz w:val="24"/>
          <w:szCs w:val="24"/>
        </w:rPr>
        <w:t xml:space="preserve"> </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 xml:space="preserve">Para crear, y sostener, una economía de casino (financierización) en los países avanzados. </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Para lograr que China se transforme en la fábrica del mundo, y pase a ser la primera potencia.</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Para deslocalizar la clase media de los países avanzados, hacia los países emergentes.</w:t>
      </w:r>
    </w:p>
    <w:p w:rsidR="00583194" w:rsidRDefault="00583194" w:rsidP="00583194">
      <w:pPr>
        <w:spacing w:line="240" w:lineRule="auto"/>
        <w:jc w:val="both"/>
        <w:rPr>
          <w:rFonts w:ascii="Times New Roman" w:hAnsi="Times New Roman" w:cs="Times New Roman"/>
          <w:sz w:val="24"/>
          <w:szCs w:val="24"/>
        </w:rPr>
      </w:pPr>
      <w:r w:rsidRPr="007F74F4">
        <w:rPr>
          <w:rFonts w:ascii="Times New Roman" w:hAnsi="Times New Roman" w:cs="Times New Roman"/>
          <w:noProof/>
          <w:sz w:val="24"/>
          <w:szCs w:val="24"/>
          <w:lang w:eastAsia="es-ES"/>
        </w:rPr>
        <w:drawing>
          <wp:inline distT="0" distB="0" distL="0" distR="0" wp14:anchorId="50B1035A" wp14:editId="31DA7793">
            <wp:extent cx="5524500" cy="61722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525272" cy="6173063"/>
                    </a:xfrm>
                    <a:prstGeom prst="rect">
                      <a:avLst/>
                    </a:prstGeom>
                  </pic:spPr>
                </pic:pic>
              </a:graphicData>
            </a:graphic>
          </wp:inline>
        </w:drawing>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El gozo (financierización) en un pozo (pérdida de competitividad global y empobrecimiento).</w:t>
      </w:r>
    </w:p>
    <w:p w:rsidR="00583194" w:rsidRPr="0034097D" w:rsidRDefault="006C39FE"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Unos “hacedores de mercado”</w:t>
      </w:r>
      <w:r w:rsidR="00583194" w:rsidRPr="0034097D">
        <w:rPr>
          <w:rFonts w:ascii="Times New Roman" w:hAnsi="Times New Roman" w:cs="Times New Roman"/>
          <w:sz w:val="24"/>
          <w:szCs w:val="24"/>
        </w:rPr>
        <w:t xml:space="preserve"> acostumbrados a tocar el séptimo cielo con el dinero ajeno, que cuando contemplan de cerca el abismo, salen corriendo a buscar que el gobierno los rescate de la quiebra (prestamista de último recurso), y</w:t>
      </w:r>
      <w:r w:rsidRPr="0034097D">
        <w:rPr>
          <w:rFonts w:ascii="Times New Roman" w:hAnsi="Times New Roman" w:cs="Times New Roman"/>
          <w:sz w:val="24"/>
          <w:szCs w:val="24"/>
        </w:rPr>
        <w:t xml:space="preserve"> reservando a</w:t>
      </w:r>
      <w:r w:rsidR="00583194" w:rsidRPr="0034097D">
        <w:rPr>
          <w:rFonts w:ascii="Times New Roman" w:hAnsi="Times New Roman" w:cs="Times New Roman"/>
          <w:sz w:val="24"/>
          <w:szCs w:val="24"/>
        </w:rPr>
        <w:t>l Partido Comunista Chino</w:t>
      </w:r>
      <w:r w:rsidRPr="0034097D">
        <w:rPr>
          <w:rFonts w:ascii="Times New Roman" w:hAnsi="Times New Roman" w:cs="Times New Roman"/>
          <w:sz w:val="24"/>
          <w:szCs w:val="24"/>
        </w:rPr>
        <w:t xml:space="preserve"> para que</w:t>
      </w:r>
      <w:r w:rsidR="00583194" w:rsidRPr="0034097D">
        <w:rPr>
          <w:rFonts w:ascii="Times New Roman" w:hAnsi="Times New Roman" w:cs="Times New Roman"/>
          <w:sz w:val="24"/>
          <w:szCs w:val="24"/>
        </w:rPr>
        <w:t xml:space="preserve"> los proteja de la ira social (policía de último recurso). Ellos, tan “digitales”, custodiados por unos esbirros, tan “analógicos”.  Un desastre envuelto en una indignidad</w:t>
      </w:r>
      <w:r w:rsidRPr="0034097D">
        <w:rPr>
          <w:rFonts w:ascii="Times New Roman" w:hAnsi="Times New Roman" w:cs="Times New Roman"/>
          <w:sz w:val="24"/>
          <w:szCs w:val="24"/>
        </w:rPr>
        <w:t>…</w:t>
      </w:r>
      <w:r w:rsidR="00583194" w:rsidRPr="0034097D">
        <w:rPr>
          <w:rFonts w:ascii="Times New Roman" w:hAnsi="Times New Roman" w:cs="Times New Roman"/>
          <w:sz w:val="24"/>
          <w:szCs w:val="24"/>
        </w:rPr>
        <w:t xml:space="preserve"> ¡Al final, ni barcos, ni honra!</w:t>
      </w:r>
    </w:p>
    <w:p w:rsidR="00583194" w:rsidRPr="006C39FE" w:rsidRDefault="00583194" w:rsidP="00583194">
      <w:pPr>
        <w:spacing w:line="240" w:lineRule="auto"/>
        <w:jc w:val="both"/>
        <w:rPr>
          <w:rFonts w:ascii="Times New Roman" w:hAnsi="Times New Roman" w:cs="Times New Roman"/>
          <w:b/>
          <w:sz w:val="24"/>
          <w:szCs w:val="24"/>
        </w:rPr>
      </w:pPr>
      <w:r w:rsidRPr="006C39FE">
        <w:rPr>
          <w:rFonts w:ascii="Times New Roman" w:hAnsi="Times New Roman" w:cs="Times New Roman"/>
          <w:b/>
          <w:sz w:val="24"/>
          <w:szCs w:val="24"/>
        </w:rPr>
        <w:lastRenderedPageBreak/>
        <w:t xml:space="preserve">El “optimismo crónico” de los agentes financieros (privados), y el </w:t>
      </w:r>
      <w:r w:rsidR="009E4D17">
        <w:rPr>
          <w:rFonts w:ascii="Times New Roman" w:hAnsi="Times New Roman" w:cs="Times New Roman"/>
          <w:b/>
          <w:sz w:val="24"/>
          <w:szCs w:val="24"/>
        </w:rPr>
        <w:t>“</w:t>
      </w:r>
      <w:r w:rsidRPr="006C39FE">
        <w:rPr>
          <w:rFonts w:ascii="Times New Roman" w:hAnsi="Times New Roman" w:cs="Times New Roman"/>
          <w:b/>
          <w:sz w:val="24"/>
          <w:szCs w:val="24"/>
        </w:rPr>
        <w:t>incómodo recordatorio</w:t>
      </w:r>
      <w:r w:rsidR="009E4D17">
        <w:rPr>
          <w:rFonts w:ascii="Times New Roman" w:hAnsi="Times New Roman" w:cs="Times New Roman"/>
          <w:b/>
          <w:sz w:val="24"/>
          <w:szCs w:val="24"/>
        </w:rPr>
        <w:t>”</w:t>
      </w:r>
      <w:r w:rsidRPr="006C39FE">
        <w:rPr>
          <w:rFonts w:ascii="Times New Roman" w:hAnsi="Times New Roman" w:cs="Times New Roman"/>
          <w:b/>
          <w:sz w:val="24"/>
          <w:szCs w:val="24"/>
        </w:rPr>
        <w:t xml:space="preserve"> de los rescates (públicos)</w:t>
      </w:r>
    </w:p>
    <w:p w:rsidR="00583194" w:rsidRPr="0034097D" w:rsidRDefault="00583194" w:rsidP="00583194">
      <w:pPr>
        <w:spacing w:line="240" w:lineRule="auto"/>
        <w:jc w:val="both"/>
        <w:rPr>
          <w:rFonts w:ascii="Times New Roman" w:hAnsi="Times New Roman" w:cs="Times New Roman"/>
          <w:b/>
          <w:sz w:val="24"/>
          <w:szCs w:val="24"/>
        </w:rPr>
      </w:pPr>
      <w:r w:rsidRPr="0034097D">
        <w:rPr>
          <w:rFonts w:ascii="Times New Roman" w:hAnsi="Times New Roman" w:cs="Times New Roman"/>
          <w:b/>
          <w:sz w:val="24"/>
          <w:szCs w:val="24"/>
        </w:rPr>
        <w:t>Win-win: si todo sale bien, gano; si algo sale mal, también gano, porque socializo las pérdidas (el estado y/o el banco central me rescatan, por ser “entidad sistémica”).</w:t>
      </w:r>
    </w:p>
    <w:p w:rsidR="00583194" w:rsidRPr="0034097D" w:rsidRDefault="00583194" w:rsidP="00583194">
      <w:pPr>
        <w:spacing w:line="240" w:lineRule="auto"/>
        <w:jc w:val="both"/>
        <w:rPr>
          <w:rFonts w:ascii="Times New Roman" w:hAnsi="Times New Roman" w:cs="Times New Roman"/>
          <w:b/>
          <w:sz w:val="24"/>
          <w:szCs w:val="24"/>
        </w:rPr>
      </w:pPr>
      <w:r w:rsidRPr="0034097D">
        <w:rPr>
          <w:rFonts w:ascii="Times New Roman" w:hAnsi="Times New Roman" w:cs="Times New Roman"/>
          <w:b/>
          <w:sz w:val="24"/>
          <w:szCs w:val="24"/>
        </w:rPr>
        <w:t>El “jamais vu”: así es el fenómeno opuesto al “déjà vu” (y por qué es aún más increíble)</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Si con el déjà vu aparece un recuerdo camuflado que parecías haber olvidado y de pronto recuerdas, el “jamais vu” (que también tiene su origen en la expresión en francés que literalmente significa “jamás visto”) implica dejar de ver las cosas naturales o tal y como las recordabas.</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Los expertos han analizado de cerca el “jamais vu”, y han descubierto que en este caso se debe a una especie de sobrecarga sensorial por la que algo que damos por hecho y que nuestro cerebro ha registrado durante mucho tiempo, de pronto se vuelve extraño. “Apenas hemos empezado a comprender de qué se trata realmente el “jamais vu””, aseguran, en un artículo de Science Direct. “La principal explicación científica es la de la “saciedad cerebral”, que pasa por sobrecargar verbal o mentalmente algo hasta que se vuelve absurdo”.</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“El “jamais vu” es una señal de que algo ha dejado de ser demasiado automático, demasiado fluido o repetitivo para ti”, aseveran. “Nos ayuda a salir de nuestra forma de procesar la realidad continuamente, y la sensación de irrealidad que imprime es, paradójicamente, una obsesión por comprobar la realidad. Pero tiene sentido que aparezca: nuestros sistemas cognitivos deben permanecer flexibles y permitir que toda nuestra atención se dirija hacia donde sea necesario, en lugar de perdernos realizando tareas repetitivas durante demasiado tiempo”. Es decir, el fenómeno del “jamais vu” al final pasa porque, de pronto, la función de verificación de nuestro cerebro se vuelve excesivamente crítica. Si en el déjà vu esta emerge tan desatada como para equivocarse y dar por vistas algunas cosas que no han pasado, en el “jamais vu” el error lo cometemos en el sentido opuesto: la función de comprobar lo que nos es familiar y lo que no se vuelve reiterativa, hasta el punto de fallar o perder su función, abocando al sujeto a una sensación de irrealidad bastante curiosa. Ambos fenómenos psicológicos son tan misteriosos y están tan envueltos en las paradojas, que es posible que nunca se dé una explicación cien por cien ajustada o fiable. (Fuent</w:t>
      </w:r>
      <w:r w:rsidR="006C39FE" w:rsidRPr="0034097D">
        <w:rPr>
          <w:rFonts w:ascii="Times New Roman" w:hAnsi="Times New Roman" w:cs="Times New Roman"/>
          <w:sz w:val="24"/>
          <w:szCs w:val="24"/>
        </w:rPr>
        <w:t>e:</w:t>
      </w:r>
      <w:r w:rsidRPr="0034097D">
        <w:rPr>
          <w:rFonts w:ascii="Times New Roman" w:hAnsi="Times New Roman" w:cs="Times New Roman"/>
          <w:sz w:val="24"/>
          <w:szCs w:val="24"/>
        </w:rPr>
        <w:t xml:space="preserve"> El Confidencial - </w:t>
      </w:r>
      <w:r w:rsidRPr="0034097D">
        <w:rPr>
          <w:rFonts w:ascii="Times New Roman" w:hAnsi="Times New Roman" w:cs="Times New Roman"/>
          <w:b/>
          <w:sz w:val="24"/>
          <w:szCs w:val="24"/>
        </w:rPr>
        <w:t>28/9/23</w:t>
      </w:r>
      <w:r w:rsidRPr="0034097D">
        <w:rPr>
          <w:rFonts w:ascii="Times New Roman" w:hAnsi="Times New Roman" w:cs="Times New Roman"/>
          <w:sz w:val="24"/>
          <w:szCs w:val="24"/>
        </w:rPr>
        <w:t>)</w:t>
      </w:r>
    </w:p>
    <w:p w:rsidR="00583194" w:rsidRPr="0034097D" w:rsidRDefault="00583194" w:rsidP="00583194">
      <w:pPr>
        <w:spacing w:line="240" w:lineRule="auto"/>
        <w:jc w:val="both"/>
        <w:rPr>
          <w:rFonts w:ascii="Times New Roman" w:hAnsi="Times New Roman" w:cs="Times New Roman"/>
          <w:b/>
          <w:sz w:val="24"/>
          <w:szCs w:val="24"/>
        </w:rPr>
      </w:pPr>
      <w:r w:rsidRPr="0034097D">
        <w:rPr>
          <w:rFonts w:ascii="Times New Roman" w:hAnsi="Times New Roman" w:cs="Times New Roman"/>
          <w:b/>
          <w:sz w:val="24"/>
          <w:szCs w:val="24"/>
        </w:rPr>
        <w:t>Las artimañas continuas</w:t>
      </w:r>
      <w:r w:rsidR="0034097D">
        <w:rPr>
          <w:rFonts w:ascii="Times New Roman" w:hAnsi="Times New Roman" w:cs="Times New Roman"/>
          <w:b/>
          <w:sz w:val="24"/>
          <w:szCs w:val="24"/>
        </w:rPr>
        <w:t xml:space="preserve"> de los </w:t>
      </w:r>
      <w:r w:rsidR="003A3508">
        <w:rPr>
          <w:rFonts w:ascii="Times New Roman" w:hAnsi="Times New Roman" w:cs="Times New Roman"/>
          <w:b/>
          <w:sz w:val="24"/>
          <w:szCs w:val="24"/>
        </w:rPr>
        <w:t>“</w:t>
      </w:r>
      <w:r w:rsidR="0034097D">
        <w:rPr>
          <w:rFonts w:ascii="Times New Roman" w:hAnsi="Times New Roman" w:cs="Times New Roman"/>
          <w:b/>
          <w:sz w:val="24"/>
          <w:szCs w:val="24"/>
        </w:rPr>
        <w:t>extractores</w:t>
      </w:r>
      <w:r w:rsidRPr="0034097D">
        <w:rPr>
          <w:rFonts w:ascii="Times New Roman" w:hAnsi="Times New Roman" w:cs="Times New Roman"/>
          <w:b/>
          <w:sz w:val="24"/>
          <w:szCs w:val="24"/>
        </w:rPr>
        <w:t xml:space="preserve"> de rentas</w:t>
      </w:r>
      <w:r w:rsidR="003A3508">
        <w:rPr>
          <w:rFonts w:ascii="Times New Roman" w:hAnsi="Times New Roman" w:cs="Times New Roman"/>
          <w:b/>
          <w:sz w:val="24"/>
          <w:szCs w:val="24"/>
        </w:rPr>
        <w:t>”</w:t>
      </w:r>
    </w:p>
    <w:p w:rsidR="00583194" w:rsidRPr="0034097D" w:rsidRDefault="00583194" w:rsidP="00583194">
      <w:pPr>
        <w:spacing w:line="240" w:lineRule="auto"/>
        <w:jc w:val="both"/>
        <w:rPr>
          <w:rFonts w:ascii="Times New Roman" w:hAnsi="Times New Roman" w:cs="Times New Roman"/>
          <w:b/>
          <w:sz w:val="24"/>
          <w:szCs w:val="24"/>
        </w:rPr>
      </w:pPr>
      <w:r w:rsidRPr="0034097D">
        <w:rPr>
          <w:rFonts w:ascii="Times New Roman" w:hAnsi="Times New Roman" w:cs="Times New Roman"/>
          <w:sz w:val="24"/>
          <w:szCs w:val="24"/>
        </w:rPr>
        <w:t>Sobre el papel, todo es fácil… Saben que la información es lo que hace fuerte a alguien… También lo que puede hacerlo vulnerable. Saben (por ejemplo) que cuando los “posibles” se transforman en “presuntos”, la cosa (el business) puede joderse… que la senda (del dinero, el lujo, las buenas compañías y la fiesta eterna) se puede ir estrechando, hasta  convertirse en un caminito de tierra (viejo conocido de que mejor ni acordarse).</w:t>
      </w:r>
      <w:r w:rsidRPr="0034097D">
        <w:rPr>
          <w:rFonts w:ascii="Times New Roman" w:hAnsi="Times New Roman" w:cs="Times New Roman"/>
          <w:b/>
          <w:sz w:val="24"/>
          <w:szCs w:val="24"/>
        </w:rPr>
        <w:t xml:space="preserve"> </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 xml:space="preserve">Y los global players (amos del universo, manos fuertes, hacedores de mercado), nunca transitan por caminos de tierra. Si es necesario se exagera, se omite o se miente, pero eso a quién le importa (a ellos no, of course). Tal vez a las “víctimas”, pero esos son la “manada”, y solo sirven para el expolio (apropiación de rentas). Además, ¡que se jodan por pobres! </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 xml:space="preserve">Ellos no son gente de pedir, hacer o cumplir promesas. Son depredadores, y están de casería, No se perdona la vida de ningún animal, que entra en su coto, ni en el Día de la Mascota, dicen. Solo es una cuestión de oferta y demanda… donde el ganador se lleva todo (todo), y la </w:t>
      </w:r>
      <w:r w:rsidRPr="0034097D">
        <w:rPr>
          <w:rFonts w:ascii="Times New Roman" w:hAnsi="Times New Roman" w:cs="Times New Roman"/>
          <w:sz w:val="24"/>
          <w:szCs w:val="24"/>
        </w:rPr>
        <w:lastRenderedPageBreak/>
        <w:t>parroquia (la manada), amplía su derrota (buscando promediar a la baja), imaginando que su suerte puede cambiar. Sin sospechar que ese cambio no será precisamente para mejor.</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Parece que son los últimos en darse cuenta... “Bueno, hombre, no hables así. Seguramente será un bache”, volverán a decirle los truhanes, bribones, canallas, granujas, pillos, pícaros, sinvergüenzas, taimados, agentes financieros que los metieron en la “economía de casino”.</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w:t>
      </w:r>
      <w:r w:rsidR="003A3508" w:rsidRPr="0034097D">
        <w:rPr>
          <w:rFonts w:ascii="Times New Roman" w:hAnsi="Times New Roman" w:cs="Times New Roman"/>
          <w:sz w:val="24"/>
          <w:szCs w:val="24"/>
        </w:rPr>
        <w:t>Cuánto</w:t>
      </w:r>
      <w:r w:rsidRPr="0034097D">
        <w:rPr>
          <w:rFonts w:ascii="Times New Roman" w:hAnsi="Times New Roman" w:cs="Times New Roman"/>
          <w:sz w:val="24"/>
          <w:szCs w:val="24"/>
        </w:rPr>
        <w:t xml:space="preserve"> te hace falta para recuperar las pérdidas?, preguntará el golfante, al damnificado. Este negocio que te propongo, te puede dar eso y, seguramente, más, le dirá con desparpajo. Necesitas dinero. Eso ya lo sabemos. Ahora queda por saber si te importara mucho cuál fuera el modo de conseguirlo, agregará con petulancia y cinismo.</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 xml:space="preserve">Así es el corazón de un banquero, frío, eficaz, pragmático y duro; unos personajes dispuestos, si el cliente está interesado (y tiene el dinero suficiente), a hablarle de algo de lo que él nunca podría hablar, de algo delicado… Y delicado, algunas veces, solo puede significar ilegal. </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Los alquimistas de las finanzas, se lo dan a entender al inversor desprevenido (pero en el fondo codicioso, avaricioso, deseoso de vivir, también, por encima de sus posibilidades): “la única forma”. Y la única quiere decir que solo hay una. Así que no le queda otra que transigir.</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El inversor desprevenido (y todo lo demás…), calcula sus probabilidades. Se da cuenta de que la apuesta, de pronto, se ha vuelto, si no más alta, mucho más arriesgada; de que se ha metido ella solito en la boca del lobo…  Aunque sienta un escalofrío y tenga el repentino impulso de salir corriendo, meterse en el metro o el coche y huir, sabe que no puede ser, que se encontraba ahí con ellos (los alquimistas de las finanzas), metido en un asunto feísimo que se pondrá, con toda seguridad, mucho más feo.</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Podría parecer que estaba a tiempo de bajarse, pero entiende que si deja de pedalear, se cae de la bicicleta (financiera), el espectáculo de la bolsa debe continuar (el casino sigue abierto). Así que sí, podría parecer que estaba a tiempo de marcharse, ponerse a salvo, y olvidar todas las inversiones de alto riesgo. Pero ya no lo estaba. Ya no había tiempo para nada, salvo para recorrer los siete u ocho pasos que lo separan de la silla del asesor financiero que aguarda, que el inversor (cautivo) tome asiento, para “volver a empezar” (la apropiación de rentas).</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 xml:space="preserve">El inversor (abducido) comprende…. que realmente, si olvida en qué consiste lo que le proponen hacer, si deja a un lado la ilegalidad, los riesgos, lo peligroso que, al parecer, resultan los hacedores de mercado, todo parece muy sencillo. Sin embargo, en esa “economía de casino” el único que puede perder es él (que es el único, repito, el único, que pone dinero). </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En una (esta) “economía de papel”, el lema (paradigma, mantra, dogma, o santo grial) que los “impostores competentes”, proclaman ante los “adictos” al fentanilo financiero (ahorristas reprimidos, pensionistas deficitarios, codiciosos de clase media, y demás fauna cinegética), es: “aprovéchelo o quédese atrás”.</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 xml:space="preserve">Para cuando los “aprovechadores” (inversores en productos financieros de destrucción masiva) descubran que se quedaron atrás (irremisiblemente), los “aprovechados” (pícaros traficantes de fentanilo monetario), habrán levantado vuelo, otra vez, en busca de nuevas víctimas, otra vez (para que siga “la fiesta infinita”). </w:t>
      </w:r>
    </w:p>
    <w:p w:rsidR="00583194" w:rsidRPr="0034097D" w:rsidRDefault="009D6345"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Y l</w:t>
      </w:r>
      <w:r w:rsidR="00583194" w:rsidRPr="0034097D">
        <w:rPr>
          <w:rFonts w:ascii="Times New Roman" w:hAnsi="Times New Roman" w:cs="Times New Roman"/>
          <w:sz w:val="24"/>
          <w:szCs w:val="24"/>
        </w:rPr>
        <w:t xml:space="preserve">as </w:t>
      </w:r>
      <w:r w:rsidRPr="0034097D">
        <w:rPr>
          <w:rFonts w:ascii="Times New Roman" w:hAnsi="Times New Roman" w:cs="Times New Roman"/>
          <w:sz w:val="24"/>
          <w:szCs w:val="24"/>
        </w:rPr>
        <w:t>“</w:t>
      </w:r>
      <w:r w:rsidR="00583194" w:rsidRPr="0034097D">
        <w:rPr>
          <w:rFonts w:ascii="Times New Roman" w:hAnsi="Times New Roman" w:cs="Times New Roman"/>
          <w:sz w:val="24"/>
          <w:szCs w:val="24"/>
        </w:rPr>
        <w:t>nuevas tecnologías</w:t>
      </w:r>
      <w:r w:rsidRPr="0034097D">
        <w:rPr>
          <w:rFonts w:ascii="Times New Roman" w:hAnsi="Times New Roman" w:cs="Times New Roman"/>
          <w:sz w:val="24"/>
          <w:szCs w:val="24"/>
        </w:rPr>
        <w:t>” (cooperadores necesarios)</w:t>
      </w:r>
      <w:r w:rsidR="00583194" w:rsidRPr="0034097D">
        <w:rPr>
          <w:rFonts w:ascii="Times New Roman" w:hAnsi="Times New Roman" w:cs="Times New Roman"/>
          <w:sz w:val="24"/>
          <w:szCs w:val="24"/>
        </w:rPr>
        <w:t xml:space="preserve"> han</w:t>
      </w:r>
      <w:r w:rsidRPr="0034097D">
        <w:rPr>
          <w:rFonts w:ascii="Times New Roman" w:hAnsi="Times New Roman" w:cs="Times New Roman"/>
          <w:sz w:val="24"/>
          <w:szCs w:val="24"/>
        </w:rPr>
        <w:t xml:space="preserve"> colaborado en la colonización cerebros y abducción de</w:t>
      </w:r>
      <w:r w:rsidR="00583194" w:rsidRPr="0034097D">
        <w:rPr>
          <w:rFonts w:ascii="Times New Roman" w:hAnsi="Times New Roman" w:cs="Times New Roman"/>
          <w:sz w:val="24"/>
          <w:szCs w:val="24"/>
        </w:rPr>
        <w:t xml:space="preserve"> mentes. Las “big tech” en el nombre de la eficiencia (*) han provocado una agitación estéril que nos ha llevado a un marasmo fatalista.</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lastRenderedPageBreak/>
        <w:t xml:space="preserve">(*) El principio de eficiencia resolverá todos los problemas materiales de la población de los países avanzados. </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 xml:space="preserve">Wall Street y Silicon Valley han creado un sistema parasitario (extractor de rentas) en el que los parasitados (esclavos “conectados”) se sientes felices (y agradecidos) de serlo. </w:t>
      </w:r>
    </w:p>
    <w:p w:rsidR="00583194" w:rsidRPr="0034097D" w:rsidRDefault="00583194" w:rsidP="00583194">
      <w:pPr>
        <w:spacing w:line="240" w:lineRule="auto"/>
        <w:jc w:val="both"/>
        <w:rPr>
          <w:rFonts w:ascii="Times New Roman" w:hAnsi="Times New Roman" w:cs="Times New Roman"/>
          <w:b/>
          <w:sz w:val="24"/>
          <w:szCs w:val="24"/>
        </w:rPr>
      </w:pPr>
      <w:r w:rsidRPr="0034097D">
        <w:rPr>
          <w:rFonts w:ascii="Times New Roman" w:hAnsi="Times New Roman" w:cs="Times New Roman"/>
          <w:b/>
          <w:sz w:val="24"/>
          <w:szCs w:val="24"/>
        </w:rPr>
        <w:t>Especies desprotegidas y minorías opresoras (ante la tolerancia, ceguera voluntaria, connivencia, prevaricación… o directamente, corrupción, de las autoridades de control)</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 xml:space="preserve">Si no defienden la moneda, los que tendrían que defenderla… </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Si no defienden al ahorrista, los que tendrían que defenderlo…</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Si no controlan a los agentes financieros, los que tendrían que controlarlos…</w:t>
      </w:r>
    </w:p>
    <w:p w:rsidR="00583194" w:rsidRPr="0034097D" w:rsidRDefault="00583194" w:rsidP="00583194">
      <w:pPr>
        <w:spacing w:line="240" w:lineRule="auto"/>
        <w:jc w:val="both"/>
        <w:rPr>
          <w:rFonts w:ascii="Times New Roman" w:hAnsi="Times New Roman" w:cs="Times New Roman"/>
          <w:sz w:val="24"/>
          <w:szCs w:val="24"/>
        </w:rPr>
      </w:pPr>
      <w:r w:rsidRPr="0034097D">
        <w:rPr>
          <w:rFonts w:ascii="Times New Roman" w:hAnsi="Times New Roman" w:cs="Times New Roman"/>
          <w:sz w:val="24"/>
          <w:szCs w:val="24"/>
        </w:rPr>
        <w:t xml:space="preserve">Si quienes tendrían que cumplir estas funciones sienten vergüenza de defender lo que tienen que defender, o se dejan manipular, engañar, o corromper, por las “partes interesadas” y, paulatinamente, ese falso liberalismo económico, disfrazado de investigación científica y disfrazado de academicismo se va haciendo hegemónico en las instituciones, la falsedad se transforma en opresión. </w:t>
      </w:r>
    </w:p>
    <w:p w:rsidR="00583194" w:rsidRDefault="00583194" w:rsidP="00583194">
      <w:pPr>
        <w:spacing w:line="240" w:lineRule="auto"/>
        <w:jc w:val="both"/>
        <w:rPr>
          <w:rFonts w:ascii="Times New Roman" w:hAnsi="Times New Roman" w:cs="Times New Roman"/>
          <w:sz w:val="24"/>
          <w:szCs w:val="24"/>
        </w:rPr>
      </w:pPr>
      <w:r w:rsidRPr="00036F79">
        <w:rPr>
          <w:rFonts w:ascii="Times New Roman" w:hAnsi="Times New Roman" w:cs="Times New Roman"/>
          <w:sz w:val="24"/>
          <w:szCs w:val="24"/>
        </w:rPr>
        <w:t xml:space="preserve">Lo que </w:t>
      </w:r>
      <w:r>
        <w:rPr>
          <w:rFonts w:ascii="Times New Roman" w:hAnsi="Times New Roman" w:cs="Times New Roman"/>
          <w:sz w:val="24"/>
          <w:szCs w:val="24"/>
        </w:rPr>
        <w:t xml:space="preserve">ha sucedido desde 1980 en adelante, en el ámbito de la economía de mercado, </w:t>
      </w:r>
      <w:r w:rsidRPr="00036F79">
        <w:rPr>
          <w:rFonts w:ascii="Times New Roman" w:hAnsi="Times New Roman" w:cs="Times New Roman"/>
          <w:sz w:val="24"/>
          <w:szCs w:val="24"/>
        </w:rPr>
        <w:t>en realidad</w:t>
      </w:r>
      <w:r>
        <w:rPr>
          <w:rFonts w:ascii="Times New Roman" w:hAnsi="Times New Roman" w:cs="Times New Roman"/>
          <w:sz w:val="24"/>
          <w:szCs w:val="24"/>
        </w:rPr>
        <w:t xml:space="preserve"> no ha sido generado por auténticos liberales, sino por</w:t>
      </w:r>
      <w:r w:rsidRPr="00036F79">
        <w:rPr>
          <w:rFonts w:ascii="Times New Roman" w:hAnsi="Times New Roman" w:cs="Times New Roman"/>
          <w:sz w:val="24"/>
          <w:szCs w:val="24"/>
        </w:rPr>
        <w:t xml:space="preserve"> militantes políticos disfrazados de</w:t>
      </w:r>
      <w:r>
        <w:rPr>
          <w:rFonts w:ascii="Times New Roman" w:hAnsi="Times New Roman" w:cs="Times New Roman"/>
          <w:sz w:val="24"/>
          <w:szCs w:val="24"/>
        </w:rPr>
        <w:t xml:space="preserve"> profesores y de investigadores</w:t>
      </w:r>
      <w:r w:rsidRPr="00036F79">
        <w:rPr>
          <w:rFonts w:ascii="Times New Roman" w:hAnsi="Times New Roman" w:cs="Times New Roman"/>
          <w:sz w:val="24"/>
          <w:szCs w:val="24"/>
        </w:rPr>
        <w:t xml:space="preserve">. Se </w:t>
      </w:r>
      <w:r>
        <w:rPr>
          <w:rFonts w:ascii="Times New Roman" w:hAnsi="Times New Roman" w:cs="Times New Roman"/>
          <w:sz w:val="24"/>
          <w:szCs w:val="24"/>
        </w:rPr>
        <w:t>han vendido</w:t>
      </w:r>
      <w:r w:rsidRPr="00036F79">
        <w:rPr>
          <w:rFonts w:ascii="Times New Roman" w:hAnsi="Times New Roman" w:cs="Times New Roman"/>
          <w:sz w:val="24"/>
          <w:szCs w:val="24"/>
        </w:rPr>
        <w:t xml:space="preserve"> como</w:t>
      </w:r>
      <w:r>
        <w:rPr>
          <w:rFonts w:ascii="Times New Roman" w:hAnsi="Times New Roman" w:cs="Times New Roman"/>
          <w:sz w:val="24"/>
          <w:szCs w:val="24"/>
        </w:rPr>
        <w:t xml:space="preserve"> investigadores, pero sólo han hecho</w:t>
      </w:r>
      <w:r w:rsidRPr="00036F79">
        <w:rPr>
          <w:rFonts w:ascii="Times New Roman" w:hAnsi="Times New Roman" w:cs="Times New Roman"/>
          <w:sz w:val="24"/>
          <w:szCs w:val="24"/>
        </w:rPr>
        <w:t xml:space="preserve"> política. Se</w:t>
      </w:r>
      <w:r>
        <w:rPr>
          <w:rFonts w:ascii="Times New Roman" w:hAnsi="Times New Roman" w:cs="Times New Roman"/>
          <w:sz w:val="24"/>
          <w:szCs w:val="24"/>
        </w:rPr>
        <w:t xml:space="preserve"> han vendido</w:t>
      </w:r>
      <w:r w:rsidRPr="00036F79">
        <w:rPr>
          <w:rFonts w:ascii="Times New Roman" w:hAnsi="Times New Roman" w:cs="Times New Roman"/>
          <w:sz w:val="24"/>
          <w:szCs w:val="24"/>
        </w:rPr>
        <w:t xml:space="preserve"> como académicos, p</w:t>
      </w:r>
      <w:r>
        <w:rPr>
          <w:rFonts w:ascii="Times New Roman" w:hAnsi="Times New Roman" w:cs="Times New Roman"/>
          <w:sz w:val="24"/>
          <w:szCs w:val="24"/>
        </w:rPr>
        <w:t>ero solo han facilitado una economía de manos libres (do</w:t>
      </w:r>
      <w:r w:rsidR="009D6345">
        <w:rPr>
          <w:rFonts w:ascii="Times New Roman" w:hAnsi="Times New Roman" w:cs="Times New Roman"/>
          <w:sz w:val="24"/>
          <w:szCs w:val="24"/>
        </w:rPr>
        <w:t xml:space="preserve">nde el ganador se lleva todo). </w:t>
      </w:r>
      <w:r>
        <w:rPr>
          <w:rFonts w:ascii="Times New Roman" w:hAnsi="Times New Roman" w:cs="Times New Roman"/>
          <w:sz w:val="24"/>
          <w:szCs w:val="24"/>
        </w:rPr>
        <w:t xml:space="preserve">Y en el año 2008, ya no pudieron negar la evidencia. </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Los unos (titiriteros de las finanzas), y los otros (libretistas y escenógrafos, del espectáculo de la bolsa), en definitiva, odian profundamente todo lo vinculado con el capitalismo productivo</w:t>
      </w:r>
      <w:r w:rsidRPr="00036F79">
        <w:rPr>
          <w:rFonts w:ascii="Times New Roman" w:hAnsi="Times New Roman" w:cs="Times New Roman"/>
          <w:sz w:val="24"/>
          <w:szCs w:val="24"/>
        </w:rPr>
        <w:t>.</w:t>
      </w:r>
      <w:r>
        <w:rPr>
          <w:rFonts w:ascii="Times New Roman" w:hAnsi="Times New Roman" w:cs="Times New Roman"/>
          <w:sz w:val="24"/>
          <w:szCs w:val="24"/>
        </w:rPr>
        <w:t xml:space="preserve"> Liberticidas: sin capital propio, sin producto real, solo pueden “traficar” y “delinquir”. </w:t>
      </w:r>
      <w:r w:rsidRPr="00036F79">
        <w:rPr>
          <w:rFonts w:ascii="Times New Roman" w:hAnsi="Times New Roman" w:cs="Times New Roman"/>
          <w:sz w:val="24"/>
          <w:szCs w:val="24"/>
        </w:rPr>
        <w:t xml:space="preserve"> </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Y para lograr esos espurios objetivos, necesitan un “prestamista de último recurso” (bancos centrales) complaciente, tolerante, permisivo, connivente, cómplice; unas “instituciones” (gobiernos) dispuestos a socializar las pérdidas y privatizar la ganancias; y finalmente, una “policía antidisturbios” suficientemente poderosa y brutal, para reprimir la reacción de las víctimas, si las cosas se tuercen (m</w:t>
      </w:r>
      <w:r w:rsidR="00FE0990">
        <w:rPr>
          <w:rFonts w:ascii="Times New Roman" w:hAnsi="Times New Roman" w:cs="Times New Roman"/>
          <w:sz w:val="24"/>
          <w:szCs w:val="24"/>
        </w:rPr>
        <w:t>ás allá de lo previsto). El PCCh</w:t>
      </w:r>
      <w:r>
        <w:rPr>
          <w:rFonts w:ascii="Times New Roman" w:hAnsi="Times New Roman" w:cs="Times New Roman"/>
          <w:sz w:val="24"/>
          <w:szCs w:val="24"/>
        </w:rPr>
        <w:t xml:space="preserve">, será el “último escudo”. </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Estos capitalistas financieros (que no productivos) tan laxos, necesitan de unas instituciones de control suficientemente acomodaticias (actores de reparto), que no le disputen el timón de la economía, que no incordien su margen de maniobra. C</w:t>
      </w:r>
      <w:r w:rsidRPr="00652058">
        <w:rPr>
          <w:rFonts w:ascii="Times New Roman" w:hAnsi="Times New Roman" w:cs="Times New Roman"/>
          <w:sz w:val="24"/>
          <w:szCs w:val="24"/>
        </w:rPr>
        <w:t>omo buen</w:t>
      </w:r>
      <w:r>
        <w:rPr>
          <w:rFonts w:ascii="Times New Roman" w:hAnsi="Times New Roman" w:cs="Times New Roman"/>
          <w:sz w:val="24"/>
          <w:szCs w:val="24"/>
        </w:rPr>
        <w:t>os</w:t>
      </w:r>
      <w:r w:rsidRPr="00652058">
        <w:rPr>
          <w:rFonts w:ascii="Times New Roman" w:hAnsi="Times New Roman" w:cs="Times New Roman"/>
          <w:sz w:val="24"/>
          <w:szCs w:val="24"/>
        </w:rPr>
        <w:t xml:space="preserve"> mercachifle</w:t>
      </w:r>
      <w:r>
        <w:rPr>
          <w:rFonts w:ascii="Times New Roman" w:hAnsi="Times New Roman" w:cs="Times New Roman"/>
          <w:sz w:val="24"/>
          <w:szCs w:val="24"/>
        </w:rPr>
        <w:t>s</w:t>
      </w:r>
      <w:r w:rsidRPr="00652058">
        <w:rPr>
          <w:rFonts w:ascii="Times New Roman" w:hAnsi="Times New Roman" w:cs="Times New Roman"/>
          <w:sz w:val="24"/>
          <w:szCs w:val="24"/>
        </w:rPr>
        <w:t>,</w:t>
      </w:r>
      <w:r>
        <w:rPr>
          <w:rFonts w:ascii="Times New Roman" w:hAnsi="Times New Roman" w:cs="Times New Roman"/>
          <w:sz w:val="24"/>
          <w:szCs w:val="24"/>
        </w:rPr>
        <w:t xml:space="preserve"> </w:t>
      </w:r>
      <w:r w:rsidRPr="00652058">
        <w:rPr>
          <w:rFonts w:ascii="Times New Roman" w:hAnsi="Times New Roman" w:cs="Times New Roman"/>
          <w:sz w:val="24"/>
          <w:szCs w:val="24"/>
        </w:rPr>
        <w:t>entre la fricción y la ficción</w:t>
      </w:r>
      <w:r>
        <w:rPr>
          <w:rFonts w:ascii="Times New Roman" w:hAnsi="Times New Roman" w:cs="Times New Roman"/>
          <w:sz w:val="24"/>
          <w:szCs w:val="24"/>
        </w:rPr>
        <w:t>, necesitan</w:t>
      </w:r>
      <w:r w:rsidRPr="00652058">
        <w:rPr>
          <w:rFonts w:ascii="Times New Roman" w:hAnsi="Times New Roman" w:cs="Times New Roman"/>
          <w:sz w:val="24"/>
          <w:szCs w:val="24"/>
        </w:rPr>
        <w:t xml:space="preserve"> abaratar el precio de la fac</w:t>
      </w:r>
      <w:r>
        <w:rPr>
          <w:rFonts w:ascii="Times New Roman" w:hAnsi="Times New Roman" w:cs="Times New Roman"/>
          <w:sz w:val="24"/>
          <w:szCs w:val="24"/>
        </w:rPr>
        <w:t>tura.</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la pregunta ¿por qué nos han mentido tanto? contestarán: “si te dijera la verdad, mentiría”. </w:t>
      </w:r>
    </w:p>
    <w:p w:rsidR="00583194" w:rsidRDefault="00583194" w:rsidP="00583194">
      <w:pPr>
        <w:spacing w:line="240" w:lineRule="auto"/>
        <w:jc w:val="both"/>
        <w:rPr>
          <w:rFonts w:ascii="Times New Roman" w:hAnsi="Times New Roman" w:cs="Times New Roman"/>
          <w:sz w:val="24"/>
          <w:szCs w:val="24"/>
        </w:rPr>
      </w:pPr>
      <w:r w:rsidRPr="008B6154">
        <w:rPr>
          <w:rFonts w:ascii="Times New Roman" w:hAnsi="Times New Roman" w:cs="Times New Roman"/>
          <w:sz w:val="24"/>
          <w:szCs w:val="24"/>
        </w:rPr>
        <w:t>En todo caso,</w:t>
      </w:r>
      <w:r>
        <w:rPr>
          <w:rFonts w:ascii="Times New Roman" w:hAnsi="Times New Roman" w:cs="Times New Roman"/>
          <w:sz w:val="24"/>
          <w:szCs w:val="24"/>
        </w:rPr>
        <w:t xml:space="preserve"> </w:t>
      </w:r>
      <w:r w:rsidRPr="008B6154">
        <w:rPr>
          <w:rFonts w:ascii="Times New Roman" w:hAnsi="Times New Roman" w:cs="Times New Roman"/>
          <w:sz w:val="24"/>
          <w:szCs w:val="24"/>
        </w:rPr>
        <w:t xml:space="preserve">las afirmaciones de quienes carecen del conocimiento previo de la verdad, dejan de ser computables como mentiras. </w:t>
      </w:r>
      <w:r>
        <w:rPr>
          <w:rFonts w:ascii="Times New Roman" w:hAnsi="Times New Roman" w:cs="Times New Roman"/>
          <w:sz w:val="24"/>
          <w:szCs w:val="24"/>
        </w:rPr>
        <w:t xml:space="preserve">Algunos estudiosos </w:t>
      </w:r>
      <w:r w:rsidRPr="008B6154">
        <w:rPr>
          <w:rFonts w:ascii="Times New Roman" w:hAnsi="Times New Roman" w:cs="Times New Roman"/>
          <w:sz w:val="24"/>
          <w:szCs w:val="24"/>
        </w:rPr>
        <w:t>sostiene</w:t>
      </w:r>
      <w:r>
        <w:rPr>
          <w:rFonts w:ascii="Times New Roman" w:hAnsi="Times New Roman" w:cs="Times New Roman"/>
          <w:sz w:val="24"/>
          <w:szCs w:val="24"/>
        </w:rPr>
        <w:t>n</w:t>
      </w:r>
      <w:r w:rsidRPr="008B6154">
        <w:rPr>
          <w:rFonts w:ascii="Times New Roman" w:hAnsi="Times New Roman" w:cs="Times New Roman"/>
          <w:sz w:val="24"/>
          <w:szCs w:val="24"/>
        </w:rPr>
        <w:t xml:space="preserve"> que “es harto difícil mentir sin conocer la verdad”. </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Sin entrar en el terreno del psicoanálisis me interesaría saber ¿</w:t>
      </w:r>
      <w:r w:rsidRPr="00B7009D">
        <w:rPr>
          <w:rFonts w:ascii="Times New Roman" w:hAnsi="Times New Roman" w:cs="Times New Roman"/>
          <w:sz w:val="24"/>
          <w:szCs w:val="24"/>
        </w:rPr>
        <w:t xml:space="preserve">qué grado de permisividad o desmemoria permite que la sociedad </w:t>
      </w:r>
      <w:r>
        <w:rPr>
          <w:rFonts w:ascii="Times New Roman" w:hAnsi="Times New Roman" w:cs="Times New Roman"/>
          <w:sz w:val="24"/>
          <w:szCs w:val="24"/>
        </w:rPr>
        <w:t>acepte y convalide las mentiras?</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todo lo expuesto, podemos asumir que la línea recta de los agentes financieros, y las autoridades de control, es curvilínea… ¿pero cómo es la línea recta de los ahorristas, e inversores? ¿cómo es su </w:t>
      </w:r>
      <w:r w:rsidRPr="00B7009D">
        <w:rPr>
          <w:rFonts w:ascii="Times New Roman" w:hAnsi="Times New Roman" w:cs="Times New Roman"/>
          <w:sz w:val="24"/>
          <w:szCs w:val="24"/>
        </w:rPr>
        <w:t>curva misteriosa de la línea recta</w:t>
      </w:r>
      <w:r>
        <w:rPr>
          <w:rFonts w:ascii="Times New Roman" w:hAnsi="Times New Roman" w:cs="Times New Roman"/>
          <w:sz w:val="24"/>
          <w:szCs w:val="24"/>
        </w:rPr>
        <w:t>?</w:t>
      </w:r>
      <w:r w:rsidRPr="00B7009D">
        <w:rPr>
          <w:rFonts w:ascii="Times New Roman" w:hAnsi="Times New Roman" w:cs="Times New Roman"/>
          <w:sz w:val="24"/>
          <w:szCs w:val="24"/>
        </w:rPr>
        <w:t xml:space="preserve"> </w:t>
      </w:r>
      <w:r>
        <w:rPr>
          <w:rFonts w:ascii="Times New Roman" w:hAnsi="Times New Roman" w:cs="Times New Roman"/>
          <w:sz w:val="24"/>
          <w:szCs w:val="24"/>
        </w:rPr>
        <w:t xml:space="preserve"> </w:t>
      </w:r>
      <w:r w:rsidR="00FE0990">
        <w:rPr>
          <w:rFonts w:ascii="Times New Roman" w:hAnsi="Times New Roman" w:cs="Times New Roman"/>
          <w:sz w:val="24"/>
          <w:szCs w:val="24"/>
        </w:rPr>
        <w:t>¡</w:t>
      </w:r>
      <w:r>
        <w:rPr>
          <w:rFonts w:ascii="Times New Roman" w:hAnsi="Times New Roman" w:cs="Times New Roman"/>
          <w:sz w:val="24"/>
          <w:szCs w:val="24"/>
        </w:rPr>
        <w:t>That is the question</w:t>
      </w:r>
      <w:r w:rsidR="00FE0990">
        <w:rPr>
          <w:rFonts w:ascii="Times New Roman" w:hAnsi="Times New Roman" w:cs="Times New Roman"/>
          <w:sz w:val="24"/>
          <w:szCs w:val="24"/>
        </w:rPr>
        <w:t>!</w:t>
      </w:r>
      <w:r>
        <w:rPr>
          <w:rFonts w:ascii="Times New Roman" w:hAnsi="Times New Roman" w:cs="Times New Roman"/>
          <w:sz w:val="24"/>
          <w:szCs w:val="24"/>
        </w:rPr>
        <w:t>…</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¿Indolencia suicida? ¿Codicia excesiva? ¿Ignorancia supina? ¿Estupidez funcional? ¿Deseo de revancha?  ¿Dejar de ser un perdedor?... Si todos lo hacen… No quiero ser el último… Es lo que tiene la anestesia financiera (el fentanilo monetario)</w:t>
      </w:r>
      <w:r w:rsidR="00FE0990">
        <w:rPr>
          <w:rFonts w:ascii="Times New Roman" w:hAnsi="Times New Roman" w:cs="Times New Roman"/>
          <w:sz w:val="24"/>
          <w:szCs w:val="24"/>
        </w:rPr>
        <w:t>…</w:t>
      </w:r>
      <w:r>
        <w:rPr>
          <w:rFonts w:ascii="Times New Roman" w:hAnsi="Times New Roman" w:cs="Times New Roman"/>
          <w:sz w:val="24"/>
          <w:szCs w:val="24"/>
        </w:rPr>
        <w:t xml:space="preserve"> Se pierde el control.</w:t>
      </w:r>
    </w:p>
    <w:p w:rsidR="00583194" w:rsidRDefault="00583194" w:rsidP="00583194">
      <w:pPr>
        <w:spacing w:line="240" w:lineRule="auto"/>
        <w:jc w:val="both"/>
        <w:rPr>
          <w:rFonts w:ascii="Times New Roman" w:hAnsi="Times New Roman" w:cs="Times New Roman"/>
          <w:sz w:val="24"/>
          <w:szCs w:val="24"/>
        </w:rPr>
      </w:pPr>
      <w:r>
        <w:rPr>
          <w:rFonts w:ascii="Times New Roman" w:hAnsi="Times New Roman" w:cs="Times New Roman"/>
          <w:sz w:val="24"/>
          <w:szCs w:val="24"/>
        </w:rPr>
        <w:t>Tonto y fatal: el sueño idiota del ahorrista, y pequeño inversor, que lo termina</w:t>
      </w:r>
      <w:r w:rsidRPr="0092458B">
        <w:rPr>
          <w:rFonts w:ascii="Times New Roman" w:hAnsi="Times New Roman" w:cs="Times New Roman"/>
          <w:sz w:val="24"/>
          <w:szCs w:val="24"/>
        </w:rPr>
        <w:t xml:space="preserve"> lleva</w:t>
      </w:r>
      <w:r>
        <w:rPr>
          <w:rFonts w:ascii="Times New Roman" w:hAnsi="Times New Roman" w:cs="Times New Roman"/>
          <w:sz w:val="24"/>
          <w:szCs w:val="24"/>
        </w:rPr>
        <w:t>n</w:t>
      </w:r>
      <w:r w:rsidRPr="0092458B">
        <w:rPr>
          <w:rFonts w:ascii="Times New Roman" w:hAnsi="Times New Roman" w:cs="Times New Roman"/>
          <w:sz w:val="24"/>
          <w:szCs w:val="24"/>
        </w:rPr>
        <w:t>do en la dirección equivocada</w:t>
      </w:r>
      <w:r>
        <w:rPr>
          <w:rFonts w:ascii="Times New Roman" w:hAnsi="Times New Roman" w:cs="Times New Roman"/>
          <w:sz w:val="24"/>
          <w:szCs w:val="24"/>
        </w:rPr>
        <w:t>. I</w:t>
      </w:r>
      <w:r w:rsidRPr="0092458B">
        <w:rPr>
          <w:rFonts w:ascii="Times New Roman" w:hAnsi="Times New Roman" w:cs="Times New Roman"/>
          <w:sz w:val="24"/>
          <w:szCs w:val="24"/>
        </w:rPr>
        <w:t>magina</w:t>
      </w:r>
      <w:r>
        <w:rPr>
          <w:rFonts w:ascii="Times New Roman" w:hAnsi="Times New Roman" w:cs="Times New Roman"/>
          <w:sz w:val="24"/>
          <w:szCs w:val="24"/>
        </w:rPr>
        <w:t>r</w:t>
      </w:r>
      <w:r w:rsidRPr="0092458B">
        <w:rPr>
          <w:rFonts w:ascii="Times New Roman" w:hAnsi="Times New Roman" w:cs="Times New Roman"/>
          <w:sz w:val="24"/>
          <w:szCs w:val="24"/>
        </w:rPr>
        <w:t xml:space="preserve"> que el futuro es posible</w:t>
      </w:r>
      <w:r>
        <w:rPr>
          <w:rFonts w:ascii="Times New Roman" w:hAnsi="Times New Roman" w:cs="Times New Roman"/>
          <w:sz w:val="24"/>
          <w:szCs w:val="24"/>
        </w:rPr>
        <w:t xml:space="preserve">, creer que </w:t>
      </w:r>
      <w:r w:rsidRPr="0092458B">
        <w:rPr>
          <w:rFonts w:ascii="Times New Roman" w:hAnsi="Times New Roman" w:cs="Times New Roman"/>
          <w:sz w:val="24"/>
          <w:szCs w:val="24"/>
        </w:rPr>
        <w:t>uno es</w:t>
      </w:r>
      <w:r>
        <w:rPr>
          <w:rFonts w:ascii="Times New Roman" w:hAnsi="Times New Roman" w:cs="Times New Roman"/>
          <w:sz w:val="24"/>
          <w:szCs w:val="24"/>
        </w:rPr>
        <w:t xml:space="preserve"> algo más que lo que los demás </w:t>
      </w:r>
      <w:r w:rsidRPr="0092458B">
        <w:rPr>
          <w:rFonts w:ascii="Times New Roman" w:hAnsi="Times New Roman" w:cs="Times New Roman"/>
          <w:sz w:val="24"/>
          <w:szCs w:val="24"/>
        </w:rPr>
        <w:t>dicen que es.</w:t>
      </w:r>
      <w:r>
        <w:rPr>
          <w:rFonts w:ascii="Times New Roman" w:hAnsi="Times New Roman" w:cs="Times New Roman"/>
          <w:sz w:val="24"/>
          <w:szCs w:val="24"/>
        </w:rPr>
        <w:t xml:space="preserve">  Pero es difícil pasar por la basura sin mancharse</w:t>
      </w:r>
      <w:r w:rsidR="00FE0990">
        <w:rPr>
          <w:rFonts w:ascii="Times New Roman" w:hAnsi="Times New Roman" w:cs="Times New Roman"/>
          <w:sz w:val="24"/>
          <w:szCs w:val="24"/>
        </w:rPr>
        <w:t>…</w:t>
      </w:r>
      <w:r>
        <w:rPr>
          <w:rFonts w:ascii="Times New Roman" w:hAnsi="Times New Roman" w:cs="Times New Roman"/>
          <w:sz w:val="24"/>
          <w:szCs w:val="24"/>
        </w:rPr>
        <w:t xml:space="preserve"> Casi imposible.</w:t>
      </w:r>
    </w:p>
    <w:p w:rsidR="00583194" w:rsidRPr="00FE0990" w:rsidRDefault="00583194" w:rsidP="00583194">
      <w:pPr>
        <w:spacing w:line="240" w:lineRule="auto"/>
        <w:jc w:val="both"/>
        <w:rPr>
          <w:rFonts w:ascii="Times New Roman" w:hAnsi="Times New Roman" w:cs="Times New Roman"/>
          <w:b/>
          <w:sz w:val="24"/>
          <w:szCs w:val="24"/>
        </w:rPr>
      </w:pPr>
      <w:r w:rsidRPr="00FE0990">
        <w:rPr>
          <w:rFonts w:ascii="Times New Roman" w:hAnsi="Times New Roman" w:cs="Times New Roman"/>
          <w:b/>
          <w:sz w:val="24"/>
          <w:szCs w:val="24"/>
        </w:rPr>
        <w:t>Lo cretino, no excluye lo ruin.</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Al final, se trata de “contar historias”… Los políticos cuentan historias para ganar votos… Los vendedores cuentan historias para vender sus productos… Los ricos cuentan historias para ocultar su dinero… Y los financistas, cuentan historias para hacerse ricos. La masa madre de todas sus historias es la mentira, y sus hipérboles no son más que falacias.</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Juegan con la mente de la gente, cautivándola con historias para idiotas, donde los espectadores no tienen idea de lo que van a ver (conocer, votar,</w:t>
      </w:r>
      <w:r w:rsidR="00FE0990" w:rsidRPr="003A3508">
        <w:rPr>
          <w:rFonts w:ascii="Times New Roman" w:hAnsi="Times New Roman" w:cs="Times New Roman"/>
          <w:sz w:val="24"/>
          <w:szCs w:val="24"/>
        </w:rPr>
        <w:t xml:space="preserve"> o </w:t>
      </w:r>
      <w:r w:rsidRPr="003A3508">
        <w:rPr>
          <w:rFonts w:ascii="Times New Roman" w:hAnsi="Times New Roman" w:cs="Times New Roman"/>
          <w:sz w:val="24"/>
          <w:szCs w:val="24"/>
        </w:rPr>
        <w:t xml:space="preserve">invertir…). El futuro pertenece a aquellos que cuentan historias. </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Vivir entre mentiras no es patrimonio de ninguna ideología política como creen algunos estudiosos. Al contrario de lo que imaginan los críticos las mentiras conviven con mayor habilidad y frecuencia en la aparente tranquilidad cotidiana. Sólo llaman la atención cuando salta un suceso, pero el efecto es breve, y unas nuevas falacias suelen cubrirlo de olvido.</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 xml:space="preserve">“Algunos nacimos en un mundo de mentiras. Todo aquel que podía expresarse lo hacía para mentir. La gente de bien callaba. Para resumir aquella época, podría decirse que fue un tiempo de mentiras y silencios. Quién nos iba a decir que muchas décadas después viviríamos en una sociedad que no tiene complejos en soltar todas las mentiras que se le ocurren con tal de apañarse en la vida”, dice Gregorio Morán (Vivir entre mentiras - Vozpópuli - </w:t>
      </w:r>
      <w:r w:rsidRPr="003A3508">
        <w:rPr>
          <w:rFonts w:ascii="Times New Roman" w:hAnsi="Times New Roman" w:cs="Times New Roman"/>
          <w:b/>
          <w:sz w:val="24"/>
          <w:szCs w:val="24"/>
        </w:rPr>
        <w:t>7/10/23</w:t>
      </w:r>
      <w:r w:rsidRPr="003A3508">
        <w:rPr>
          <w:rFonts w:ascii="Times New Roman" w:hAnsi="Times New Roman" w:cs="Times New Roman"/>
          <w:sz w:val="24"/>
          <w:szCs w:val="24"/>
        </w:rPr>
        <w:t>)</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Pregunta: ¿Cómo hemos podido llegar hasta aquí?</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Respuesta: Nosotros, los culpables.</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“La característica más oculta de una sociedad de mentiras es que todos nos sentimos víctimas. De los padres, del sistema, del vecindario, de los sentimientos, de la oposición, del fascismo, del comunismo, del jefe, hasta de las mujeres o de los hombres; la gama es infinita y utilísima para la plácida conciencia. Un inhibidor de responsabilidades”, sostiene Morán.</w:t>
      </w:r>
    </w:p>
    <w:p w:rsidR="00583194" w:rsidRPr="003A3508" w:rsidRDefault="00583194" w:rsidP="00583194">
      <w:pPr>
        <w:spacing w:line="240" w:lineRule="auto"/>
        <w:jc w:val="both"/>
        <w:rPr>
          <w:rFonts w:ascii="Times New Roman" w:hAnsi="Times New Roman" w:cs="Times New Roman"/>
          <w:b/>
          <w:sz w:val="24"/>
          <w:szCs w:val="24"/>
        </w:rPr>
      </w:pPr>
      <w:r w:rsidRPr="003A3508">
        <w:rPr>
          <w:rFonts w:ascii="Times New Roman" w:hAnsi="Times New Roman" w:cs="Times New Roman"/>
          <w:b/>
          <w:sz w:val="24"/>
          <w:szCs w:val="24"/>
        </w:rPr>
        <w:t>Somos nosotros los que hemos aceptado alterar la lógica ordinaria</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Somos nosotros los que hemos permitido que algunos hayan tomado el control de nuestras vidas y bienes.</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Somos nosotros los que hemos permitido que se establezca una dictadura digital.</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Somos nosotros los que hemos aceptado la implantación del algoritmo de la represión.</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La tecnología cuando sirve a una ideología totalitaria puede causar daños irreversibles. El dominio de la Inteligencia Artificial parece no tener límite: una sociedad desprovista de humanidad.</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lastRenderedPageBreak/>
        <w:t xml:space="preserve">La escasez de valores morales  de la sociedad termina permitiendo a los déspotas crear un sistema de gestión de premios y castigos según su modelo de administración, seguridad, y control, de la paz y estabilidad, sin reconocimiento del derecho humano. </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 xml:space="preserve">Algunos ejemplos recientes, de renuncia voluntaria a la libertad individual y los derechos humanos (por miedo, seguridad, o manipulación): la Patriot Act (el Gran Hermano), cuyo objetivo fue ampliar la capacidad de control del Estado en aras de combatir el terrorismo, mejorando la capacidad de las distintas agencias de seguridad estadounidenses al coordinarlas y dotarlas de mayores poderes de vigilancia contra los delitos de terrorismo (también promulgó nuevos delitos y endureció las penas), los sistemas de vigilancia, el reconocimiento facial, la cultura de la cancelación, el pensamiento woke, el feminismo radical, el ecologismo extremo, el animalismo delirante… </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Algunos ejemplos recientes, de renuncia voluntaria a la intimidad (por ignorancia, frivolidad, o abducción): la digitalización, los teléfonos móviles, las redes sociales, las plataformas, el tráfico de datos, los algoritmos, el big data, la inteligencia artificial, el metaverso, la nube, la desinformación, la intoxicación, la manipulación…</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Algunos ejemplos recientes, de renuncia voluntaria a la lógica ordinaria (por codicia, desesperación, o estupidez): el blockchain, el fintech, las criptomonedas, los productos híbridos, los productos derivados, los productos estructurados, el token digital (o vale digital) conocido como NFT,</w:t>
      </w:r>
      <w:r w:rsidRPr="003A3508">
        <w:t xml:space="preserve"> </w:t>
      </w:r>
      <w:r w:rsidRPr="003A3508">
        <w:rPr>
          <w:rFonts w:ascii="Times New Roman" w:hAnsi="Times New Roman" w:cs="Times New Roman"/>
          <w:sz w:val="24"/>
          <w:szCs w:val="24"/>
        </w:rPr>
        <w:t xml:space="preserve">es una representación inequívoca de un activos, tanto digital como físico, en la red blockchain, las SPAC, básicamente son compañías, con un propósito especial de compra, es decir, con la intención de recaudar capital para la potencial fusión o adquisición de una futura empresa o start-up, el crowdfunding, la disrupción…  </w:t>
      </w:r>
    </w:p>
    <w:p w:rsidR="00583194" w:rsidRPr="003A3508" w:rsidRDefault="00583194" w:rsidP="00583194">
      <w:pPr>
        <w:spacing w:line="240" w:lineRule="auto"/>
        <w:jc w:val="both"/>
        <w:rPr>
          <w:rFonts w:ascii="Times New Roman" w:hAnsi="Times New Roman" w:cs="Times New Roman"/>
          <w:b/>
          <w:sz w:val="24"/>
          <w:szCs w:val="24"/>
        </w:rPr>
      </w:pPr>
      <w:r w:rsidRPr="003A3508">
        <w:rPr>
          <w:rFonts w:ascii="Times New Roman" w:hAnsi="Times New Roman" w:cs="Times New Roman"/>
          <w:b/>
          <w:sz w:val="24"/>
          <w:szCs w:val="24"/>
        </w:rPr>
        <w:t xml:space="preserve">Somos nosotros (como ciudadanos, como usuarios, como ahorristas, o como inversores) los únicos que podemos resistir el embate y dominio de los cretinos y ruines  </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La ideología es un velo con el que, los que mandan, encubren sus intereses…</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La vida de un hombre no se reduce solo a razones económicas…</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Todos los hombres tiene vicios, pero algunos eligen el más barato, la avaricia (y los señalados anteriormente están en esa categoría)…</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La sabiduría del pueblo llano está en no dejar que sus intereses sean gestionados por esos avariciosos individuos…</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Los hombres sabios no deben vivir la vida que otros (los avariciosos) hayan elegido para ellos. Donde nunca pasa nada, donde nada tiene sentido y nada se mueve…</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Hay que poner fin a los patéticos planes de los individuos cegados por la avaricia… Hay que intentar no ser su objeto, ni su juguete, ni su animal de compañía…</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¡Hay que volver a meter el genio en la botella!</w:t>
      </w:r>
    </w:p>
    <w:p w:rsidR="00583194" w:rsidRPr="003A3508" w:rsidRDefault="00583194" w:rsidP="00583194">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 xml:space="preserve">De seguir así, creo que, lamentablemente, habrá que confirmar el pronóstico del suicidio de Occidente. Un autor de novela posapocalíptica, podría preguntar: “dígame si con esa gente, Occidente no se suicida” (certificando el fin de una era). </w:t>
      </w:r>
    </w:p>
    <w:p w:rsidR="00391AC3" w:rsidRPr="003A3508" w:rsidRDefault="00391AC3" w:rsidP="00583194">
      <w:pPr>
        <w:spacing w:line="240" w:lineRule="auto"/>
        <w:jc w:val="both"/>
        <w:rPr>
          <w:rFonts w:ascii="Times New Roman" w:hAnsi="Times New Roman" w:cs="Times New Roman"/>
          <w:sz w:val="24"/>
          <w:szCs w:val="24"/>
        </w:rPr>
      </w:pPr>
    </w:p>
    <w:p w:rsidR="00391AC3" w:rsidRPr="003A3508" w:rsidRDefault="00391AC3" w:rsidP="00583194">
      <w:pPr>
        <w:spacing w:line="240" w:lineRule="auto"/>
        <w:jc w:val="both"/>
        <w:rPr>
          <w:rFonts w:ascii="Times New Roman" w:hAnsi="Times New Roman" w:cs="Times New Roman"/>
          <w:sz w:val="24"/>
          <w:szCs w:val="24"/>
        </w:rPr>
      </w:pPr>
    </w:p>
    <w:p w:rsidR="00391AC3" w:rsidRPr="003A3508" w:rsidRDefault="00391AC3" w:rsidP="00391AC3">
      <w:pPr>
        <w:spacing w:line="240" w:lineRule="auto"/>
        <w:jc w:val="both"/>
        <w:rPr>
          <w:rFonts w:ascii="Times New Roman" w:hAnsi="Times New Roman" w:cs="Times New Roman"/>
          <w:b/>
          <w:sz w:val="24"/>
          <w:szCs w:val="24"/>
        </w:rPr>
      </w:pPr>
      <w:r w:rsidRPr="003A3508">
        <w:rPr>
          <w:rFonts w:ascii="Times New Roman" w:hAnsi="Times New Roman" w:cs="Times New Roman"/>
          <w:b/>
          <w:sz w:val="24"/>
          <w:szCs w:val="24"/>
        </w:rPr>
        <w:lastRenderedPageBreak/>
        <w:t>Nota I: relatos mortales de la “economía de papel” (de minoría extractoras a minorías destructivas)</w:t>
      </w:r>
    </w:p>
    <w:p w:rsidR="00391AC3" w:rsidRPr="003A3508" w:rsidRDefault="00391AC3" w:rsidP="00391AC3">
      <w:pPr>
        <w:spacing w:line="240" w:lineRule="auto"/>
        <w:jc w:val="both"/>
        <w:rPr>
          <w:rFonts w:ascii="Times New Roman" w:hAnsi="Times New Roman" w:cs="Times New Roman"/>
          <w:b/>
          <w:sz w:val="24"/>
          <w:szCs w:val="24"/>
        </w:rPr>
      </w:pPr>
      <w:r w:rsidRPr="003A3508">
        <w:rPr>
          <w:rFonts w:ascii="Times New Roman" w:hAnsi="Times New Roman" w:cs="Times New Roman"/>
          <w:b/>
          <w:sz w:val="24"/>
          <w:szCs w:val="24"/>
        </w:rPr>
        <w:t>El “wokismo” es el epítome de la banalidad del bien (absolutismo moral).</w:t>
      </w:r>
    </w:p>
    <w:p w:rsidR="00391AC3" w:rsidRPr="003A3508" w:rsidRDefault="00391AC3" w:rsidP="00391AC3">
      <w:pPr>
        <w:spacing w:line="240" w:lineRule="auto"/>
        <w:jc w:val="both"/>
        <w:rPr>
          <w:rFonts w:ascii="Times New Roman" w:hAnsi="Times New Roman"/>
          <w:b/>
          <w:sz w:val="24"/>
          <w:szCs w:val="24"/>
        </w:rPr>
      </w:pPr>
      <w:r w:rsidRPr="003A3508">
        <w:rPr>
          <w:rFonts w:ascii="Times New Roman" w:hAnsi="Times New Roman"/>
          <w:b/>
          <w:sz w:val="24"/>
          <w:szCs w:val="24"/>
        </w:rPr>
        <w:t>Bajo la excusa posmoderna de que todas las verdades son parciales, la mentira se ha apoderado de nuestra realidad, haciéndonos dudar de hechos que, hasta hace poco, resultaban irrebatibles.</w:t>
      </w:r>
    </w:p>
    <w:p w:rsidR="00391AC3" w:rsidRPr="003A3508" w:rsidRDefault="00391AC3" w:rsidP="00391AC3">
      <w:pPr>
        <w:spacing w:line="240" w:lineRule="auto"/>
        <w:jc w:val="both"/>
        <w:rPr>
          <w:rFonts w:ascii="Times New Roman" w:hAnsi="Times New Roman" w:cs="Times New Roman"/>
          <w:b/>
          <w:sz w:val="24"/>
          <w:szCs w:val="24"/>
        </w:rPr>
      </w:pPr>
      <w:r w:rsidRPr="003A3508">
        <w:rPr>
          <w:rFonts w:ascii="Times New Roman" w:hAnsi="Times New Roman" w:cs="Times New Roman"/>
          <w:b/>
          <w:sz w:val="24"/>
          <w:szCs w:val="24"/>
        </w:rPr>
        <w:t>La tolerancia estúpida es el mejor camino hacia una dictadura intolerante.</w:t>
      </w:r>
    </w:p>
    <w:p w:rsidR="00391AC3" w:rsidRPr="003A3508" w:rsidRDefault="00391AC3" w:rsidP="00391AC3">
      <w:pPr>
        <w:spacing w:line="240" w:lineRule="auto"/>
        <w:jc w:val="both"/>
        <w:rPr>
          <w:rFonts w:ascii="Times New Roman" w:hAnsi="Times New Roman" w:cs="Times New Roman"/>
          <w:b/>
          <w:sz w:val="24"/>
          <w:szCs w:val="24"/>
        </w:rPr>
      </w:pPr>
      <w:r w:rsidRPr="003A3508">
        <w:rPr>
          <w:rFonts w:ascii="Times New Roman" w:hAnsi="Times New Roman" w:cs="Times New Roman"/>
          <w:b/>
          <w:sz w:val="24"/>
          <w:szCs w:val="24"/>
        </w:rPr>
        <w:t>En este mundo solo hay dos tipos de personas: los ganadores y los perdedores. Y tú y yo, no somos ganadores: la gente como tú y como yo, pierde siempre.</w:t>
      </w:r>
    </w:p>
    <w:p w:rsidR="00391AC3" w:rsidRPr="003A3508" w:rsidRDefault="00391AC3" w:rsidP="00391AC3">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Un párrafo para los “socios del silencio”: desde la soledad, falibilidad, y escaso alcance, de mis alegaciones (en el humilde speakers’ corner de realidadeconomica.com) echo en falta, con melancolía, pero sin sorpresas, la falta de pronunciamiento (análisis, examen, opinión, juicio, crítica, advertencia, censura, o reproche), sobre la “economía de papel”, de algunos grandes bonetes, vacas sagradas, gurús mediáticos, analistas de postín, académicos de la Ivy League, prestigiosos Nobelados, o publicitados noveleros… para que el lector pueda dar o quitar razón a mis comentarios y propuestas. Callados como momias egipcias, en la mayoría de los casos; ciegos voluntarios, ante las flagrantes evidencias;</w:t>
      </w:r>
      <w:r w:rsidR="002F5E01" w:rsidRPr="003A3508">
        <w:rPr>
          <w:rFonts w:ascii="Times New Roman" w:hAnsi="Times New Roman" w:cs="Times New Roman"/>
          <w:sz w:val="24"/>
          <w:szCs w:val="24"/>
        </w:rPr>
        <w:t xml:space="preserve"> amnésicos tasados, de necesidad y urgencia;</w:t>
      </w:r>
      <w:r w:rsidRPr="003A3508">
        <w:rPr>
          <w:rFonts w:ascii="Times New Roman" w:hAnsi="Times New Roman" w:cs="Times New Roman"/>
          <w:sz w:val="24"/>
          <w:szCs w:val="24"/>
        </w:rPr>
        <w:t xml:space="preserve"> contemplativos o relativistas, situando el fundamento de la verdad en el sujeto que juzga, cuando no pueden negar lo obvio… ¿Cooperadores necesarios? ¿plumas de alquiler? ¿estómagos agradecidos?</w:t>
      </w:r>
      <w:r w:rsidR="002F5E01" w:rsidRPr="003A3508">
        <w:rPr>
          <w:rFonts w:ascii="Times New Roman" w:hAnsi="Times New Roman" w:cs="Times New Roman"/>
          <w:sz w:val="24"/>
          <w:szCs w:val="24"/>
        </w:rPr>
        <w:t xml:space="preserve"> ¿apparátchik del establishment?...</w:t>
      </w:r>
      <w:r w:rsidRPr="003A3508">
        <w:rPr>
          <w:rFonts w:ascii="Times New Roman" w:hAnsi="Times New Roman" w:cs="Times New Roman"/>
          <w:sz w:val="24"/>
          <w:szCs w:val="24"/>
        </w:rPr>
        <w:t xml:space="preserve"> Ustedes mismos.</w:t>
      </w:r>
    </w:p>
    <w:p w:rsidR="00391AC3" w:rsidRPr="003A3508" w:rsidRDefault="00391AC3" w:rsidP="00391AC3">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Un párrafo para los profetas del “capitalismo woke”: constituye una transgresión del espíritu democrático que un grupo selecto de empresarios en busca de lucro, por el solo hecho de ser poderosos, tome decisiones que definen la conducta de comunidades enteras. No corresponde que sea el poder multinacional del dinero en búsqueda de ganancias el que fije de facto estándares de convivencia planetarios que amenazan con la cancelación a quienes disienten. Las normas de convivencia deben ser establecidas a través de la deliberación política de las comunidades nacionales y no tendrían que ser impuestas por cúpulas empresariales globalizadas que se disponen a ganar plata con falso buenismo.</w:t>
      </w:r>
      <w:r w:rsidR="0036680B" w:rsidRPr="003A3508">
        <w:rPr>
          <w:rFonts w:ascii="Times New Roman" w:hAnsi="Times New Roman" w:cs="Times New Roman"/>
          <w:sz w:val="24"/>
          <w:szCs w:val="24"/>
        </w:rPr>
        <w:t xml:space="preserve"> </w:t>
      </w:r>
    </w:p>
    <w:p w:rsidR="00391AC3" w:rsidRPr="003A3508" w:rsidRDefault="00391AC3" w:rsidP="00391AC3">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Un párrafo para los apóstoles del “gran reseteo”: da nombre a la propuesta del Foro Económico Mundial (WEF por las siglas en inglés) de transformar el modelo económico tras la pandemia. La propuesta no ha estado exenta de críticas. Columnas de opinión en medios como Forbes o The Guardian han tachado el Gran Reseteo de plan vacío motivado por una “agenda social radical” y propuesto por quienes abogan por combatir el cambio climático pero llegan a Davos en jets privados. La polémica principal tiene que ver con la teoría de la conspiración surgida en torno al Gran Reinicio, que considera al WEF como un club de millonarios globalistas, que pretenden eliminar los Estados para formar un único Gobierno global. Aseguran que el Gran Reseteo es un plan para establecer una dictadura tecnológica gobernada por Klaus Schwab, director del WEF, y Bill Gates, fundador de Microsoft.</w:t>
      </w:r>
    </w:p>
    <w:p w:rsidR="00391AC3" w:rsidRPr="003A3508" w:rsidRDefault="00391AC3" w:rsidP="00391AC3">
      <w:pPr>
        <w:spacing w:line="240" w:lineRule="auto"/>
        <w:jc w:val="both"/>
        <w:rPr>
          <w:rFonts w:ascii="Times New Roman" w:hAnsi="Times New Roman" w:cs="Times New Roman"/>
          <w:bCs/>
          <w:sz w:val="24"/>
          <w:szCs w:val="24"/>
          <w:shd w:val="clear" w:color="auto" w:fill="FFFFFF"/>
        </w:rPr>
      </w:pPr>
      <w:r w:rsidRPr="003A3508">
        <w:rPr>
          <w:rFonts w:ascii="Times New Roman" w:hAnsi="Times New Roman" w:cs="Times New Roman"/>
          <w:bCs/>
          <w:sz w:val="24"/>
          <w:szCs w:val="24"/>
          <w:shd w:val="clear" w:color="auto" w:fill="FFFFFF"/>
        </w:rPr>
        <w:t>¿El Gran Reseteo acabará siendo un espejismo que impondrá un sistema nuevo, procurando la aceptación por parte de la población de condiciones más precarias que se derivarán de la crisis? ¿O realmente se pretende una mejora honesta de las condiciones y la sostenibilidad? Ustedes mismos.</w:t>
      </w:r>
    </w:p>
    <w:p w:rsidR="00BF6907" w:rsidRPr="003A3508" w:rsidRDefault="00BF6907" w:rsidP="00391AC3">
      <w:pPr>
        <w:spacing w:line="240" w:lineRule="auto"/>
        <w:jc w:val="both"/>
        <w:rPr>
          <w:rFonts w:ascii="Times New Roman" w:hAnsi="Times New Roman" w:cs="Times New Roman"/>
          <w:b/>
          <w:bCs/>
          <w:sz w:val="24"/>
          <w:szCs w:val="24"/>
          <w:shd w:val="clear" w:color="auto" w:fill="FFFFFF"/>
        </w:rPr>
      </w:pPr>
      <w:r w:rsidRPr="003A3508">
        <w:rPr>
          <w:rFonts w:ascii="Times New Roman" w:hAnsi="Times New Roman" w:cs="Times New Roman"/>
          <w:b/>
          <w:bCs/>
          <w:sz w:val="24"/>
          <w:szCs w:val="24"/>
          <w:shd w:val="clear" w:color="auto" w:fill="FFFFFF"/>
        </w:rPr>
        <w:t>Después de lo vivido (y padecido), por la gente común, entre el año 2008 y el 2023, solo nos falta que lleguen los extraterrestres…y los “ingenieros de alma” los están buscando.</w:t>
      </w:r>
    </w:p>
    <w:p w:rsidR="00583194" w:rsidRPr="003A3508" w:rsidRDefault="00583194" w:rsidP="00583194">
      <w:pPr>
        <w:spacing w:line="240" w:lineRule="auto"/>
        <w:jc w:val="both"/>
        <w:rPr>
          <w:rFonts w:ascii="Times New Roman" w:hAnsi="Times New Roman" w:cs="Times New Roman"/>
          <w:b/>
          <w:sz w:val="24"/>
          <w:szCs w:val="24"/>
        </w:rPr>
      </w:pPr>
      <w:r w:rsidRPr="003A3508">
        <w:rPr>
          <w:rFonts w:ascii="Times New Roman" w:hAnsi="Times New Roman" w:cs="Times New Roman"/>
          <w:b/>
          <w:sz w:val="24"/>
          <w:szCs w:val="24"/>
        </w:rPr>
        <w:lastRenderedPageBreak/>
        <w:t>Nota</w:t>
      </w:r>
      <w:r w:rsidR="00391AC3" w:rsidRPr="003A3508">
        <w:rPr>
          <w:rFonts w:ascii="Times New Roman" w:hAnsi="Times New Roman" w:cs="Times New Roman"/>
          <w:b/>
          <w:sz w:val="24"/>
          <w:szCs w:val="24"/>
        </w:rPr>
        <w:t xml:space="preserve"> II</w:t>
      </w:r>
      <w:r w:rsidRPr="003A3508">
        <w:rPr>
          <w:rFonts w:ascii="Times New Roman" w:hAnsi="Times New Roman" w:cs="Times New Roman"/>
          <w:b/>
          <w:sz w:val="24"/>
          <w:szCs w:val="24"/>
        </w:rPr>
        <w:t>: relatos mortales de la “economía de papel” (de minoría extractoras a minorías destructivas)</w:t>
      </w:r>
    </w:p>
    <w:p w:rsidR="00391AC3" w:rsidRPr="003A3508" w:rsidRDefault="00391AC3" w:rsidP="00391AC3">
      <w:pPr>
        <w:spacing w:line="240" w:lineRule="auto"/>
        <w:jc w:val="both"/>
        <w:rPr>
          <w:rFonts w:ascii="Times New Roman" w:hAnsi="Times New Roman" w:cs="Times New Roman"/>
          <w:sz w:val="24"/>
          <w:szCs w:val="24"/>
        </w:rPr>
      </w:pPr>
      <w:r w:rsidRPr="003A3508">
        <w:rPr>
          <w:rFonts w:ascii="Times New Roman" w:hAnsi="Times New Roman" w:cs="Times New Roman"/>
          <w:sz w:val="24"/>
          <w:szCs w:val="24"/>
        </w:rPr>
        <w:t>Como en este Paper no utilizo</w:t>
      </w:r>
      <w:r w:rsidR="00AB5478" w:rsidRPr="003A3508">
        <w:rPr>
          <w:rFonts w:ascii="Times New Roman" w:hAnsi="Times New Roman" w:cs="Times New Roman"/>
          <w:sz w:val="24"/>
          <w:szCs w:val="24"/>
        </w:rPr>
        <w:t xml:space="preserve"> el Apartado habitual</w:t>
      </w:r>
      <w:r w:rsidR="003A3508">
        <w:rPr>
          <w:rFonts w:ascii="Times New Roman" w:hAnsi="Times New Roman" w:cs="Times New Roman"/>
          <w:sz w:val="24"/>
          <w:szCs w:val="24"/>
        </w:rPr>
        <w:t>,</w:t>
      </w:r>
      <w:r w:rsidRPr="003A3508">
        <w:rPr>
          <w:rFonts w:ascii="Times New Roman" w:hAnsi="Times New Roman" w:cs="Times New Roman"/>
          <w:sz w:val="24"/>
          <w:szCs w:val="24"/>
        </w:rPr>
        <w:t xml:space="preserve"> con la opinión de “los que saben” (por las razones antes citadas), solo me permitiré la licencia de adjuntar dos artículos period</w:t>
      </w:r>
      <w:r w:rsidR="003A3508">
        <w:rPr>
          <w:rFonts w:ascii="Times New Roman" w:hAnsi="Times New Roman" w:cs="Times New Roman"/>
          <w:sz w:val="24"/>
          <w:szCs w:val="24"/>
        </w:rPr>
        <w:t>ísticos de referencia, para que el lector pueda dar o quitar razón a mis argumentos</w:t>
      </w:r>
      <w:r w:rsidRPr="003A3508">
        <w:rPr>
          <w:rFonts w:ascii="Times New Roman" w:hAnsi="Times New Roman" w:cs="Times New Roman"/>
          <w:sz w:val="24"/>
          <w:szCs w:val="24"/>
        </w:rPr>
        <w:t>:</w:t>
      </w:r>
    </w:p>
    <w:p w:rsidR="00A9345E" w:rsidRPr="00391AC3" w:rsidRDefault="00AB5478" w:rsidP="00A9345E">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00A9345E">
        <w:rPr>
          <w:rFonts w:ascii="Times New Roman" w:hAnsi="Times New Roman"/>
          <w:sz w:val="24"/>
          <w:szCs w:val="24"/>
        </w:rPr>
        <w:t xml:space="preserve">- </w:t>
      </w:r>
      <w:r w:rsidR="00A9345E" w:rsidRPr="00A91D66">
        <w:rPr>
          <w:rFonts w:ascii="Times New Roman" w:hAnsi="Times New Roman"/>
          <w:sz w:val="24"/>
          <w:szCs w:val="24"/>
          <w:u w:val="single"/>
        </w:rPr>
        <w:t>Occidente reacciona, aunque tarde</w:t>
      </w:r>
      <w:r w:rsidR="00A9345E">
        <w:rPr>
          <w:rFonts w:ascii="Times New Roman" w:hAnsi="Times New Roman"/>
          <w:sz w:val="24"/>
          <w:szCs w:val="24"/>
        </w:rPr>
        <w:t xml:space="preserve"> (Cinco Días - </w:t>
      </w:r>
      <w:r w:rsidR="00A9345E" w:rsidRPr="00A91D66">
        <w:rPr>
          <w:rFonts w:ascii="Times New Roman" w:hAnsi="Times New Roman"/>
          <w:b/>
          <w:sz w:val="24"/>
          <w:szCs w:val="24"/>
        </w:rPr>
        <w:t>16/10/23</w:t>
      </w:r>
      <w:r w:rsidR="00A9345E">
        <w:rPr>
          <w:rFonts w:ascii="Times New Roman" w:hAnsi="Times New Roman"/>
          <w:sz w:val="24"/>
          <w:szCs w:val="24"/>
        </w:rPr>
        <w:t>)</w:t>
      </w:r>
    </w:p>
    <w:p w:rsidR="00A9345E" w:rsidRPr="00575799" w:rsidRDefault="00A9345E" w:rsidP="00A9345E">
      <w:pPr>
        <w:spacing w:line="240" w:lineRule="auto"/>
        <w:jc w:val="both"/>
        <w:rPr>
          <w:rFonts w:ascii="Times New Roman" w:hAnsi="Times New Roman"/>
          <w:sz w:val="24"/>
          <w:szCs w:val="24"/>
        </w:rPr>
      </w:pPr>
      <w:r w:rsidRPr="00575799">
        <w:rPr>
          <w:rFonts w:ascii="Times New Roman" w:hAnsi="Times New Roman"/>
          <w:sz w:val="24"/>
          <w:szCs w:val="24"/>
        </w:rPr>
        <w:t>(Por J</w:t>
      </w:r>
      <w:r w:rsidR="00E66221">
        <w:rPr>
          <w:rFonts w:ascii="Times New Roman" w:hAnsi="Times New Roman"/>
          <w:sz w:val="24"/>
          <w:szCs w:val="24"/>
        </w:rPr>
        <w:t>ordi Sevilla)</w:t>
      </w:r>
    </w:p>
    <w:p w:rsidR="00A9345E" w:rsidRPr="00AE1C68" w:rsidRDefault="00A9345E" w:rsidP="00A9345E">
      <w:pPr>
        <w:spacing w:line="240" w:lineRule="auto"/>
        <w:jc w:val="both"/>
        <w:rPr>
          <w:rFonts w:ascii="Times New Roman" w:hAnsi="Times New Roman"/>
          <w:b/>
          <w:color w:val="FF0000"/>
          <w:sz w:val="24"/>
          <w:szCs w:val="24"/>
          <w:u w:val="single"/>
        </w:rPr>
      </w:pPr>
      <w:r w:rsidRPr="00AE1C68">
        <w:rPr>
          <w:rFonts w:ascii="Times New Roman" w:hAnsi="Times New Roman"/>
          <w:b/>
          <w:color w:val="FF0000"/>
          <w:sz w:val="24"/>
          <w:szCs w:val="24"/>
          <w:u w:val="single"/>
        </w:rPr>
        <w:t xml:space="preserve">La globalización neoliberal, sin reglas, ni gobernanza, ha tenido dos grandes beneficiarios: los dueños de empresas plurinacionales que han mejorado beneficios al trocear sus procesos, producirlos donde era más barato, para luego ensamblarlos, y países como China, convertida, gracias a ello, en la fábrica del mundo, a la vez que en gran expoliador de tecnologías. Y dos grandes perdedores: Occidente, cuya hegemonía mundial está amenazada porque el poder económico y tecnológico se desplaza a Asia, y los trabajadores de las industrias occidentales, al ver </w:t>
      </w:r>
      <w:r w:rsidR="00E66221" w:rsidRPr="00AE1C68">
        <w:rPr>
          <w:rFonts w:ascii="Times New Roman" w:hAnsi="Times New Roman"/>
          <w:b/>
          <w:color w:val="FF0000"/>
          <w:sz w:val="24"/>
          <w:szCs w:val="24"/>
          <w:u w:val="single"/>
        </w:rPr>
        <w:t>cómo</w:t>
      </w:r>
      <w:r w:rsidRPr="00AE1C68">
        <w:rPr>
          <w:rFonts w:ascii="Times New Roman" w:hAnsi="Times New Roman"/>
          <w:b/>
          <w:color w:val="FF0000"/>
          <w:sz w:val="24"/>
          <w:szCs w:val="24"/>
          <w:u w:val="single"/>
        </w:rPr>
        <w:t xml:space="preserve"> su empleo se deslocalizaba y se quedaban desprotegidos por un Estado nacional dominado por una lógica de recortes sociales.</w:t>
      </w:r>
    </w:p>
    <w:p w:rsidR="00A9345E" w:rsidRPr="00AE1C68" w:rsidRDefault="00A9345E" w:rsidP="00A9345E">
      <w:pPr>
        <w:spacing w:line="240" w:lineRule="auto"/>
        <w:jc w:val="both"/>
        <w:rPr>
          <w:rFonts w:ascii="Times New Roman" w:hAnsi="Times New Roman"/>
          <w:color w:val="FF0000"/>
          <w:sz w:val="24"/>
          <w:szCs w:val="24"/>
          <w:u w:val="single"/>
        </w:rPr>
      </w:pPr>
      <w:r w:rsidRPr="00AE1C68">
        <w:rPr>
          <w:rFonts w:ascii="Times New Roman" w:hAnsi="Times New Roman"/>
          <w:color w:val="FF0000"/>
          <w:sz w:val="24"/>
          <w:szCs w:val="24"/>
          <w:u w:val="single"/>
        </w:rPr>
        <w:t>Y es que, al final, nada ha salido como nos prometieron cuando, tras la caída del comunismo, se proclamó el triunfo total del capitalismo competitivo y de la democracia liberal que, dada su demostrada superioridad, irían expandiéndose por todo el planeta. Treinta años después, por el contrario, se consolidan modelos de capitalismo estatalista que no respetan las normas del mercado (China, Rusia…), grandes oligopolios como las empresas tecnológicas con p</w:t>
      </w:r>
      <w:r w:rsidR="00815D9D">
        <w:rPr>
          <w:rFonts w:ascii="Times New Roman" w:hAnsi="Times New Roman"/>
          <w:color w:val="FF0000"/>
          <w:sz w:val="24"/>
          <w:szCs w:val="24"/>
          <w:u w:val="single"/>
        </w:rPr>
        <w:t>rocesos abiertos por ello en EE</w:t>
      </w:r>
      <w:r w:rsidRPr="00AE1C68">
        <w:rPr>
          <w:rFonts w:ascii="Times New Roman" w:hAnsi="Times New Roman"/>
          <w:color w:val="FF0000"/>
          <w:sz w:val="24"/>
          <w:szCs w:val="24"/>
          <w:u w:val="single"/>
        </w:rPr>
        <w:t xml:space="preserve">UU y en la UE, mientras el Estado vuelve a ser reclamado como agente imprescindible para hacer frente a crisis económicas como las de 2008 o sanitarias, como la pandemia, y la democracia retrocede, empujada por el populismo y se refuerzan modelos alternativos de democracias populares de partido único. A la vez, la mayor interrelación económica no ha reducido las tentaciones bélicas, como se encarga de demostrar Putin en Ucrania, </w:t>
      </w:r>
      <w:r w:rsidR="003A3508">
        <w:rPr>
          <w:rFonts w:ascii="Times New Roman" w:hAnsi="Times New Roman"/>
          <w:color w:val="FF0000"/>
          <w:sz w:val="24"/>
          <w:szCs w:val="24"/>
          <w:u w:val="single"/>
        </w:rPr>
        <w:t>o las amenazas de Xi sobre Taiwá</w:t>
      </w:r>
      <w:r w:rsidRPr="00AE1C68">
        <w:rPr>
          <w:rFonts w:ascii="Times New Roman" w:hAnsi="Times New Roman"/>
          <w:color w:val="FF0000"/>
          <w:sz w:val="24"/>
          <w:szCs w:val="24"/>
          <w:u w:val="single"/>
        </w:rPr>
        <w:t>n.</w:t>
      </w:r>
    </w:p>
    <w:p w:rsidR="00A9345E" w:rsidRPr="00AE1C68" w:rsidRDefault="00A9345E" w:rsidP="00A9345E">
      <w:pPr>
        <w:spacing w:line="240" w:lineRule="auto"/>
        <w:jc w:val="both"/>
        <w:rPr>
          <w:rFonts w:ascii="Times New Roman" w:hAnsi="Times New Roman"/>
          <w:color w:val="FF0000"/>
          <w:sz w:val="24"/>
          <w:szCs w:val="24"/>
          <w:u w:val="single"/>
        </w:rPr>
      </w:pPr>
      <w:r w:rsidRPr="00A91D66">
        <w:rPr>
          <w:rFonts w:ascii="Times New Roman" w:hAnsi="Times New Roman"/>
          <w:sz w:val="24"/>
          <w:szCs w:val="24"/>
        </w:rPr>
        <w:t xml:space="preserve">Según un informe que realizado por EsadeGeo, el eje del poder económico mundial se ha desplazado a Asia, empujada por un mayor crecimiento de la población y, sobre todo, por un espectacular y persistente incremento del PIB, de la mano de sus exportaciones de productos fabricados en sus países, al principio, por empresas occidentales a las que han ido desplazando conforme absorbían sus conocimientos. </w:t>
      </w:r>
      <w:r w:rsidRPr="00AE1C68">
        <w:rPr>
          <w:rFonts w:ascii="Times New Roman" w:hAnsi="Times New Roman"/>
          <w:color w:val="FF0000"/>
          <w:sz w:val="24"/>
          <w:szCs w:val="24"/>
          <w:u w:val="single"/>
        </w:rPr>
        <w:t>La globalización neoliberal se ha basado, pues, en una especie de intercambio desigual en favor de Asia y de los más ricos del planeta, dado que el dinero es nómada y puede moverse buscando mayor rentabilidad y menor fiscalidad, mientras que el trabajo es, básicamente, sedentario.</w:t>
      </w:r>
    </w:p>
    <w:p w:rsidR="00A9345E" w:rsidRPr="00A91D66" w:rsidRDefault="00A9345E" w:rsidP="00A9345E">
      <w:pPr>
        <w:spacing w:line="240" w:lineRule="auto"/>
        <w:jc w:val="both"/>
        <w:rPr>
          <w:rFonts w:ascii="Times New Roman" w:hAnsi="Times New Roman"/>
          <w:sz w:val="24"/>
          <w:szCs w:val="24"/>
        </w:rPr>
      </w:pPr>
      <w:r w:rsidRPr="00A91D66">
        <w:rPr>
          <w:rFonts w:ascii="Times New Roman" w:hAnsi="Times New Roman"/>
          <w:sz w:val="24"/>
          <w:szCs w:val="24"/>
        </w:rPr>
        <w:t>El camino de China hacia la hegemonía mundial está trazado desde hace años, por las resoluciones del Partido comunista y los discursos de su líder Xi. Y tiene tres elementos: incrementar su autonomía estratégica en sectores clave como el tecnológico; desplazar a EE UU como líder en Asia y, tercero, extender su influencia a nivel mundial con iniciativas como la Nueva Ruta de la Seda y otros instrumentos alternativos a los existentes, buscando el objetivo del Partido Comunista Chino de conseguir “un cambio sistémico en el orden mundial” actual.</w:t>
      </w:r>
    </w:p>
    <w:p w:rsidR="00A9345E" w:rsidRPr="00AE1C68" w:rsidRDefault="00A9345E" w:rsidP="00A9345E">
      <w:pPr>
        <w:spacing w:line="240" w:lineRule="auto"/>
        <w:jc w:val="both"/>
        <w:rPr>
          <w:rFonts w:ascii="Times New Roman" w:hAnsi="Times New Roman"/>
          <w:color w:val="FF0000"/>
          <w:sz w:val="24"/>
          <w:szCs w:val="24"/>
          <w:u w:val="single"/>
        </w:rPr>
      </w:pPr>
      <w:r w:rsidRPr="00AE1C68">
        <w:rPr>
          <w:rFonts w:ascii="Times New Roman" w:hAnsi="Times New Roman"/>
          <w:color w:val="FF0000"/>
          <w:sz w:val="24"/>
          <w:szCs w:val="24"/>
          <w:u w:val="single"/>
        </w:rPr>
        <w:t xml:space="preserve">A partir del momento en que el liderazgo de Xi prioriza la seguridad militar y el control interno sobre las empresas y las personas, Occidente empieza a tomarse en serio las </w:t>
      </w:r>
      <w:r w:rsidRPr="00AE1C68">
        <w:rPr>
          <w:rFonts w:ascii="Times New Roman" w:hAnsi="Times New Roman"/>
          <w:color w:val="FF0000"/>
          <w:sz w:val="24"/>
          <w:szCs w:val="24"/>
          <w:u w:val="single"/>
        </w:rPr>
        <w:lastRenderedPageBreak/>
        <w:t>aspiraciones chinas como desafío y organiza su respuesta. Así, tanto EEUU como la UE, revisan su relación con el gigante asiático, que pasa a ser declarado por ambos como principal rival sistémico, a lo que añade la nueva definición de la OTAN a Pekín como un “adversario sistémico” porque sus políticas coercitivas “desafían los intereses de seguridad y los valores de occidente”. El marco está trazado.</w:t>
      </w:r>
    </w:p>
    <w:p w:rsidR="00A9345E" w:rsidRPr="00AE1C68" w:rsidRDefault="00A9345E" w:rsidP="00A9345E">
      <w:pPr>
        <w:spacing w:line="240" w:lineRule="auto"/>
        <w:jc w:val="both"/>
        <w:rPr>
          <w:rFonts w:ascii="Times New Roman" w:hAnsi="Times New Roman"/>
          <w:b/>
          <w:color w:val="FF0000"/>
          <w:sz w:val="24"/>
          <w:szCs w:val="24"/>
          <w:u w:val="single"/>
        </w:rPr>
      </w:pPr>
      <w:r w:rsidRPr="00AE1C68">
        <w:rPr>
          <w:rFonts w:ascii="Times New Roman" w:hAnsi="Times New Roman"/>
          <w:b/>
          <w:color w:val="FF0000"/>
          <w:sz w:val="24"/>
          <w:szCs w:val="24"/>
          <w:u w:val="single"/>
        </w:rPr>
        <w:t>Sin duda, la pandemia y la ambigua posición de China respecto a Ucrania, reforzando sus lazos con Rusia, han hecho a Occidente consciente de que tenemos dos problemas: una excesiva dependencia de China en productos estratégicos y la amenaza que ello representa para el actual orden internacional. Y, como consecuencia, la necesidad de poner en marcha una respuesta, aunque no coordinada, tanto por parte de EEUU como de la UE, basada en dos principios: reducir, por razones de seguridad nacional, esa excesiva dependencia estratégica de China y responder a las iniciativas internacionales del régimen de Xi, con propuestas propias que contrarresten la creciente influencia diplomática que está consiguiendo la inversión china. Italia, por ejemplo, está debatiendo salirse de la Nueva Ruta de la Seda que ha proporcionado a empresas chinas un control de varios puertos europeos importantes.</w:t>
      </w:r>
    </w:p>
    <w:p w:rsidR="00A9345E" w:rsidRPr="00A91D66" w:rsidRDefault="00A9345E" w:rsidP="00A9345E">
      <w:pPr>
        <w:spacing w:line="240" w:lineRule="auto"/>
        <w:jc w:val="both"/>
        <w:rPr>
          <w:rFonts w:ascii="Times New Roman" w:hAnsi="Times New Roman"/>
          <w:sz w:val="24"/>
          <w:szCs w:val="24"/>
        </w:rPr>
      </w:pPr>
      <w:r w:rsidRPr="00A91D66">
        <w:rPr>
          <w:rFonts w:ascii="Times New Roman" w:hAnsi="Times New Roman"/>
          <w:sz w:val="24"/>
          <w:szCs w:val="24"/>
        </w:rPr>
        <w:t xml:space="preserve">El presidente Biden visualiza dicha reacción mediante la reciente Ley de reducción de la Inflación (IRA), mientras la UE pretende colgarla de su iniciativa de Autonomía Estratégica Abierta. En ambos casos, la lógica explícita es la misma: se definen unos sectores económicos básicos en los que se quiere conseguir un elevado nivel de autosuficiencia mediante el fomento de la producción propia, aunque para ello sea necesario movilizar ingentes cantidades de dinero público como subvenciones. Esta nueva política industrial, se acompaña de medidas selectivas de proteccionismo comercial y de restricciones a las inversiones chinas </w:t>
      </w:r>
      <w:r>
        <w:rPr>
          <w:rFonts w:ascii="Times New Roman" w:hAnsi="Times New Roman"/>
          <w:sz w:val="24"/>
          <w:szCs w:val="24"/>
        </w:rPr>
        <w:t>en estos sectores estratégicos.</w:t>
      </w:r>
    </w:p>
    <w:p w:rsidR="00A9345E" w:rsidRPr="00AE1C68" w:rsidRDefault="00A9345E" w:rsidP="00A9345E">
      <w:pPr>
        <w:spacing w:line="240" w:lineRule="auto"/>
        <w:jc w:val="both"/>
        <w:rPr>
          <w:rFonts w:ascii="Times New Roman" w:hAnsi="Times New Roman"/>
          <w:sz w:val="24"/>
          <w:szCs w:val="24"/>
          <w:u w:val="single"/>
        </w:rPr>
      </w:pPr>
      <w:r w:rsidRPr="00AE1C68">
        <w:rPr>
          <w:rFonts w:ascii="Times New Roman" w:hAnsi="Times New Roman"/>
          <w:sz w:val="24"/>
          <w:szCs w:val="24"/>
          <w:u w:val="single"/>
        </w:rPr>
        <w:t>Esta tardía reacción representa un vuelco total a todos los principios con que se puso en marcha la globalización neoliberal a comienzos de siglo. Pero no puede hablarse de un desacoplamiento en las relaciones económicas mutuas, ya que se aplican con bisturí solo en algunos sectores considerados claves como, por ejemplo, los chips, sin duda, el producto esencial hoy, tanto para la fabricación civil como para la militar; la inteligencia artificial y la nube. Lo siguiente en la escala de productos estratégicos son las materias primas necesarias para la economía verde y digital que estamos construyendo y que abarcan desde el litio, el silicio o las llamadas tierras raras, cuyo control está provocando ya grandes cambios geoestratégicos, con China llevándonos la delantera.</w:t>
      </w:r>
    </w:p>
    <w:p w:rsidR="00A9345E" w:rsidRDefault="00A9345E" w:rsidP="00A9345E">
      <w:pPr>
        <w:spacing w:line="240" w:lineRule="auto"/>
        <w:jc w:val="both"/>
        <w:rPr>
          <w:rFonts w:ascii="Times New Roman" w:hAnsi="Times New Roman"/>
          <w:color w:val="FF0000"/>
          <w:sz w:val="24"/>
          <w:szCs w:val="24"/>
          <w:u w:val="single"/>
        </w:rPr>
      </w:pPr>
      <w:r w:rsidRPr="00AE1C68">
        <w:rPr>
          <w:rFonts w:ascii="Times New Roman" w:hAnsi="Times New Roman"/>
          <w:color w:val="FF0000"/>
          <w:sz w:val="24"/>
          <w:szCs w:val="24"/>
          <w:u w:val="single"/>
        </w:rPr>
        <w:t>Un nuevo Estado industrial, neoproteccionista y militarizado está surgiendo en Occidente tras la asunción del desafío que representa hoy China para nuestros intereses y valores. Pero se echa en falta que venga acompañado de un nuevo Estado social que proteja a los ciudadanos en estos tiempos de gran inestabilidad. Así, aunque tarde, reconstruiríamos un estado del bienestar del siglo XXI, superado ya el neoliberalismo como enfermedad senil del capitalismo</w:t>
      </w:r>
      <w:r>
        <w:rPr>
          <w:rFonts w:ascii="Times New Roman" w:hAnsi="Times New Roman"/>
          <w:color w:val="FF0000"/>
          <w:sz w:val="24"/>
          <w:szCs w:val="24"/>
          <w:u w:val="single"/>
        </w:rPr>
        <w:t>.</w:t>
      </w:r>
    </w:p>
    <w:p w:rsidR="00E66221" w:rsidRPr="00E66221" w:rsidRDefault="00E66221" w:rsidP="00A9345E">
      <w:pPr>
        <w:spacing w:line="240" w:lineRule="auto"/>
        <w:jc w:val="both"/>
        <w:rPr>
          <w:rFonts w:ascii="Times New Roman" w:hAnsi="Times New Roman"/>
          <w:sz w:val="24"/>
          <w:szCs w:val="24"/>
        </w:rPr>
      </w:pPr>
      <w:r>
        <w:rPr>
          <w:rFonts w:ascii="Times New Roman" w:hAnsi="Times New Roman"/>
          <w:sz w:val="24"/>
          <w:szCs w:val="24"/>
        </w:rPr>
        <w:t>(</w:t>
      </w:r>
      <w:r w:rsidR="00A35494">
        <w:rPr>
          <w:rFonts w:ascii="Times New Roman" w:hAnsi="Times New Roman"/>
          <w:sz w:val="24"/>
          <w:szCs w:val="24"/>
        </w:rPr>
        <w:t>Jordi Sevilla</w:t>
      </w:r>
      <w:r>
        <w:rPr>
          <w:rFonts w:ascii="Times New Roman" w:hAnsi="Times New Roman"/>
          <w:sz w:val="24"/>
          <w:szCs w:val="24"/>
        </w:rPr>
        <w:t xml:space="preserve">, </w:t>
      </w:r>
      <w:r w:rsidRPr="00E66221">
        <w:rPr>
          <w:rFonts w:ascii="Times New Roman" w:hAnsi="Times New Roman"/>
          <w:sz w:val="24"/>
          <w:szCs w:val="24"/>
        </w:rPr>
        <w:t>economista y pol</w:t>
      </w:r>
      <w:r>
        <w:rPr>
          <w:rFonts w:ascii="Times New Roman" w:hAnsi="Times New Roman"/>
          <w:sz w:val="24"/>
          <w:szCs w:val="24"/>
        </w:rPr>
        <w:t>ítico españo</w:t>
      </w:r>
      <w:r w:rsidR="00A35494">
        <w:rPr>
          <w:rFonts w:ascii="Times New Roman" w:hAnsi="Times New Roman"/>
          <w:sz w:val="24"/>
          <w:szCs w:val="24"/>
        </w:rPr>
        <w:t>l. Fue m</w:t>
      </w:r>
      <w:r w:rsidRPr="00E66221">
        <w:rPr>
          <w:rFonts w:ascii="Times New Roman" w:hAnsi="Times New Roman"/>
          <w:sz w:val="24"/>
          <w:szCs w:val="24"/>
        </w:rPr>
        <w:t>inistro de Administraci</w:t>
      </w:r>
      <w:r w:rsidR="00A35494">
        <w:rPr>
          <w:rFonts w:ascii="Times New Roman" w:hAnsi="Times New Roman"/>
          <w:sz w:val="24"/>
          <w:szCs w:val="24"/>
        </w:rPr>
        <w:t>ones Públicas del gobierno entre 2004 y 2007, y</w:t>
      </w:r>
      <w:r w:rsidR="00A35494" w:rsidRPr="00E66221">
        <w:rPr>
          <w:rFonts w:ascii="Times New Roman" w:hAnsi="Times New Roman"/>
          <w:sz w:val="24"/>
          <w:szCs w:val="24"/>
        </w:rPr>
        <w:t xml:space="preserve"> presidente de </w:t>
      </w:r>
      <w:r w:rsidR="00A35494">
        <w:rPr>
          <w:rFonts w:ascii="Times New Roman" w:hAnsi="Times New Roman"/>
          <w:sz w:val="24"/>
          <w:szCs w:val="24"/>
        </w:rPr>
        <w:t>Red Eléctrica de España entre 2018 y 2020)</w:t>
      </w:r>
    </w:p>
    <w:p w:rsidR="00E66221" w:rsidRPr="001E1777" w:rsidRDefault="00E66221" w:rsidP="00E66221">
      <w:pPr>
        <w:spacing w:line="240" w:lineRule="auto"/>
        <w:jc w:val="both"/>
        <w:rPr>
          <w:rFonts w:ascii="Times New Roman" w:hAnsi="Times New Roman"/>
          <w:sz w:val="24"/>
          <w:szCs w:val="24"/>
        </w:rPr>
      </w:pPr>
      <w:r>
        <w:rPr>
          <w:rFonts w:ascii="Times New Roman" w:hAnsi="Times New Roman"/>
          <w:sz w:val="24"/>
          <w:szCs w:val="24"/>
        </w:rPr>
        <w:t xml:space="preserve">- </w:t>
      </w:r>
      <w:r w:rsidRPr="001E1777">
        <w:rPr>
          <w:rFonts w:ascii="Times New Roman" w:hAnsi="Times New Roman"/>
          <w:sz w:val="24"/>
          <w:szCs w:val="24"/>
          <w:u w:val="single"/>
        </w:rPr>
        <w:t>Dimon (JP Morgan) carga contra los bancos centrales: “Han estado 100% equivocados</w:t>
      </w:r>
      <w:r w:rsidRPr="001E1777">
        <w:rPr>
          <w:rFonts w:ascii="Times New Roman" w:hAnsi="Times New Roman"/>
          <w:sz w:val="24"/>
          <w:szCs w:val="24"/>
        </w:rPr>
        <w:t>”</w:t>
      </w:r>
      <w:r>
        <w:rPr>
          <w:rFonts w:ascii="Times New Roman" w:hAnsi="Times New Roman"/>
          <w:sz w:val="24"/>
          <w:szCs w:val="24"/>
        </w:rPr>
        <w:t xml:space="preserve"> (Cinco Días - </w:t>
      </w:r>
      <w:r w:rsidRPr="001E1777">
        <w:rPr>
          <w:rFonts w:ascii="Times New Roman" w:hAnsi="Times New Roman"/>
          <w:b/>
          <w:sz w:val="24"/>
          <w:szCs w:val="24"/>
        </w:rPr>
        <w:t>24/10/23</w:t>
      </w:r>
      <w:r>
        <w:rPr>
          <w:rFonts w:ascii="Times New Roman" w:hAnsi="Times New Roman"/>
          <w:sz w:val="24"/>
          <w:szCs w:val="24"/>
        </w:rPr>
        <w:t>)</w:t>
      </w:r>
    </w:p>
    <w:p w:rsidR="00E66221" w:rsidRPr="00E66221" w:rsidRDefault="00E66221" w:rsidP="00E66221">
      <w:pPr>
        <w:spacing w:line="240" w:lineRule="auto"/>
        <w:jc w:val="both"/>
        <w:rPr>
          <w:rFonts w:ascii="Times New Roman" w:hAnsi="Times New Roman"/>
          <w:color w:val="FF0000"/>
          <w:sz w:val="24"/>
          <w:szCs w:val="24"/>
        </w:rPr>
      </w:pPr>
      <w:r w:rsidRPr="00E66221">
        <w:rPr>
          <w:rFonts w:ascii="Times New Roman" w:hAnsi="Times New Roman"/>
          <w:color w:val="FF0000"/>
          <w:sz w:val="24"/>
          <w:szCs w:val="24"/>
        </w:rPr>
        <w:t>El ejecutivo pone en duda la capacidad para manejar la inflación y la desaceleración económica</w:t>
      </w:r>
    </w:p>
    <w:p w:rsidR="00E66221" w:rsidRPr="00E66221" w:rsidRDefault="00E66221" w:rsidP="00E66221">
      <w:pPr>
        <w:spacing w:line="240" w:lineRule="auto"/>
        <w:jc w:val="both"/>
        <w:rPr>
          <w:rFonts w:ascii="Times New Roman" w:hAnsi="Times New Roman"/>
          <w:sz w:val="24"/>
          <w:szCs w:val="24"/>
          <w:u w:val="single"/>
        </w:rPr>
      </w:pPr>
      <w:r w:rsidRPr="001E1777">
        <w:rPr>
          <w:rFonts w:ascii="Times New Roman" w:hAnsi="Times New Roman"/>
          <w:sz w:val="24"/>
          <w:szCs w:val="24"/>
        </w:rPr>
        <w:lastRenderedPageBreak/>
        <w:t xml:space="preserve">Un día después de conocerse que Bill Ackman, fundador del fondo Pershing Square Management, había abandonado su </w:t>
      </w:r>
      <w:r>
        <w:rPr>
          <w:rFonts w:ascii="Times New Roman" w:hAnsi="Times New Roman"/>
          <w:sz w:val="24"/>
          <w:szCs w:val="24"/>
        </w:rPr>
        <w:t>posición bajista en la deuda EE</w:t>
      </w:r>
      <w:r w:rsidRPr="001E1777">
        <w:rPr>
          <w:rFonts w:ascii="Times New Roman" w:hAnsi="Times New Roman"/>
          <w:sz w:val="24"/>
          <w:szCs w:val="24"/>
        </w:rPr>
        <w:t xml:space="preserve">UU ante la desaceleración que se avecina, hoy </w:t>
      </w:r>
      <w:r w:rsidRPr="00E66221">
        <w:rPr>
          <w:rFonts w:ascii="Times New Roman" w:hAnsi="Times New Roman"/>
          <w:sz w:val="24"/>
          <w:szCs w:val="24"/>
          <w:u w:val="single"/>
        </w:rPr>
        <w:t>el director ejecutivo de JP Morgan, Jamie Dimon, ahonda en el pesimismo. En sintonía con las declaraciones efectuadas la semana pasada en las que advertía que el mundo se enfrenta a la época más peligrosa en décadas, el CEO de la entidad estadounidense pone en duda los pronósticos de los bancos centrales, pues los considera excesivamente optimistas.</w:t>
      </w:r>
    </w:p>
    <w:p w:rsidR="00E66221" w:rsidRPr="00E66221" w:rsidRDefault="00E66221" w:rsidP="00E66221">
      <w:pPr>
        <w:spacing w:line="240" w:lineRule="auto"/>
        <w:jc w:val="both"/>
        <w:rPr>
          <w:rFonts w:ascii="Times New Roman" w:hAnsi="Times New Roman"/>
          <w:color w:val="FF0000"/>
          <w:sz w:val="24"/>
          <w:szCs w:val="24"/>
          <w:u w:val="single"/>
        </w:rPr>
      </w:pPr>
      <w:r w:rsidRPr="00E66221">
        <w:rPr>
          <w:rFonts w:ascii="Times New Roman" w:hAnsi="Times New Roman"/>
          <w:color w:val="FF0000"/>
          <w:sz w:val="24"/>
          <w:szCs w:val="24"/>
          <w:u w:val="single"/>
        </w:rPr>
        <w:t>Durante su intervención en la cumbre de Inversión Futura celebrada en Riad, Dimon ha señalado que después de haber errado en sus pronósticos cuando consideraban que la inflación era algo transitorio, las instituciones monetarias deberían ser más humildes. “Quiero señalar que los bancos centrales hace 18 meses estaban 100% equivocados”, señaló. “Yo sería bastante cauto sobre lo que pueda ocurrir el año que viene”. Se refería el directivo de JP Morgan a las perspectivas de la Reserva Federal a principios de 2022 y durante gran parte de 2021, cuando el banco central insistía en que el repunte de los precios sería “transitorio”.</w:t>
      </w:r>
    </w:p>
    <w:p w:rsidR="00E66221" w:rsidRPr="00E66221" w:rsidRDefault="00E66221" w:rsidP="00E66221">
      <w:pPr>
        <w:spacing w:line="240" w:lineRule="auto"/>
        <w:jc w:val="both"/>
        <w:rPr>
          <w:rFonts w:ascii="Times New Roman" w:hAnsi="Times New Roman"/>
          <w:color w:val="FF0000"/>
          <w:sz w:val="24"/>
          <w:szCs w:val="24"/>
          <w:u w:val="single"/>
        </w:rPr>
      </w:pPr>
      <w:r w:rsidRPr="00E66221">
        <w:rPr>
          <w:rFonts w:ascii="Times New Roman" w:hAnsi="Times New Roman"/>
          <w:color w:val="FF0000"/>
          <w:sz w:val="24"/>
          <w:szCs w:val="24"/>
          <w:u w:val="single"/>
        </w:rPr>
        <w:t>Aunque la inflación se ha desacelerado en los últimos meses el Dimon pone en duda la capacidad de los bancos centrales y los gobiernos para manejar las consecuencias económicas del alza de los precios y la desaceleración económica. “El gasto fiscal es mayor que nunca en tiempos de paz y existe la sensación omnipotente de que pueden gestionar la situación. Soy cauteloso sobre lo que sucederá el próximo año”, subrayó.</w:t>
      </w:r>
    </w:p>
    <w:p w:rsidR="00E66221" w:rsidRPr="00E66221" w:rsidRDefault="00E66221" w:rsidP="00E66221">
      <w:pPr>
        <w:spacing w:line="240" w:lineRule="auto"/>
        <w:jc w:val="both"/>
        <w:rPr>
          <w:rFonts w:ascii="Times New Roman" w:hAnsi="Times New Roman"/>
          <w:color w:val="FF0000"/>
          <w:sz w:val="24"/>
          <w:szCs w:val="24"/>
          <w:u w:val="single"/>
        </w:rPr>
      </w:pPr>
      <w:r w:rsidRPr="00E66221">
        <w:rPr>
          <w:rFonts w:ascii="Times New Roman" w:hAnsi="Times New Roman"/>
          <w:b/>
          <w:color w:val="FF0000"/>
          <w:sz w:val="24"/>
          <w:szCs w:val="24"/>
          <w:u w:val="single"/>
        </w:rPr>
        <w:t>Dimon cree que la situación actual a la que se enfrentan las economías es la peor desde la década de los 70 y considera que el gasto es excesivo. Lo ha calificado de despilfarro y defiende que el impacto de las próximas subidas de tipos es muy limitado</w:t>
      </w:r>
      <w:r w:rsidRPr="001E1777">
        <w:rPr>
          <w:rFonts w:ascii="Times New Roman" w:hAnsi="Times New Roman"/>
          <w:sz w:val="24"/>
          <w:szCs w:val="24"/>
        </w:rPr>
        <w:t xml:space="preserve">. “No creo que haya diferencia en si las tasas suben 25 puntos básicos o más”, remarca. Las proyecciones de la Reserva Federal contemplan un alza adicional del precio del dinero antes de que concluya el año y en las últimas semanas está cobrando fuerza la idea de que sea diciembre la fecha elegida, en lugar de la cita de la próxima semana. </w:t>
      </w:r>
      <w:r w:rsidRPr="00E66221">
        <w:rPr>
          <w:rFonts w:ascii="Times New Roman" w:hAnsi="Times New Roman"/>
          <w:color w:val="FF0000"/>
          <w:sz w:val="24"/>
          <w:szCs w:val="24"/>
          <w:u w:val="single"/>
        </w:rPr>
        <w:t>El ejecutivo de JP Morgan vuelve a insistir en la necesidad de tasas más altas. A comienzos de mes ya avanzó que no podía descartase la idea de que los tipos alcanzaran el 7%. “Si toda la curva de deuda sube 100 puntos básicos, estén preparados para ello”, sostiene</w:t>
      </w:r>
      <w:r>
        <w:rPr>
          <w:rFonts w:ascii="Times New Roman" w:hAnsi="Times New Roman"/>
          <w:color w:val="FF0000"/>
          <w:sz w:val="24"/>
          <w:szCs w:val="24"/>
          <w:u w:val="single"/>
        </w:rPr>
        <w:t>…</w:t>
      </w:r>
    </w:p>
    <w:p w:rsidR="00E66221" w:rsidRDefault="00E66221" w:rsidP="00DF7746">
      <w:pPr>
        <w:spacing w:line="240" w:lineRule="auto"/>
        <w:jc w:val="both"/>
        <w:rPr>
          <w:rFonts w:ascii="Times New Roman" w:hAnsi="Times New Roman"/>
          <w:color w:val="FF0000"/>
          <w:sz w:val="24"/>
          <w:szCs w:val="24"/>
          <w:u w:val="single"/>
        </w:rPr>
      </w:pPr>
      <w:r w:rsidRPr="00E66221">
        <w:rPr>
          <w:rFonts w:ascii="Times New Roman" w:hAnsi="Times New Roman"/>
          <w:color w:val="FF0000"/>
          <w:sz w:val="24"/>
          <w:szCs w:val="24"/>
          <w:u w:val="single"/>
        </w:rPr>
        <w:t>En el mismo panel, el célebre inversor Ray Dalio, fundador del fondo Bridgewater Associates, señaló que sus perspectivas para el próximo año son “pesimistas”. Entre los riesgos que acechan a las economías, apuntó a los altos niveles de deuda pública y los conflictos geopolíticos, un aspecto este último que ha cobrado un protagonismo especial tras el estallido de la guerra en Gaza.</w:t>
      </w:r>
    </w:p>
    <w:p w:rsidR="009E4D17" w:rsidRDefault="009E4D17" w:rsidP="009E4D17">
      <w:pPr>
        <w:spacing w:line="240" w:lineRule="auto"/>
        <w:jc w:val="both"/>
        <w:rPr>
          <w:rFonts w:ascii="Times New Roman" w:hAnsi="Times New Roman" w:cs="Times New Roman"/>
          <w:b/>
          <w:sz w:val="24"/>
          <w:szCs w:val="24"/>
        </w:rPr>
      </w:pPr>
      <w:r w:rsidRPr="00FE0990">
        <w:rPr>
          <w:rFonts w:ascii="Times New Roman" w:hAnsi="Times New Roman" w:cs="Times New Roman"/>
          <w:b/>
          <w:sz w:val="24"/>
          <w:szCs w:val="24"/>
        </w:rPr>
        <w:t>Nota</w:t>
      </w:r>
      <w:r>
        <w:rPr>
          <w:rFonts w:ascii="Times New Roman" w:hAnsi="Times New Roman" w:cs="Times New Roman"/>
          <w:b/>
          <w:sz w:val="24"/>
          <w:szCs w:val="24"/>
        </w:rPr>
        <w:t xml:space="preserve"> III</w:t>
      </w:r>
      <w:r w:rsidR="000528D7">
        <w:rPr>
          <w:rFonts w:ascii="Times New Roman" w:hAnsi="Times New Roman" w:cs="Times New Roman"/>
          <w:b/>
          <w:sz w:val="24"/>
          <w:szCs w:val="24"/>
        </w:rPr>
        <w:t>: conclusión de los relatos mortales de una “</w:t>
      </w:r>
      <w:r w:rsidRPr="00FE0990">
        <w:rPr>
          <w:rFonts w:ascii="Times New Roman" w:hAnsi="Times New Roman" w:cs="Times New Roman"/>
          <w:b/>
          <w:sz w:val="24"/>
          <w:szCs w:val="24"/>
        </w:rPr>
        <w:t>eco</w:t>
      </w:r>
      <w:r w:rsidR="000528D7">
        <w:rPr>
          <w:rFonts w:ascii="Times New Roman" w:hAnsi="Times New Roman" w:cs="Times New Roman"/>
          <w:b/>
          <w:sz w:val="24"/>
          <w:szCs w:val="24"/>
        </w:rPr>
        <w:t xml:space="preserve">nomía de papel”, que </w:t>
      </w:r>
      <w:r w:rsidR="00F52B0E">
        <w:rPr>
          <w:rFonts w:ascii="Times New Roman" w:hAnsi="Times New Roman" w:cs="Times New Roman"/>
          <w:b/>
          <w:sz w:val="24"/>
          <w:szCs w:val="24"/>
        </w:rPr>
        <w:t>hizo</w:t>
      </w:r>
      <w:r w:rsidR="000528D7">
        <w:rPr>
          <w:rFonts w:ascii="Times New Roman" w:hAnsi="Times New Roman" w:cs="Times New Roman"/>
          <w:b/>
          <w:sz w:val="24"/>
          <w:szCs w:val="24"/>
        </w:rPr>
        <w:t xml:space="preserve"> de China la “fábrica del m</w:t>
      </w:r>
      <w:r w:rsidR="00D96CC2">
        <w:rPr>
          <w:rFonts w:ascii="Times New Roman" w:hAnsi="Times New Roman" w:cs="Times New Roman"/>
          <w:b/>
          <w:sz w:val="24"/>
          <w:szCs w:val="24"/>
        </w:rPr>
        <w:t>undo”, y “deslocalizó” la clase media de los países avanzados</w:t>
      </w:r>
      <w:r w:rsidR="000528D7">
        <w:rPr>
          <w:rFonts w:ascii="Times New Roman" w:hAnsi="Times New Roman" w:cs="Times New Roman"/>
          <w:b/>
          <w:sz w:val="24"/>
          <w:szCs w:val="24"/>
        </w:rPr>
        <w:t xml:space="preserve"> </w:t>
      </w:r>
    </w:p>
    <w:p w:rsidR="009E4D17" w:rsidRDefault="009E4D17" w:rsidP="009E4D17">
      <w:pPr>
        <w:spacing w:line="240" w:lineRule="auto"/>
        <w:jc w:val="both"/>
        <w:rPr>
          <w:rFonts w:ascii="Times New Roman" w:hAnsi="Times New Roman" w:cs="Times New Roman"/>
          <w:b/>
          <w:sz w:val="24"/>
          <w:szCs w:val="24"/>
        </w:rPr>
      </w:pPr>
      <w:r w:rsidRPr="009E4D17">
        <w:rPr>
          <w:rFonts w:ascii="Times New Roman" w:hAnsi="Times New Roman" w:cs="Times New Roman"/>
          <w:b/>
          <w:sz w:val="24"/>
          <w:szCs w:val="24"/>
        </w:rPr>
        <w:t>El mandatario comunista (Xi Jinping) inauguró la cumbre de Davos 2021 con un discurso triunfalista y un manual de órdenes dirigidas a los líderes mundiales.</w:t>
      </w:r>
      <w:r w:rsidR="000528D7">
        <w:rPr>
          <w:rFonts w:ascii="Times New Roman" w:hAnsi="Times New Roman" w:cs="Times New Roman"/>
          <w:b/>
          <w:sz w:val="24"/>
          <w:szCs w:val="24"/>
        </w:rPr>
        <w:t xml:space="preserve"> “</w:t>
      </w:r>
      <w:r w:rsidRPr="009E4D17">
        <w:rPr>
          <w:rFonts w:ascii="Times New Roman" w:hAnsi="Times New Roman" w:cs="Times New Roman"/>
          <w:b/>
          <w:sz w:val="24"/>
          <w:szCs w:val="24"/>
        </w:rPr>
        <w:t>En 203</w:t>
      </w:r>
      <w:r w:rsidR="000528D7">
        <w:rPr>
          <w:rFonts w:ascii="Times New Roman" w:hAnsi="Times New Roman" w:cs="Times New Roman"/>
          <w:b/>
          <w:sz w:val="24"/>
          <w:szCs w:val="24"/>
        </w:rPr>
        <w:t>0 no tendrás nada y serás feliz”</w:t>
      </w:r>
      <w:r w:rsidRPr="009E4D17">
        <w:rPr>
          <w:rFonts w:ascii="Times New Roman" w:hAnsi="Times New Roman" w:cs="Times New Roman"/>
          <w:b/>
          <w:sz w:val="24"/>
          <w:szCs w:val="24"/>
        </w:rPr>
        <w:t>: el proyecto comunista mundial que aplauden los</w:t>
      </w:r>
      <w:r w:rsidR="00BF6907">
        <w:rPr>
          <w:rFonts w:ascii="Times New Roman" w:hAnsi="Times New Roman" w:cs="Times New Roman"/>
          <w:b/>
          <w:sz w:val="24"/>
          <w:szCs w:val="24"/>
        </w:rPr>
        <w:t xml:space="preserve"> líderes de los países ricos (ahora, en vías de subdesarrollo)</w:t>
      </w:r>
      <w:r w:rsidRPr="009E4D17">
        <w:rPr>
          <w:rFonts w:ascii="Times New Roman" w:hAnsi="Times New Roman" w:cs="Times New Roman"/>
          <w:b/>
          <w:sz w:val="24"/>
          <w:szCs w:val="24"/>
        </w:rPr>
        <w:t xml:space="preserve"> en Davos</w:t>
      </w:r>
      <w:r w:rsidR="000528D7">
        <w:rPr>
          <w:rFonts w:ascii="Times New Roman" w:hAnsi="Times New Roman" w:cs="Times New Roman"/>
          <w:b/>
          <w:sz w:val="24"/>
          <w:szCs w:val="24"/>
        </w:rPr>
        <w:t xml:space="preserve">. </w:t>
      </w:r>
      <w:r w:rsidRPr="009E4D17">
        <w:rPr>
          <w:rFonts w:ascii="Times New Roman" w:hAnsi="Times New Roman" w:cs="Times New Roman"/>
          <w:b/>
          <w:sz w:val="24"/>
          <w:szCs w:val="24"/>
        </w:rPr>
        <w:t>En resumen, China ya no admitirá que ningún país, empezando por los Estados Unidos, discuta su poder militar, ni económico, ni político, o sea, dictatorial.</w:t>
      </w:r>
    </w:p>
    <w:p w:rsidR="000528D7" w:rsidRDefault="009E4D17" w:rsidP="000528D7">
      <w:pPr>
        <w:pStyle w:val="NormalWeb"/>
        <w:shd w:val="clear" w:color="auto" w:fill="FFFFFF"/>
        <w:jc w:val="both"/>
        <w:rPr>
          <w:b/>
        </w:rPr>
      </w:pPr>
      <w:r>
        <w:rPr>
          <w:b/>
        </w:rPr>
        <w:t xml:space="preserve">¿Seguirán Wall Street y Silicon Valley, </w:t>
      </w:r>
      <w:r w:rsidR="000528D7">
        <w:rPr>
          <w:b/>
        </w:rPr>
        <w:t>tolerando</w:t>
      </w:r>
      <w:r>
        <w:rPr>
          <w:b/>
        </w:rPr>
        <w:t>, aplaudiendo, o más grave aún, “promoviendo”</w:t>
      </w:r>
      <w:r w:rsidR="000528D7">
        <w:rPr>
          <w:b/>
        </w:rPr>
        <w:t>,</w:t>
      </w:r>
      <w:r>
        <w:rPr>
          <w:b/>
        </w:rPr>
        <w:t xml:space="preserve"> este mensaje?</w:t>
      </w:r>
      <w:r w:rsidR="000528D7">
        <w:rPr>
          <w:b/>
        </w:rPr>
        <w:t xml:space="preserve"> ¿Será este el nuevo “cielo protector” para el capitalismo occidental? ¿Hasta dónde puede llegar la avaricia, o el miedo? Ustedes mismos.</w:t>
      </w:r>
    </w:p>
    <w:p w:rsidR="00DF7746" w:rsidRPr="000528D7" w:rsidRDefault="00DF7746" w:rsidP="00DF7746">
      <w:pPr>
        <w:spacing w:line="240" w:lineRule="auto"/>
        <w:jc w:val="both"/>
        <w:rPr>
          <w:rFonts w:ascii="Times New Roman" w:hAnsi="Times New Roman" w:cs="Times New Roman"/>
          <w:b/>
          <w:sz w:val="24"/>
          <w:szCs w:val="24"/>
        </w:rPr>
      </w:pPr>
      <w:r w:rsidRPr="00961D05">
        <w:rPr>
          <w:rFonts w:ascii="Times New Roman" w:hAnsi="Times New Roman" w:cs="Times New Roman"/>
          <w:b/>
          <w:sz w:val="24"/>
          <w:szCs w:val="24"/>
        </w:rPr>
        <w:lastRenderedPageBreak/>
        <w:t>- Anexo:</w:t>
      </w:r>
      <w:r w:rsidRPr="00961D05">
        <w:rPr>
          <w:rFonts w:ascii="Times New Roman" w:hAnsi="Times New Roman" w:cs="Times New Roman"/>
          <w:sz w:val="24"/>
          <w:szCs w:val="24"/>
        </w:rPr>
        <w:t xml:space="preserve"> </w:t>
      </w:r>
      <w:r w:rsidRPr="00961D05">
        <w:rPr>
          <w:rFonts w:ascii="Times New Roman" w:hAnsi="Times New Roman" w:cs="Times New Roman"/>
          <w:b/>
          <w:sz w:val="24"/>
          <w:szCs w:val="24"/>
        </w:rPr>
        <w:t>Informe de McKinsey sobre agregados monetarios</w:t>
      </w:r>
      <w:r>
        <w:rPr>
          <w:rFonts w:ascii="Times New Roman" w:hAnsi="Times New Roman" w:cs="Times New Roman"/>
          <w:b/>
          <w:sz w:val="24"/>
          <w:szCs w:val="24"/>
        </w:rPr>
        <w:t xml:space="preserve"> (causas, y consecuencias)</w:t>
      </w:r>
    </w:p>
    <w:p w:rsidR="00DF7746" w:rsidRPr="00961D05" w:rsidRDefault="00815D9D" w:rsidP="00DF7746">
      <w:pPr>
        <w:spacing w:line="240" w:lineRule="auto"/>
        <w:jc w:val="both"/>
        <w:rPr>
          <w:rFonts w:ascii="Times New Roman" w:hAnsi="Times New Roman" w:cs="Times New Roman"/>
          <w:sz w:val="24"/>
          <w:szCs w:val="24"/>
        </w:rPr>
      </w:pPr>
      <w:r>
        <w:rPr>
          <w:rFonts w:ascii="Times New Roman" w:hAnsi="Times New Roman" w:cs="Times New Roman"/>
          <w:sz w:val="24"/>
          <w:szCs w:val="24"/>
        </w:rPr>
        <w:t>(Selección y resumen</w:t>
      </w:r>
      <w:r w:rsidR="00DF7746">
        <w:rPr>
          <w:rFonts w:ascii="Times New Roman" w:hAnsi="Times New Roman" w:cs="Times New Roman"/>
          <w:sz w:val="24"/>
          <w:szCs w:val="24"/>
        </w:rPr>
        <w:t xml:space="preserve"> de las partes de</w:t>
      </w:r>
      <w:r w:rsidR="007D321C">
        <w:rPr>
          <w:rFonts w:ascii="Times New Roman" w:hAnsi="Times New Roman" w:cs="Times New Roman"/>
          <w:sz w:val="24"/>
          <w:szCs w:val="24"/>
        </w:rPr>
        <w:t>l Informe</w:t>
      </w:r>
      <w:r>
        <w:rPr>
          <w:rFonts w:ascii="Times New Roman" w:hAnsi="Times New Roman" w:cs="Times New Roman"/>
          <w:sz w:val="24"/>
          <w:szCs w:val="24"/>
        </w:rPr>
        <w:t>, vinculadas con e</w:t>
      </w:r>
      <w:r w:rsidR="007D321C">
        <w:rPr>
          <w:rFonts w:ascii="Times New Roman" w:hAnsi="Times New Roman" w:cs="Times New Roman"/>
          <w:sz w:val="24"/>
          <w:szCs w:val="24"/>
        </w:rPr>
        <w:t>l tema de este</w:t>
      </w:r>
      <w:r w:rsidR="00DF7746">
        <w:rPr>
          <w:rFonts w:ascii="Times New Roman" w:hAnsi="Times New Roman" w:cs="Times New Roman"/>
          <w:sz w:val="24"/>
          <w:szCs w:val="24"/>
        </w:rPr>
        <w:t xml:space="preserve"> Paper)</w:t>
      </w:r>
    </w:p>
    <w:p w:rsidR="00DF7746" w:rsidRDefault="00DF7746" w:rsidP="00DF7746">
      <w:pPr>
        <w:spacing w:after="0" w:line="240" w:lineRule="auto"/>
        <w:rPr>
          <w:rFonts w:ascii="Times New Roman" w:eastAsia="Times New Roman" w:hAnsi="Times New Roman" w:cs="Times New Roman"/>
          <w:sz w:val="24"/>
          <w:szCs w:val="24"/>
          <w:lang w:eastAsia="es-ES"/>
        </w:rPr>
      </w:pPr>
      <w:r w:rsidRPr="0037326D">
        <w:rPr>
          <w:rFonts w:ascii="Times New Roman" w:eastAsia="Times New Roman" w:hAnsi="Times New Roman" w:cs="Times New Roman"/>
          <w:b/>
          <w:sz w:val="24"/>
          <w:szCs w:val="24"/>
          <w:lang w:eastAsia="es-ES"/>
        </w:rPr>
        <w:t>El futuro de la riqueza y el crecimiento está en juego</w:t>
      </w:r>
      <w:r>
        <w:rPr>
          <w:rFonts w:ascii="Times New Roman" w:eastAsia="Times New Roman" w:hAnsi="Times New Roman" w:cs="Times New Roman"/>
          <w:sz w:val="24"/>
          <w:szCs w:val="24"/>
          <w:lang w:eastAsia="es-ES"/>
        </w:rPr>
        <w:t xml:space="preserve"> - (Informe McKinsey - </w:t>
      </w:r>
      <w:r w:rsidRPr="0037326D">
        <w:rPr>
          <w:rFonts w:ascii="Times New Roman" w:eastAsia="Times New Roman" w:hAnsi="Times New Roman" w:cs="Times New Roman"/>
          <w:b/>
          <w:sz w:val="24"/>
          <w:szCs w:val="24"/>
          <w:lang w:eastAsia="es-ES"/>
        </w:rPr>
        <w:t>24/5/23</w:t>
      </w:r>
      <w:r>
        <w:rPr>
          <w:rFonts w:ascii="Times New Roman" w:eastAsia="Times New Roman" w:hAnsi="Times New Roman" w:cs="Times New Roman"/>
          <w:sz w:val="24"/>
          <w:szCs w:val="24"/>
          <w:lang w:eastAsia="es-ES"/>
        </w:rPr>
        <w:t>)</w:t>
      </w: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Pr="0037326D" w:rsidRDefault="00DF7746" w:rsidP="00DF7746">
      <w:pPr>
        <w:spacing w:after="0" w:line="240" w:lineRule="auto"/>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Por </w:t>
      </w:r>
      <w:hyperlink r:id="rId39" w:history="1">
        <w:r w:rsidRPr="0037326D">
          <w:rPr>
            <w:rFonts w:ascii="Times New Roman" w:eastAsia="Times New Roman" w:hAnsi="Times New Roman" w:cs="Times New Roman"/>
            <w:sz w:val="24"/>
            <w:szCs w:val="24"/>
            <w:lang w:eastAsia="es-ES"/>
          </w:rPr>
          <w:t>Jan Mischke</w:t>
        </w:r>
      </w:hyperlink>
      <w:r w:rsidRPr="0037326D">
        <w:rPr>
          <w:rFonts w:ascii="Times New Roman" w:eastAsia="Times New Roman" w:hAnsi="Times New Roman" w:cs="Times New Roman"/>
          <w:sz w:val="24"/>
          <w:szCs w:val="24"/>
          <w:lang w:eastAsia="es-ES"/>
        </w:rPr>
        <w:t>, </w:t>
      </w:r>
      <w:hyperlink r:id="rId40" w:history="1">
        <w:r w:rsidRPr="0037326D">
          <w:rPr>
            <w:rFonts w:ascii="Times New Roman" w:eastAsia="Times New Roman" w:hAnsi="Times New Roman" w:cs="Times New Roman"/>
            <w:sz w:val="24"/>
            <w:szCs w:val="24"/>
            <w:lang w:eastAsia="es-ES"/>
          </w:rPr>
          <w:t>Olivia Blanco</w:t>
        </w:r>
      </w:hyperlink>
      <w:r w:rsidRPr="0037326D">
        <w:rPr>
          <w:rFonts w:ascii="Times New Roman" w:eastAsia="Times New Roman" w:hAnsi="Times New Roman" w:cs="Times New Roman"/>
          <w:sz w:val="24"/>
          <w:szCs w:val="24"/>
          <w:lang w:eastAsia="es-ES"/>
        </w:rPr>
        <w:t>, </w:t>
      </w:r>
      <w:hyperlink r:id="rId41" w:history="1">
        <w:r w:rsidRPr="0037326D">
          <w:rPr>
            <w:rFonts w:ascii="Times New Roman" w:eastAsia="Times New Roman" w:hAnsi="Times New Roman" w:cs="Times New Roman"/>
            <w:sz w:val="24"/>
            <w:szCs w:val="24"/>
            <w:lang w:eastAsia="es-ES"/>
          </w:rPr>
          <w:t>Eckart Windhagen</w:t>
        </w:r>
      </w:hyperlink>
      <w:r w:rsidRPr="0037326D">
        <w:rPr>
          <w:rFonts w:ascii="Times New Roman" w:eastAsia="Times New Roman" w:hAnsi="Times New Roman" w:cs="Times New Roman"/>
          <w:sz w:val="24"/>
          <w:szCs w:val="24"/>
          <w:lang w:eastAsia="es-ES"/>
        </w:rPr>
        <w:t>, </w:t>
      </w:r>
      <w:hyperlink r:id="rId42" w:history="1">
        <w:r w:rsidRPr="0037326D">
          <w:rPr>
            <w:rFonts w:ascii="Times New Roman" w:eastAsia="Times New Roman" w:hAnsi="Times New Roman" w:cs="Times New Roman"/>
            <w:sz w:val="24"/>
            <w:szCs w:val="24"/>
            <w:lang w:eastAsia="es-ES"/>
          </w:rPr>
          <w:t>Jonathan Woetzel</w:t>
        </w:r>
      </w:hyperlink>
      <w:r w:rsidRPr="0037326D">
        <w:rPr>
          <w:rFonts w:ascii="Times New Roman" w:eastAsia="Times New Roman" w:hAnsi="Times New Roman" w:cs="Times New Roman"/>
          <w:sz w:val="24"/>
          <w:szCs w:val="24"/>
          <w:lang w:eastAsia="es-ES"/>
        </w:rPr>
        <w:t>, </w:t>
      </w:r>
      <w:hyperlink r:id="rId43" w:history="1">
        <w:r w:rsidRPr="0037326D">
          <w:rPr>
            <w:rFonts w:ascii="Times New Roman" w:eastAsia="Times New Roman" w:hAnsi="Times New Roman" w:cs="Times New Roman"/>
            <w:sz w:val="24"/>
            <w:szCs w:val="24"/>
            <w:lang w:eastAsia="es-ES"/>
          </w:rPr>
          <w:t>Michael Birshan</w:t>
        </w:r>
      </w:hyperlink>
      <w:r w:rsidRPr="0037326D">
        <w:rPr>
          <w:rFonts w:ascii="Times New Roman" w:eastAsia="Times New Roman" w:hAnsi="Times New Roman" w:cs="Times New Roman"/>
          <w:sz w:val="24"/>
          <w:szCs w:val="24"/>
          <w:lang w:eastAsia="es-ES"/>
        </w:rPr>
        <w:t>, </w:t>
      </w:r>
      <w:hyperlink r:id="rId44" w:history="1">
        <w:r w:rsidRPr="0037326D">
          <w:rPr>
            <w:rFonts w:ascii="Times New Roman" w:eastAsia="Times New Roman" w:hAnsi="Times New Roman" w:cs="Times New Roman"/>
            <w:sz w:val="24"/>
            <w:szCs w:val="24"/>
            <w:lang w:eastAsia="es-ES"/>
          </w:rPr>
          <w:t>Sven Smit</w:t>
        </w:r>
      </w:hyperlink>
      <w:r w:rsidRPr="0037326D">
        <w:rPr>
          <w:rFonts w:ascii="Times New Roman" w:eastAsia="Times New Roman" w:hAnsi="Times New Roman" w:cs="Times New Roman"/>
          <w:sz w:val="24"/>
          <w:szCs w:val="24"/>
          <w:lang w:eastAsia="es-ES"/>
        </w:rPr>
        <w:t>, Arvind Govindarajan y Szabolcs Kemeny</w:t>
      </w: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Las últimas dos décadas han generado 160 billones de dólares en riqueza en papel, pero un crecimiento lento y una desigualdad creciente. ¿Qué viene después?</w:t>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 </w:t>
      </w:r>
    </w:p>
    <w:p w:rsidR="00DF7746" w:rsidRPr="0037326D" w:rsidRDefault="00DF7746" w:rsidP="00DF7746">
      <w:pPr>
        <w:spacing w:after="0" w:line="240" w:lineRule="auto"/>
        <w:jc w:val="both"/>
        <w:outlineLvl w:val="1"/>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De un vistazo</w:t>
      </w:r>
    </w:p>
    <w:p w:rsidR="00DF7746" w:rsidRPr="002C112E" w:rsidRDefault="00DF7746" w:rsidP="00DF7746">
      <w:pPr>
        <w:numPr>
          <w:ilvl w:val="0"/>
          <w:numId w:val="2"/>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b/>
          <w:bCs/>
          <w:sz w:val="24"/>
          <w:szCs w:val="24"/>
          <w:lang w:eastAsia="es-ES"/>
        </w:rPr>
        <w:t>La inflación de los precios de los activos durante las últimas dos décadas ha creado alrededor de 160 billones de dólares en “riqueza en papel”. </w:t>
      </w:r>
      <w:r w:rsidRPr="0037326D">
        <w:rPr>
          <w:rFonts w:ascii="Times New Roman" w:eastAsia="Times New Roman" w:hAnsi="Times New Roman" w:cs="Times New Roman"/>
          <w:sz w:val="24"/>
          <w:szCs w:val="24"/>
          <w:lang w:eastAsia="es-ES"/>
        </w:rPr>
        <w:t>El crecimiento económico fue lento, la desigualdad aumentó y cada dólar de inversión generaba 1,90 dólares de deuda.</w:t>
      </w:r>
    </w:p>
    <w:p w:rsidR="00DF7746" w:rsidRPr="0037326D" w:rsidRDefault="00DF7746" w:rsidP="00DF7746">
      <w:pPr>
        <w:numPr>
          <w:ilvl w:val="0"/>
          <w:numId w:val="2"/>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b/>
          <w:bCs/>
          <w:sz w:val="24"/>
          <w:szCs w:val="24"/>
          <w:lang w:eastAsia="es-ES"/>
        </w:rPr>
        <w:t>Los temblores actuales en el sistema financiero pueden indicar un cambio en la forma en que el mundo se endeuda, presta y acumula valor, con una amplia gama de escenarios plausibles a largo plazo. </w:t>
      </w:r>
      <w:r w:rsidRPr="0037326D">
        <w:rPr>
          <w:rFonts w:ascii="Times New Roman" w:eastAsia="Times New Roman" w:hAnsi="Times New Roman" w:cs="Times New Roman"/>
          <w:sz w:val="24"/>
          <w:szCs w:val="24"/>
          <w:lang w:eastAsia="es-ES"/>
        </w:rPr>
        <w:t>Modelamos cuatro escenarios económicos (regreso a una era pasada, mayor por más tiempo, reinicio del balance y aceleración de la productividad) para comprender lo que le deparará el futuro al balance mundial.</w:t>
      </w:r>
    </w:p>
    <w:p w:rsidR="00DF7746" w:rsidRPr="0037326D" w:rsidRDefault="00DF7746" w:rsidP="00DF7746">
      <w:pPr>
        <w:numPr>
          <w:ilvl w:val="0"/>
          <w:numId w:val="2"/>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b/>
          <w:bCs/>
          <w:sz w:val="24"/>
          <w:szCs w:val="24"/>
          <w:lang w:eastAsia="es-ES"/>
        </w:rPr>
        <w:t>Tres de los escenarios potenciales están lejos de ser ideales: dos son “elegir su veneno” y el tercero una dosis doble. </w:t>
      </w:r>
      <w:r w:rsidRPr="0037326D">
        <w:rPr>
          <w:rFonts w:ascii="Times New Roman" w:eastAsia="Times New Roman" w:hAnsi="Times New Roman" w:cs="Times New Roman"/>
          <w:sz w:val="24"/>
          <w:szCs w:val="24"/>
          <w:lang w:eastAsia="es-ES"/>
        </w:rPr>
        <w:t>La volatilidad puede resultar temporal y la expansión del balance puede reanudarse a medida que los ahorros vuelvan a hacer subir el precio de los activos existentes en lugar de fluir hacia inversiones productivas. O podrían persistir altas tasas de inflación y de interés, parecidas a la economía estadounidense después de la crisis petrolera de los años 1970. El peor de los casos se parecería más al de Japón después del estallido de su burbuja inmobiliaria y bursátil en la década de 1990, con un desapalancamiento prolongado y una fuerte contracción de los precios de los activos. Por ejemplo, las acciones y los valores inmobiliarios estadounidenses podrían caer más de un 30 por ciento de aquí a 2030.</w:t>
      </w:r>
    </w:p>
    <w:p w:rsidR="00DF7746" w:rsidRPr="0037326D" w:rsidRDefault="00DF7746" w:rsidP="00DF7746">
      <w:pPr>
        <w:numPr>
          <w:ilvl w:val="0"/>
          <w:numId w:val="2"/>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b/>
          <w:bCs/>
          <w:sz w:val="24"/>
          <w:szCs w:val="24"/>
          <w:lang w:eastAsia="es-ES"/>
        </w:rPr>
        <w:t>Con diferencia, el resultado más deseable es acelerar la productividad para que el crecimiento económico alcance el balance. </w:t>
      </w:r>
      <w:r w:rsidRPr="0037326D">
        <w:rPr>
          <w:rFonts w:ascii="Times New Roman" w:eastAsia="Times New Roman" w:hAnsi="Times New Roman" w:cs="Times New Roman"/>
          <w:sz w:val="24"/>
          <w:szCs w:val="24"/>
          <w:lang w:eastAsia="es-ES"/>
        </w:rPr>
        <w:t>Sólo este escenario combina un fuerte crecimiento de los ingresos, la riqueza y la salud del balance.</w:t>
      </w:r>
    </w:p>
    <w:p w:rsidR="00DF7746" w:rsidRPr="0037326D" w:rsidRDefault="00DF7746" w:rsidP="00DF7746">
      <w:pPr>
        <w:numPr>
          <w:ilvl w:val="0"/>
          <w:numId w:val="2"/>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b/>
          <w:bCs/>
          <w:sz w:val="24"/>
          <w:szCs w:val="24"/>
          <w:lang w:eastAsia="es-ES"/>
        </w:rPr>
        <w:t>Los tomadores de decisiones necesitarán imaginación para prepararse para toda la gama de escenarios y al mismo tiempo mantener una firme determinación para lograr lo mejor. </w:t>
      </w:r>
      <w:r w:rsidRPr="0037326D">
        <w:rPr>
          <w:rFonts w:ascii="Times New Roman" w:eastAsia="Times New Roman" w:hAnsi="Times New Roman" w:cs="Times New Roman"/>
          <w:sz w:val="24"/>
          <w:szCs w:val="24"/>
          <w:lang w:eastAsia="es-ES"/>
        </w:rPr>
        <w:t>Acelerar el crecimiento de la productividad requerirá contrarrestar los obstáculos, como el envejecimiento o cadenas de suministro más complejas, mediante inversiones bien dirigidas para aprovechar el poder tanto de la tecnología como del capital humano. La suerte aún no está echada.</w:t>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noProof/>
          <w:sz w:val="24"/>
          <w:szCs w:val="24"/>
          <w:lang w:eastAsia="es-ES"/>
        </w:rPr>
        <mc:AlternateContent>
          <mc:Choice Requires="wps">
            <w:drawing>
              <wp:inline distT="0" distB="0" distL="0" distR="0" wp14:anchorId="2853F4AE" wp14:editId="37DE7C72">
                <wp:extent cx="304800" cy="304800"/>
                <wp:effectExtent l="0" t="0" r="0" b="0"/>
                <wp:docPr id="13" name="Rectángulo 13" descr="Son posibles cuatro amplios escenarios económicos y de balance hasta 203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ángulo 13" o:spid="_x0000_s1026" alt="Son posibles cuatro amplios escenarios económicos y de balance hasta 2030."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" filled="f" stroked="f">
                <o:lock v:ext="edit" aspectratio="t"/>
                <w10:anchorlock/>
              </v:rect>
            </w:pict>
          </mc:Fallback>
        </mc:AlternateContent>
      </w:r>
    </w:p>
    <w:p w:rsidR="00DF7746" w:rsidRDefault="00DF7746" w:rsidP="00DF7746">
      <w:pPr>
        <w:spacing w:after="0" w:line="240" w:lineRule="auto"/>
        <w:rPr>
          <w:rFonts w:ascii="Times New Roman" w:eastAsia="Times New Roman" w:hAnsi="Times New Roman" w:cs="Times New Roman"/>
          <w:sz w:val="24"/>
          <w:szCs w:val="24"/>
          <w:lang w:eastAsia="es-ES"/>
        </w:rPr>
      </w:pPr>
      <w:r w:rsidRPr="0037326D">
        <w:rPr>
          <w:rFonts w:ascii="Times New Roman" w:eastAsia="Times New Roman" w:hAnsi="Times New Roman" w:cs="Times New Roman"/>
          <w:noProof/>
          <w:sz w:val="24"/>
          <w:szCs w:val="24"/>
          <w:lang w:eastAsia="es-ES"/>
        </w:rPr>
        <w:lastRenderedPageBreak/>
        <w:drawing>
          <wp:inline distT="0" distB="0" distL="0" distR="0" wp14:anchorId="6D58F4F5" wp14:editId="08BA4927">
            <wp:extent cx="5731510" cy="4106970"/>
            <wp:effectExtent l="0" t="0" r="2540" b="825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4106970"/>
                    </a:xfrm>
                    <a:prstGeom prst="rect">
                      <a:avLst/>
                    </a:prstGeom>
                  </pic:spPr>
                </pic:pic>
              </a:graphicData>
            </a:graphic>
          </wp:inline>
        </w:drawing>
      </w:r>
    </w:p>
    <w:p w:rsidR="00DF7746" w:rsidRPr="0037326D" w:rsidRDefault="00DF7746" w:rsidP="00DF7746">
      <w:pPr>
        <w:spacing w:after="0" w:line="240" w:lineRule="auto"/>
        <w:rPr>
          <w:rFonts w:ascii="Times New Roman" w:eastAsia="Times New Roman" w:hAnsi="Times New Roman" w:cs="Times New Roman"/>
          <w:sz w:val="24"/>
          <w:szCs w:val="24"/>
          <w:lang w:eastAsia="es-ES"/>
        </w:rPr>
      </w:pPr>
      <w:r w:rsidRPr="0037326D">
        <w:rPr>
          <w:rFonts w:ascii="Times New Roman" w:eastAsia="Times New Roman" w:hAnsi="Times New Roman" w:cs="Times New Roman"/>
          <w:noProof/>
          <w:sz w:val="24"/>
          <w:szCs w:val="24"/>
          <w:lang w:eastAsia="es-ES"/>
        </w:rPr>
        <w:drawing>
          <wp:inline distT="0" distB="0" distL="0" distR="0" wp14:anchorId="6D95113E" wp14:editId="0AC35A95">
            <wp:extent cx="5731510" cy="4287610"/>
            <wp:effectExtent l="0" t="0" r="254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4287610"/>
                    </a:xfrm>
                    <a:prstGeom prst="rect">
                      <a:avLst/>
                    </a:prstGeom>
                  </pic:spPr>
                </pic:pic>
              </a:graphicData>
            </a:graphic>
          </wp:inline>
        </w:drawing>
      </w:r>
    </w:p>
    <w:p w:rsidR="00DF7746" w:rsidRPr="0037326D" w:rsidRDefault="00DF7746" w:rsidP="00DF7746">
      <w:pPr>
        <w:spacing w:after="0" w:line="240" w:lineRule="auto"/>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 </w:t>
      </w:r>
    </w:p>
    <w:p w:rsidR="00DF7746" w:rsidRDefault="00DF7746" w:rsidP="00DF7746">
      <w:pPr>
        <w:spacing w:after="0" w:line="240" w:lineRule="auto"/>
        <w:outlineLvl w:val="1"/>
        <w:rPr>
          <w:rFonts w:ascii="Times New Roman" w:eastAsia="Times New Roman" w:hAnsi="Times New Roman" w:cs="Times New Roman"/>
          <w:b/>
          <w:bCs/>
          <w:sz w:val="36"/>
          <w:szCs w:val="36"/>
          <w:lang w:eastAsia="es-ES"/>
        </w:rPr>
      </w:pPr>
    </w:p>
    <w:p w:rsidR="00DF7746" w:rsidRPr="0037326D" w:rsidRDefault="00DF7746" w:rsidP="00DF7746">
      <w:pPr>
        <w:spacing w:after="0" w:line="240" w:lineRule="auto"/>
        <w:jc w:val="both"/>
        <w:outlineLvl w:val="1"/>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lastRenderedPageBreak/>
        <w:t>Introducción</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FB26B7">
        <w:rPr>
          <w:rFonts w:ascii="Times New Roman" w:eastAsia="Times New Roman" w:hAnsi="Times New Roman" w:cs="Times New Roman"/>
          <w:b/>
          <w:bCs/>
          <w:sz w:val="24"/>
          <w:szCs w:val="24"/>
          <w:lang w:eastAsia="es-ES"/>
        </w:rPr>
        <w:t>Las recientes turbulencias</w:t>
      </w:r>
      <w:r w:rsidRPr="0037326D">
        <w:rPr>
          <w:rFonts w:ascii="Times New Roman" w:eastAsia="Times New Roman" w:hAnsi="Times New Roman" w:cs="Times New Roman"/>
          <w:sz w:val="24"/>
          <w:szCs w:val="24"/>
          <w:lang w:eastAsia="es-ES"/>
        </w:rPr>
        <w:t> en el mundo bancario se producen en un contexto de tasas de interés más altas que chocan con un alto apalancamiento en medio de tensiones geopolíticas intensificadas. Este es un cambio importante en las condiciones de fondo de los años de dinero suelto y aumentos de riqueza aparentemente interminables.</w:t>
      </w:r>
    </w:p>
    <w:p w:rsidR="00DF7746" w:rsidRPr="00FB26B7"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Durante las últimas dos décadas, el balance global se expandió mucho más rápido que el PIB. La deuda creció, al igual que los precios de los activos. Pero la productividad y la producción económica no siguieron el mismo ritmo y la desigualdad aumentó (para más detalles, consulte el recuadr</w:t>
      </w:r>
      <w:r>
        <w:rPr>
          <w:rFonts w:ascii="Times New Roman" w:eastAsia="Times New Roman" w:hAnsi="Times New Roman" w:cs="Times New Roman"/>
          <w:sz w:val="24"/>
          <w:szCs w:val="24"/>
          <w:lang w:eastAsia="es-ES"/>
        </w:rPr>
        <w:t>o “¿Qué es el balance global?”)</w:t>
      </w:r>
      <w:r>
        <w:rPr>
          <w:rFonts w:ascii="Times New Roman" w:eastAsia="Times New Roman" w:hAnsi="Times New Roman" w:cs="Times New Roman"/>
          <w:color w:val="0000FF"/>
          <w:sz w:val="24"/>
          <w:szCs w:val="24"/>
          <w:u w:val="single"/>
          <w:vertAlign w:val="superscript"/>
          <w:lang w:eastAsia="es-ES"/>
        </w:rPr>
        <w:t>.</w:t>
      </w:r>
    </w:p>
    <w:p w:rsidR="00DF7746" w:rsidRPr="00FB26B7" w:rsidRDefault="00DF7746" w:rsidP="00DF7746">
      <w:pPr>
        <w:pStyle w:val="Ttulo2"/>
        <w:shd w:val="clear" w:color="auto" w:fill="F0F0F0"/>
        <w:spacing w:before="0" w:beforeAutospacing="0" w:after="0" w:afterAutospacing="0"/>
        <w:jc w:val="both"/>
        <w:rPr>
          <w:color w:val="000000"/>
          <w:sz w:val="24"/>
          <w:szCs w:val="24"/>
        </w:rPr>
      </w:pPr>
      <w:r w:rsidRPr="00FB26B7">
        <w:rPr>
          <w:color w:val="000000"/>
          <w:sz w:val="24"/>
          <w:szCs w:val="24"/>
        </w:rPr>
        <w:t>¿Qué es el balance global?</w:t>
      </w:r>
    </w:p>
    <w:p w:rsidR="00DF7746" w:rsidRPr="00FB26B7" w:rsidRDefault="00DF7746" w:rsidP="00DF7746">
      <w:pPr>
        <w:pStyle w:val="Ttulo2"/>
        <w:shd w:val="clear" w:color="auto" w:fill="F0F0F0"/>
        <w:spacing w:before="0" w:beforeAutospacing="0" w:after="0" w:afterAutospacing="0"/>
        <w:jc w:val="both"/>
        <w:rPr>
          <w:color w:val="000000"/>
          <w:sz w:val="24"/>
          <w:szCs w:val="24"/>
        </w:rPr>
      </w:pPr>
    </w:p>
    <w:p w:rsidR="00DF7746" w:rsidRDefault="00DF7746" w:rsidP="00DF7746">
      <w:pPr>
        <w:pStyle w:val="Ttulo2"/>
        <w:shd w:val="clear" w:color="auto" w:fill="F0F0F0"/>
        <w:spacing w:before="0" w:beforeAutospacing="0" w:after="0" w:afterAutospacing="0"/>
        <w:jc w:val="both"/>
        <w:rPr>
          <w:b w:val="0"/>
          <w:color w:val="000000"/>
          <w:sz w:val="24"/>
          <w:szCs w:val="24"/>
        </w:rPr>
      </w:pPr>
      <w:r w:rsidRPr="00FB26B7">
        <w:rPr>
          <w:b w:val="0"/>
          <w:color w:val="000000"/>
          <w:sz w:val="24"/>
          <w:szCs w:val="24"/>
        </w:rPr>
        <w:t>En un balance global, el MGI sumaba todos los activos reales de la economía (por ejemplo, bienes raíces, infraestructura, maquinaria, materias primas e intangibles), así como todos los activos y pasivos financieros (por ejemplo, capital, deuda, préstamos, depósitos, activos y pasivos de pensiones). Se incluyen todos los sectores: hogares, gobierno y corporaciones financieras y no financieras (gráfico). Todos los activos y pasivos se valoran a precios de mercado. El balance global tiene tres componentes que se entrelazan: (1) el sector financiero: activos y pasivos financieros en manos de instituciones financieras, que ayudan a intermediar los de otros sectores; (2) el sistema financiero: activos y pasivos financieros en manos de hogares, gobiernos y corporaciones no financieras, a menudo se utiliza para financiar activos reales con capital o patrimonio neto en manos de otras personas o instituciones; y (3) la economía real: activos reales y el patrimonio neto resultante de la creación de esos activos.</w:t>
      </w:r>
    </w:p>
    <w:p w:rsidR="00DF7746" w:rsidRPr="0037326D" w:rsidRDefault="00DF7746" w:rsidP="00DF7746">
      <w:pPr>
        <w:pStyle w:val="Ttulo2"/>
        <w:shd w:val="clear" w:color="auto" w:fill="F0F0F0"/>
        <w:spacing w:before="0" w:beforeAutospacing="0" w:after="0" w:afterAutospacing="0"/>
        <w:jc w:val="both"/>
        <w:rPr>
          <w:b w:val="0"/>
          <w:color w:val="000000"/>
          <w:sz w:val="24"/>
          <w:szCs w:val="24"/>
        </w:rPr>
      </w:pPr>
    </w:p>
    <w:p w:rsidR="00DF7746" w:rsidRPr="0037326D" w:rsidRDefault="00DF7746" w:rsidP="00DF7746">
      <w:pPr>
        <w:spacing w:after="0" w:line="240" w:lineRule="auto"/>
        <w:jc w:val="both"/>
        <w:outlineLvl w:val="1"/>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¿Qué es el balance global?</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A finales de 2022, la inestabilidad de la economía mundial y del balance se había hecho evidente.</w:t>
      </w:r>
      <w:r>
        <w:rPr>
          <w:rFonts w:ascii="Times New Roman" w:eastAsia="Times New Roman" w:hAnsi="Times New Roman" w:cs="Times New Roman"/>
          <w:color w:val="0000FF"/>
          <w:sz w:val="24"/>
          <w:szCs w:val="24"/>
          <w:vertAlign w:val="superscript"/>
          <w:lang w:eastAsia="es-ES"/>
        </w:rPr>
        <w:t xml:space="preserve"> </w:t>
      </w:r>
      <w:r w:rsidRPr="0037326D">
        <w:rPr>
          <w:rFonts w:ascii="Times New Roman" w:eastAsia="Times New Roman" w:hAnsi="Times New Roman" w:cs="Times New Roman"/>
          <w:sz w:val="24"/>
          <w:szCs w:val="24"/>
          <w:lang w:eastAsia="es-ES"/>
        </w:rPr>
        <w:t>Sólo en 2022, los hogares perdieron 8 billones de dólares de riqueza.</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El futuro de la riqueza y el crecimiento económico está en juego. ¿Cuánto tiempo podría durar el estrés en el sistema financiero? ¿Se enfrenta el mundo a un importante reequilibrio de su balance? ¿Cuán severo podría llegar a ser el impacto sobre los bienes raíces, el capital y la deuda, y qué podría pasar con los depósitos? ¿Cuál es el curso de acción óptimo para las partes interesadas, desde los inversores hasta las instituciones financieras y los formuladores de políticas?</w:t>
      </w:r>
    </w:p>
    <w:p w:rsidR="00DF7746"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La gama de caminos plausibles a largo plazo sigue siendo amplia. Mucho depende de si el mundo regresa a una era de inversión débil y exceso de ahorro, lo que implica un crecimiento lento del PIB, tasas de interés bajas y una expansión incesante del balance global. En otro camino, un consumo más fuerte y mayores requisitos de inversión para la transición neta cero, la reconfiguración de la cadena de suministro o la defensa conducen a una inflación y tasas de interés persistentemente más altas. ¿Cuál sería la respuesta de política? ¿Podría un fuerte endurecimiento desencadenar una corrección de los precios de los activos y un reinicio del balance? ¿O podría el crecimiento de la productividad venir al rescate, generando tasas más altas de crecimiento económico a medida que el capital se redirige hacia oportunidades de inversión productiva?</w:t>
      </w:r>
    </w:p>
    <w:p w:rsidR="00DF7746" w:rsidRPr="0037326D" w:rsidRDefault="00DF7746" w:rsidP="00DF7746">
      <w:pPr>
        <w:spacing w:before="100" w:beforeAutospacing="1" w:after="100" w:afterAutospacing="1" w:line="240" w:lineRule="auto"/>
        <w:rPr>
          <w:rFonts w:ascii="Times New Roman" w:eastAsia="Times New Roman" w:hAnsi="Times New Roman" w:cs="Times New Roman"/>
          <w:sz w:val="24"/>
          <w:szCs w:val="24"/>
          <w:lang w:eastAsia="es-ES"/>
        </w:rPr>
      </w:pPr>
      <w:r w:rsidRPr="00FB26B7">
        <w:rPr>
          <w:rFonts w:ascii="Times New Roman" w:eastAsia="Times New Roman" w:hAnsi="Times New Roman" w:cs="Times New Roman"/>
          <w:noProof/>
          <w:sz w:val="24"/>
          <w:szCs w:val="24"/>
          <w:lang w:eastAsia="es-ES"/>
        </w:rPr>
        <w:lastRenderedPageBreak/>
        <w:drawing>
          <wp:inline distT="0" distB="0" distL="0" distR="0" wp14:anchorId="0376BEB4" wp14:editId="7D7EB82F">
            <wp:extent cx="5731510" cy="3193970"/>
            <wp:effectExtent l="0" t="0" r="2540" b="698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193970"/>
                    </a:xfrm>
                    <a:prstGeom prst="rect">
                      <a:avLst/>
                    </a:prstGeom>
                  </pic:spPr>
                </pic:pic>
              </a:graphicData>
            </a:graphic>
          </wp:inline>
        </w:drawing>
      </w:r>
      <w:r w:rsidRPr="00FB26B7">
        <w:rPr>
          <w:rFonts w:ascii="Times New Roman" w:eastAsia="Times New Roman" w:hAnsi="Times New Roman" w:cs="Times New Roman"/>
          <w:noProof/>
          <w:sz w:val="24"/>
          <w:szCs w:val="24"/>
          <w:lang w:eastAsia="es-ES"/>
        </w:rPr>
        <w:drawing>
          <wp:inline distT="0" distB="0" distL="0" distR="0" wp14:anchorId="016CD724" wp14:editId="4786417E">
            <wp:extent cx="5731510" cy="2279745"/>
            <wp:effectExtent l="0" t="0" r="254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2279745"/>
                    </a:xfrm>
                    <a:prstGeom prst="rect">
                      <a:avLst/>
                    </a:prstGeom>
                  </pic:spPr>
                </pic:pic>
              </a:graphicData>
            </a:graphic>
          </wp:inline>
        </w:drawing>
      </w:r>
      <w:r w:rsidRPr="00FB26B7">
        <w:rPr>
          <w:rFonts w:ascii="Times New Roman" w:eastAsia="Times New Roman" w:hAnsi="Times New Roman" w:cs="Times New Roman"/>
          <w:noProof/>
          <w:sz w:val="24"/>
          <w:szCs w:val="24"/>
          <w:lang w:eastAsia="es-ES"/>
        </w:rPr>
        <w:drawing>
          <wp:inline distT="0" distB="0" distL="0" distR="0" wp14:anchorId="048B4835" wp14:editId="6E5DD87E">
            <wp:extent cx="5731510" cy="2942910"/>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2942910"/>
                    </a:xfrm>
                    <a:prstGeom prst="rect">
                      <a:avLst/>
                    </a:prstGeom>
                  </pic:spPr>
                </pic:pic>
              </a:graphicData>
            </a:graphic>
          </wp:inline>
        </w:drawing>
      </w:r>
      <w:r w:rsidRPr="0037326D">
        <w:rPr>
          <w:rFonts w:ascii="Times New Roman" w:eastAsia="Times New Roman" w:hAnsi="Times New Roman" w:cs="Times New Roman"/>
          <w:sz w:val="24"/>
          <w:szCs w:val="24"/>
          <w:lang w:eastAsia="es-ES"/>
        </w:rPr>
        <w:t xml:space="preserve">En este artículo, el McKinsey Global Institute (MGI) modela cuatro escenarios para capturar la variedad de resultados potenciales. Los llamamos “regreso a la era pasada”, “más alto por </w:t>
      </w:r>
      <w:r w:rsidRPr="0037326D">
        <w:rPr>
          <w:rFonts w:ascii="Times New Roman" w:eastAsia="Times New Roman" w:hAnsi="Times New Roman" w:cs="Times New Roman"/>
          <w:sz w:val="24"/>
          <w:szCs w:val="24"/>
          <w:lang w:eastAsia="es-ES"/>
        </w:rPr>
        <w:lastRenderedPageBreak/>
        <w:t>más tiempo”, “reinicio del balance” y “aceleración de la productividad”. En el escenario, con diferencia, más deseable, la productividad se acelera de modo que el crecimiento económico alcance el balance, combinando así un rápido crecimiento del PIB, un aumento de la riqueza y un balance más saludable. Los otros tres escenarios están lejos de ser ideales, cada uno a su manera.</w:t>
      </w:r>
    </w:p>
    <w:p w:rsidR="00DF7746"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Las apuestas son altas. El panorama económico, bancario y de inversión de los próximos diez años puede parecer muy diferente al de los últimos veinte años. El impacto diferencial de los escenarios sobre la producción económica es enorme, y las consecuencias para el balance son de un orden de magnitud aún mayor. MGI ha desarrollado un modelo para la economía y el balance de Estados Unidos, Reino Unido y Alemania. Un ajuste del balance en Estados Unidos reduciría el crecimiento anual del PIB en 1,7 puntos porcentuales, en comparación con un escenario de productividad acelerada (Gráfico 1). Del mismo modo, la riqueza total de los hogares sería 48 billones de dólares menor en un escenario de reinicio que en uno de aceleración de la productividad. Más allá de una posible disminución de la riqueza, que probablemente produciría sus propios efectos cicatrizantes, un reinicio con corrección del precio de los activos materiales también significaría que muchos activos financiados con deuda terminarían bajo el agua. Esto amplificaría las tensiones existentes en el sistema financiero. Por esta razón, los tomadores de decisiones deben prestar mucha atención al impacto en el balance al tomar decisiones de política económica.</w:t>
      </w:r>
    </w:p>
    <w:p w:rsidR="00DF7746" w:rsidRPr="0037326D" w:rsidRDefault="00DF7746" w:rsidP="00DF7746">
      <w:pPr>
        <w:spacing w:after="0" w:line="240" w:lineRule="auto"/>
        <w:rPr>
          <w:rFonts w:ascii="Times New Roman" w:eastAsia="Times New Roman" w:hAnsi="Times New Roman" w:cs="Times New Roman"/>
          <w:sz w:val="24"/>
          <w:szCs w:val="24"/>
          <w:lang w:eastAsia="es-ES"/>
        </w:rPr>
      </w:pPr>
      <w:r w:rsidRPr="00FB26B7">
        <w:rPr>
          <w:rFonts w:ascii="Times New Roman" w:eastAsia="Times New Roman" w:hAnsi="Times New Roman" w:cs="Times New Roman"/>
          <w:noProof/>
          <w:sz w:val="24"/>
          <w:szCs w:val="24"/>
          <w:lang w:eastAsia="es-ES"/>
        </w:rPr>
        <w:drawing>
          <wp:inline distT="0" distB="0" distL="0" distR="0" wp14:anchorId="21473F4E" wp14:editId="45544B9B">
            <wp:extent cx="5726580" cy="2692400"/>
            <wp:effectExtent l="0" t="0" r="762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694718"/>
                    </a:xfrm>
                    <a:prstGeom prst="rect">
                      <a:avLst/>
                    </a:prstGeom>
                  </pic:spPr>
                </pic:pic>
              </a:graphicData>
            </a:graphic>
          </wp:inline>
        </w:drawing>
      </w:r>
    </w:p>
    <w:p w:rsidR="00DF7746" w:rsidRPr="0037326D" w:rsidRDefault="00DF7746" w:rsidP="00DF7746">
      <w:pPr>
        <w:spacing w:after="0" w:line="240" w:lineRule="auto"/>
        <w:rPr>
          <w:rFonts w:ascii="Times New Roman" w:eastAsia="Times New Roman" w:hAnsi="Times New Roman" w:cs="Times New Roman"/>
          <w:sz w:val="24"/>
          <w:szCs w:val="24"/>
          <w:lang w:eastAsia="es-ES"/>
        </w:rPr>
      </w:pPr>
      <w:r w:rsidRPr="00FB26B7">
        <w:rPr>
          <w:rFonts w:ascii="Times New Roman" w:eastAsia="Times New Roman" w:hAnsi="Times New Roman" w:cs="Times New Roman"/>
          <w:noProof/>
          <w:sz w:val="24"/>
          <w:szCs w:val="24"/>
          <w:lang w:eastAsia="es-ES"/>
        </w:rPr>
        <w:drawing>
          <wp:inline distT="0" distB="0" distL="0" distR="0" wp14:anchorId="4DE562F5" wp14:editId="74122F30">
            <wp:extent cx="5725872" cy="2444750"/>
            <wp:effectExtent l="0" t="0" r="825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2447157"/>
                    </a:xfrm>
                    <a:prstGeom prst="rect">
                      <a:avLst/>
                    </a:prstGeom>
                  </pic:spPr>
                </pic:pic>
              </a:graphicData>
            </a:graphic>
          </wp:inline>
        </w:drawing>
      </w:r>
    </w:p>
    <w:p w:rsidR="00DF7746" w:rsidRPr="0037326D" w:rsidRDefault="007D321C" w:rsidP="00DF7746">
      <w:pPr>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lastRenderedPageBreak/>
        <w:t>Dos décadas de creciente “riqueza en papel”</w:t>
      </w:r>
      <w:r w:rsidR="00DF7746" w:rsidRPr="0037326D">
        <w:rPr>
          <w:rFonts w:ascii="Times New Roman" w:eastAsia="Times New Roman" w:hAnsi="Times New Roman" w:cs="Times New Roman"/>
          <w:b/>
          <w:bCs/>
          <w:sz w:val="24"/>
          <w:szCs w:val="24"/>
          <w:lang w:eastAsia="es-ES"/>
        </w:rPr>
        <w:t xml:space="preserve"> pero lento crecimiento económico</w:t>
      </w:r>
    </w:p>
    <w:p w:rsidR="00DF7746"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Las últimas dos décadas contrastan marcadamente con la trayectoria histórica de acumulación de riqueza (y deuda) global posterior a la Segunda Guerra Mundial. Antes del cambio de milenio, el crecimiento del patrimonio neto mundial seguía en gran medida el crecimiento del PIB. Pero entonces sucedió algo inusual. Alrededor del año 2000, en un momento que variaba según el país, el patrimonio neto, los valores de los activos y la deuda comenzaron a crecer significativamente más rápido que el PIB (Anexo 2). En cambio, el crecimiento de la productividad entre los países del G-7 ha sido lento, cayendo del 1,8 por ciento anual entre 1980 y 2000 al 0,8 por ciento entre 2000 y 2018.</w:t>
      </w:r>
    </w:p>
    <w:p w:rsidR="00DF7746" w:rsidRDefault="00DF7746" w:rsidP="00DF7746">
      <w:pPr>
        <w:spacing w:after="0" w:line="240" w:lineRule="auto"/>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Anexo 2</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C112E">
        <w:rPr>
          <w:rFonts w:ascii="Times New Roman" w:eastAsia="Times New Roman" w:hAnsi="Times New Roman" w:cs="Times New Roman"/>
          <w:noProof/>
          <w:sz w:val="24"/>
          <w:szCs w:val="24"/>
          <w:lang w:eastAsia="es-ES"/>
        </w:rPr>
        <w:drawing>
          <wp:inline distT="0" distB="0" distL="0" distR="0" wp14:anchorId="78A92AA3" wp14:editId="0CD5A621">
            <wp:extent cx="5730744" cy="5118100"/>
            <wp:effectExtent l="0" t="0" r="3810" b="635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5118784"/>
                    </a:xfrm>
                    <a:prstGeom prst="rect">
                      <a:avLst/>
                    </a:prstGeom>
                  </pic:spPr>
                </pic:pic>
              </a:graphicData>
            </a:graphic>
          </wp:inline>
        </w:drawing>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Entre 2000 y 2021, la inflación de los precios de los activos creó alrededor de 160 billones de dólares en “riqueza en papel”. Las valoraciones de activos como acciones y bienes raíces crecieron más rápido que la producción económica real. Y cada dólar de inversión neta generó 1,90 dólares de nueva deuda neta. En conjunto, el balance mundial creció 1,3 veces más rápido que el PIB. Se cuadruplicó hasta alcanzar 1,6 quintillones de dólares en activos, que consisten en 610 billones de dólares en activos reales, 520 billones de dólares en activos financieros fuera del sector financiero y 500 billones de dólares dentro del sector financiero.</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lastRenderedPageBreak/>
        <w:t>La expansión de los balances se aceleró durante la pandemia cuando los gobiernos lanzaron apoyos a gran escala para los hogares y las empresas afectados por los confinamientos. Durante 2020 y 2021, la riqueza mundial en relación con el PIB creció más rápido que en cualquier otro período de dos años de los últimos 50 años. La creación de nueva deuda se aceleró a $3,40 por cada $1,00 de inversión neta.</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Para 2021, cuatro tipos de activos constituían el 80 por ciento de los tres balances globales entrelazados (sector financiero, balance financiero de los sectores no financieros y economía real): bienes raíces (27 por ciento), ac</w:t>
      </w:r>
      <w:r>
        <w:rPr>
          <w:rFonts w:ascii="Times New Roman" w:eastAsia="Times New Roman" w:hAnsi="Times New Roman" w:cs="Times New Roman"/>
          <w:sz w:val="24"/>
          <w:szCs w:val="24"/>
          <w:lang w:eastAsia="es-ES"/>
        </w:rPr>
        <w:t>ciones (21 por ciento), deuda (</w:t>
      </w:r>
      <w:r w:rsidRPr="0037326D">
        <w:rPr>
          <w:rFonts w:ascii="Times New Roman" w:eastAsia="Times New Roman" w:hAnsi="Times New Roman" w:cs="Times New Roman"/>
          <w:sz w:val="24"/>
          <w:szCs w:val="24"/>
          <w:lang w:eastAsia="es-ES"/>
        </w:rPr>
        <w:t>20 por ciento), y efectivo y depósitos (12 por ciento). Los cuatro han aumentado en relación con el PIB desde 2000, incluidos los bienes raíces un 33 por ciento más, el capital un 100 por ciento más y la deuda un 90 por ciento más. El dinero y los depósitos crecieron un 124 por ciento más rápido que el PIB.</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El patrón general de aumento del valor de los activos se mantiene en todas las economías, pero con variaciones en el momento y el ritmo relativo de crecimiento entre los tipos de activos. Tomando a Estados Unidos como ejemplo, las cuatro partidas más importantes del balance superaron el PIB entre un 50 por ciento (bienes raíces) y un 200 por ciento (acciones) a valores de mercado en relación con los valores de 1995 (Anexo 3). En el Reino Unido, el crecimiento fue aún más rápido en los sectores</w:t>
      </w:r>
      <w:r>
        <w:rPr>
          <w:rFonts w:ascii="Times New Roman" w:eastAsia="Times New Roman" w:hAnsi="Times New Roman" w:cs="Times New Roman"/>
          <w:sz w:val="24"/>
          <w:szCs w:val="24"/>
          <w:lang w:eastAsia="es-ES"/>
        </w:rPr>
        <w:t>,</w:t>
      </w:r>
      <w:r w:rsidRPr="0037326D">
        <w:rPr>
          <w:rFonts w:ascii="Times New Roman" w:eastAsia="Times New Roman" w:hAnsi="Times New Roman" w:cs="Times New Roman"/>
          <w:sz w:val="24"/>
          <w:szCs w:val="24"/>
          <w:lang w:eastAsia="es-ES"/>
        </w:rPr>
        <w:t xml:space="preserve"> inmobiliario y de deuda, y más lento en el de acciones. En Alemania, la expansión del balance fue menos pronunciada en todas las clases de activos.</w:t>
      </w:r>
    </w:p>
    <w:p w:rsidR="00DF7746"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Anexo 3</w:t>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2C112E">
        <w:rPr>
          <w:rFonts w:ascii="Times New Roman" w:eastAsia="Times New Roman" w:hAnsi="Times New Roman" w:cs="Times New Roman"/>
          <w:noProof/>
          <w:sz w:val="24"/>
          <w:szCs w:val="24"/>
          <w:lang w:eastAsia="es-ES"/>
        </w:rPr>
        <w:drawing>
          <wp:inline distT="0" distB="0" distL="0" distR="0" wp14:anchorId="7B52FDA7" wp14:editId="39D9DC51">
            <wp:extent cx="5734050" cy="3879850"/>
            <wp:effectExtent l="0" t="0" r="0" b="635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3878131"/>
                    </a:xfrm>
                    <a:prstGeom prst="rect">
                      <a:avLst/>
                    </a:prstGeom>
                  </pic:spPr>
                </pic:pic>
              </a:graphicData>
            </a:graphic>
          </wp:inline>
        </w:drawing>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 xml:space="preserve">Una caída estructural de las tasas de interés reales apuntaló la expansión del balance, mientras el crecimiento económico seguía siendo lento. Por ejemplo, en Estados Unidos, las expectativas prospectivas sobre las tasas de interés reales disminuyeron constantemente entre 1995 y 2021. Las bajas tasas de interés alentaron el endeudamiento, redujeron el costo de los </w:t>
      </w:r>
      <w:r w:rsidRPr="0037326D">
        <w:rPr>
          <w:rFonts w:ascii="Times New Roman" w:eastAsia="Times New Roman" w:hAnsi="Times New Roman" w:cs="Times New Roman"/>
          <w:sz w:val="24"/>
          <w:szCs w:val="24"/>
          <w:lang w:eastAsia="es-ES"/>
        </w:rPr>
        <w:lastRenderedPageBreak/>
        <w:t>préstamos y bonos y estimularon a los bancos comerciales a recaudar (y crear) depósitos. En términos muy simplificados, un exceso de capital persiguió muy pocas oportunidades de inversión productiva, y gran parte de él fluyó hacia bienes raíces y acciones, lo que hizo subir los precios. La deuda aumentó más rápido que la inversión neta y la riqueza en papel creció.</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En el resto de esta sección, exploramos los factores que impulsan el crecimiento de los balances en las cuatro clases de activos.</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La caída de los tipos de interés reales impulsó el aumento del valor inmobiliario</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La caída de las tasas de interés reales ha desempeñado un papel notable en el impulso de las valoraciones inmobiliarias (Gráfico 4). Los inversores podían permitirse el lujo de pagar más por una propiedad con un alquiler determinado y, por lo tanto, los múltiplos valor-alquiler aumentaron. El coste del capital inmobiliario también cayó, amplificando el efecto. Esto significó que el rendimiento efectivo de los bienes raíces, o tasas de capitalización, cayó.</w:t>
      </w:r>
    </w:p>
    <w:p w:rsidR="00DF7746"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Anexo 4</w:t>
      </w:r>
    </w:p>
    <w:p w:rsidR="00DF7746" w:rsidRDefault="00DF7746" w:rsidP="00DF7746">
      <w:pPr>
        <w:spacing w:after="0" w:line="240" w:lineRule="auto"/>
        <w:jc w:val="both"/>
        <w:rPr>
          <w:rFonts w:ascii="Times New Roman" w:eastAsia="Times New Roman" w:hAnsi="Times New Roman" w:cs="Times New Roman"/>
          <w:sz w:val="24"/>
          <w:szCs w:val="24"/>
          <w:lang w:eastAsia="es-ES"/>
        </w:rPr>
      </w:pPr>
      <w:r w:rsidRPr="002C112E">
        <w:rPr>
          <w:rFonts w:ascii="Times New Roman" w:eastAsia="Times New Roman" w:hAnsi="Times New Roman" w:cs="Times New Roman"/>
          <w:noProof/>
          <w:sz w:val="24"/>
          <w:szCs w:val="24"/>
          <w:lang w:eastAsia="es-ES"/>
        </w:rPr>
        <w:drawing>
          <wp:inline distT="0" distB="0" distL="0" distR="0" wp14:anchorId="75E5D196" wp14:editId="0CA6503F">
            <wp:extent cx="5731510" cy="5291237"/>
            <wp:effectExtent l="0" t="0" r="2540" b="508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5291237"/>
                    </a:xfrm>
                    <a:prstGeom prst="rect">
                      <a:avLst/>
                    </a:prstGeom>
                  </pic:spPr>
                </pic:pic>
              </a:graphicData>
            </a:graphic>
          </wp:inline>
        </w:drawing>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2C112E">
        <w:rPr>
          <w:rFonts w:ascii="Times New Roman" w:eastAsia="Times New Roman" w:hAnsi="Times New Roman" w:cs="Times New Roman"/>
          <w:noProof/>
          <w:sz w:val="24"/>
          <w:szCs w:val="24"/>
          <w:lang w:eastAsia="es-ES"/>
        </w:rPr>
        <w:drawing>
          <wp:inline distT="0" distB="0" distL="0" distR="0" wp14:anchorId="636131F7" wp14:editId="22C6A999">
            <wp:extent cx="5731510" cy="385775"/>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85775"/>
                    </a:xfrm>
                    <a:prstGeom prst="rect">
                      <a:avLst/>
                    </a:prstGeom>
                  </pic:spPr>
                </pic:pic>
              </a:graphicData>
            </a:graphic>
          </wp:inline>
        </w:drawing>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lastRenderedPageBreak/>
        <w:t>A pesar de esta marcada caída en los rendimientos, los alquileres (incluidos los alquileres imputados a los edificios ocupados por sus propietarios) siguieron creciendo. La participación del alquiler en el PIB aumentó (en Estados Unidos) o disminuyó (en el Reino Unido y Alemania) modestamente, mientras que el crecimiento en el número y la calidad de los edificios estuvo a la zaga del crecimiento del PIB por un amplio margen. La escasez de oferta, particularmente en las ciudades superestrellas, influyó.</w:t>
      </w:r>
      <w:r>
        <w:rPr>
          <w:rFonts w:ascii="Times New Roman" w:eastAsia="Times New Roman" w:hAnsi="Times New Roman" w:cs="Times New Roman"/>
          <w:color w:val="0000FF"/>
          <w:sz w:val="24"/>
          <w:szCs w:val="24"/>
          <w:vertAlign w:val="superscript"/>
          <w:lang w:eastAsia="es-ES"/>
        </w:rPr>
        <w:t xml:space="preserve"> </w:t>
      </w:r>
      <w:r w:rsidRPr="0037326D">
        <w:rPr>
          <w:rFonts w:ascii="Times New Roman" w:eastAsia="Times New Roman" w:hAnsi="Times New Roman" w:cs="Times New Roman"/>
          <w:sz w:val="24"/>
          <w:szCs w:val="24"/>
          <w:lang w:eastAsia="es-ES"/>
        </w:rPr>
        <w:t>Casi un tercio del valor global de los bienes raíces se concentra en esas ciudades, donde una mayor densificación enfrenta dificultades políticas y los precios han sido altos y en aumento durante las últimas décadas. Esta tendencia se ha desacelerado en los últimos años y los precios han subido menos en estas ciudades que en otros lugares a medida que la pandemia incrementó el trabajo desde casa y algunas personas se mudaron más lejos del trabajo.</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Hay algunas variaciones de país. En Estados Unidos, por ejemplo, el valor de mercado de los bienes raíces creció 1,5 veces más rápido que el PIB entre 1995 y 2021. Si bien hubo una corrección significativa después de la crisis financiera mundial, el aumento se reanudó rápidamente. La caída de las tasas de interés reales impulsó casi todo el aumento.</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En el Reino Unido, el sector inmobiliario creció incluso más fuertemente en relación con el PIB que en Estados Unidos. Las caídas en el costo del capital inmobiliario desempeñaron un papel comparativamente más importante. Como los inversores sintieron que los precios sólo podían subir, las percepciones de riesgo y el costo del capital disminuyeron drásticamente antes de la crisis financiera mundial. Tras corregir al alza como consecuencia de aquella crisis, el coste del capital volvió a caer.</w:t>
      </w:r>
    </w:p>
    <w:p w:rsidR="00DF7746" w:rsidRPr="00DF7746" w:rsidRDefault="00DF7746" w:rsidP="00DF7746">
      <w:pPr>
        <w:spacing w:after="0" w:line="240" w:lineRule="auto"/>
        <w:jc w:val="both"/>
        <w:outlineLvl w:val="2"/>
        <w:rPr>
          <w:rFonts w:ascii="Times New Roman" w:eastAsia="Times New Roman" w:hAnsi="Times New Roman" w:cs="Times New Roman"/>
          <w:b/>
          <w:bCs/>
          <w:sz w:val="24"/>
          <w:szCs w:val="24"/>
          <w:lang w:eastAsia="es-ES"/>
        </w:rPr>
      </w:pPr>
      <w:r w:rsidRPr="00DF7746">
        <w:rPr>
          <w:rFonts w:ascii="Times New Roman" w:eastAsia="Times New Roman" w:hAnsi="Times New Roman" w:cs="Times New Roman"/>
          <w:b/>
          <w:bCs/>
          <w:sz w:val="24"/>
          <w:szCs w:val="24"/>
          <w:lang w:eastAsia="es-ES"/>
        </w:rPr>
        <w:t>Balance global 2022: entrada de la volatilidad</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En Alemania, los valores inmobiliarios experimentaron un largo período de caída en relación con el PIB a finales de los años 1990 y principios de los años 2000, cuando se corrigió la burbuja inmobiliaria en el este de Alemania tras la reunificación. Como resultado, la industria inmobiliaria alemana salió relativamente ilesa de la crisis financiera mundial y luego comenzó a recuperar terreno rápidamente a medida que bajaban las tasas de interés.</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La caída de las tasas de interés reales impulsó el crecimiento de las acciones y, en Estados Unidos, el aumento de los rendimientos del capital también jugó un papel importante.</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La caída de las tasas de interés reales impulsó el valor de las acciones en todas las economías, ya que las ganancias futuras se descontaron a una tasa más baja. Tanto en el Reino Unido como en Alemania, la caída de las tasas fue responsable de todo el crecimiento de los valores de las acciones en relación con el PIB entre 1995 y 2021. En Estados Unidos, contribuyeron alrededor de un tercio de este crecimiento (Gráfico 5).</w:t>
      </w: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Anexo 5</w:t>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r w:rsidRPr="00317476">
        <w:rPr>
          <w:rFonts w:ascii="Times New Roman" w:eastAsia="Times New Roman" w:hAnsi="Times New Roman" w:cs="Times New Roman"/>
          <w:noProof/>
          <w:sz w:val="24"/>
          <w:szCs w:val="24"/>
          <w:lang w:eastAsia="es-ES"/>
        </w:rPr>
        <w:drawing>
          <wp:inline distT="0" distB="0" distL="0" distR="0" wp14:anchorId="3A651665" wp14:editId="5318E2ED">
            <wp:extent cx="5731510" cy="5506169"/>
            <wp:effectExtent l="0" t="0" r="254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5506169"/>
                    </a:xfrm>
                    <a:prstGeom prst="rect">
                      <a:avLst/>
                    </a:prstGeom>
                  </pic:spPr>
                </pic:pic>
              </a:graphicData>
            </a:graphic>
          </wp:inline>
        </w:drawing>
      </w: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Sin embargo, en Estados Unidos también intervino otro poderoso factor: una creciente participación del PIB en las ganancias corporativas, que contribuyó con dos tercios del crecimiento de los valores de las acciones frente al PIB. La participación de las ganancias en el PIB aumentó un 80 por ciento entre 1995 y 2021, hasta el 12,3 por ciento, la participación más alta en un siglo (Gráfico 6). La proporción de ganancias creció a pesar de que el stock de capital corporativo, como es común, siguió de cerca al PIB.</w:t>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Anexo 6</w:t>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17476">
        <w:rPr>
          <w:rFonts w:ascii="Times New Roman" w:eastAsia="Times New Roman" w:hAnsi="Times New Roman" w:cs="Times New Roman"/>
          <w:noProof/>
          <w:sz w:val="24"/>
          <w:szCs w:val="24"/>
          <w:lang w:eastAsia="es-ES"/>
        </w:rPr>
        <w:drawing>
          <wp:inline distT="0" distB="0" distL="0" distR="0" wp14:anchorId="7CC68DD0" wp14:editId="683B5E18">
            <wp:extent cx="5731510" cy="4132688"/>
            <wp:effectExtent l="0" t="0" r="2540" b="127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4132688"/>
                    </a:xfrm>
                    <a:prstGeom prst="rect">
                      <a:avLst/>
                    </a:prstGeom>
                  </pic:spPr>
                </pic:pic>
              </a:graphicData>
            </a:graphic>
          </wp:inline>
        </w:drawing>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Varios factores contribuyeron a este aumento de los ingresos en relación con el PIB, como lo muestran investigaciones anteriores de MGI.</w:t>
      </w:r>
      <w:r>
        <w:rPr>
          <w:rFonts w:ascii="Times New Roman" w:eastAsia="Times New Roman" w:hAnsi="Times New Roman" w:cs="Times New Roman"/>
          <w:color w:val="0000FF"/>
          <w:sz w:val="24"/>
          <w:szCs w:val="24"/>
          <w:vertAlign w:val="superscript"/>
          <w:lang w:eastAsia="es-ES"/>
        </w:rPr>
        <w:t xml:space="preserve"> </w:t>
      </w:r>
      <w:r w:rsidRPr="0037326D">
        <w:rPr>
          <w:rFonts w:ascii="Times New Roman" w:eastAsia="Times New Roman" w:hAnsi="Times New Roman" w:cs="Times New Roman"/>
          <w:sz w:val="24"/>
          <w:szCs w:val="24"/>
          <w:lang w:eastAsia="es-ES"/>
        </w:rPr>
        <w:t>Uno de ellos fueron los efectos de superestrella a nivel empresarial, particularmente en la economía digital. Otros incluyen una creciente automatización y una disminución del poder de negociación laboral en algunos sectores, incluidos los derivados de la globalización, la deslocalización y los cambios en la producción hacia estados menos sindicalizados. Los cambios en las tasas del impuesto corporativo también pueden haber influido.</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Nuestro análisis sugiere que los inversores no esperaban (ni esperan) que la participación en las ganancias aumentara más. Sin embargo, los inversores parecen tener expectativas de que la participación en las ganancias se mantenga en los altos niveles actuales y de que las tasas de interés reales a largo plazo se mantengan bajas, a juzgar por las valoraciones actuales de las acciones estadounidenses.</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Por cada $1,00 de nueva inversión neta, se crearon $1,90 de nueva deuda</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Con el aumento del valor de las acciones, la deuda también aumentó marcadamente y, con ella, la riqueza equivalente para los prestamistas y los tenedores de bonos. A finales de 2021, en Estados Unidos, Japón, China y todas las principales economías europeas, excepto Alemania, la deuda no solo era más alta en relación con el PIB que en 2000, sino que incluso había aumentado desde el máximo alcanzado tras la crisis financiera mundial de 2008. En Estados Unidos la cifra pasó de 2,5 a 2,8 veces el PIB, en el Reino Unido de 2,5 a 2,8, en Japón de 3,4 a 4,3 y en China de 1,6 a 2,7. En Alemania, la deuda se mantuvo estable en alrededor de 2,0 veces el PIB.</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lastRenderedPageBreak/>
        <w:t>A nivel mundial, por cada dólar de inversión neta, se crearon 1,90 dólares de deuda adicional. Gran parte de esta deuda financió nuevas compras de activos existentes. El aumento del valor inmobiliario y las bajas tasas de interés significaron que los hogares podían endeudarse más contra las viviendas existentes. El aumento del valor de las acciones significó que las empresas podían utilizar el apalancamiento para reducir su costo de capital, financiar fusiones y adquisiciones, realizar recompras de acciones o aumentar las reservas de efectivo. Los gobiernos también aumentaron la deuda, particularmente en respuesta a la crisis financiera global y la pandemia. Curiosamente, el aumento de los precios de los bonos a medida que bajaron las tasas de interés jugó sólo un papel menor en el impulso de la relación deuda/PIB, ya que el rango de tiempo utilizado es mucho más largo que el de los vencimientos típicos de los bonos.</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El dinero y los depósitos en los bancos comerciales y centrales se han expandido</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El crecimiento de los depósitos superó el crecimiento del PIB en Estados Unidos, el Reino Unido y Alemania. En Estados Unidos, el volumen de efectivo y depósitos en bancos comerciales y centrales aumentó de 0,6 veces el PIB en 1995 a 1,2 veces el PIB en 2021; ahora es un 80 por ciento más alto en relación con el PIB que el promedio del siglo pasado. En el Reino Unido los depósitos crecieron de 1,9 veces el PIB en 2000 a 3,5 veces el PIB en 2021, y en Alemania de 1,4 veces el PIB a 1,9 veces el PIB.</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En Estados Unidos, el aumento se desarrolló en tres oleadas, con diferentes impulsores. Los préstamos hipotecarios flexibles antes de que la crisis financiera mundial de 2008 desencadenara la primera ola. A nivel del sistema financiero, cada nuevo préstamo requiere un nuevo depósito correspondiente. Una segunda ola llegó con la flexibilización cuantitativa y, por tanto, la creación de dinero del banco central (o “externo”) en respuesta a la crisis. Finalmente, se produjo una tercera ola con otra ronda de flexibilización cuantitativa en respuesta a la pandemia. Además, el apoyo a los hogares y las empresas durante la pandemia de COVID-19 generó un exceso de ahorro, ya que los hogares gastaron menos durante los confinamientos. </w:t>
      </w:r>
    </w:p>
    <w:p w:rsidR="00DF7746" w:rsidRPr="0037326D" w:rsidRDefault="00DF7746" w:rsidP="00DF7746">
      <w:pPr>
        <w:spacing w:after="0" w:line="240" w:lineRule="auto"/>
        <w:jc w:val="both"/>
        <w:outlineLvl w:val="1"/>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¿Están cambiando las fuerzas que impulsaron el crecimiento de los balances globales?</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En las últimas décadas han prevalecido una inversión débil y un exceso de ahorro, apuntalando la expansión del balance global. Hubo una relativa escasez de opciones productivas para los ahorradores (tanto minoristas como institucionales) y el precio de las viviendas usadas y las acciones subieron como era de esperar. El crecimiento del PIB se mantuvo por debajo de su potencial estructural. Los bancos centrales mantuvieron las tasas de interés bajas para estimular la actividad económica, con el objetivo de alcanzar sus objetivos de inflación. Se trataba del clásico “estancamiento secular”.</w:t>
      </w:r>
    </w:p>
    <w:p w:rsidR="00DF7746" w:rsidRPr="0037326D" w:rsidRDefault="00DF7746" w:rsidP="00DF7746">
      <w:pPr>
        <w:spacing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Sin duda, muchas cosas en el mundo parecen estar cambiando, desde la geopolítica a la tecnología, los sistemas energéticos y la demografía. Es posible que las fuerzas más estructurales detrás de los elevados ahorros y la débil inversión cambien, aunque esto sigue siendo un tema de incertidumbre y debate.</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¿Podría esto estar cambiando? Sin duda, muchas cosas en el mundo parecen estar cambiando, desde la geopolítica a la tecnología, los sistemas energéticos y la demografía.</w:t>
      </w:r>
      <w:hyperlink r:id="rId58" w:history="1">
        <w:r w:rsidRPr="00317476">
          <w:rPr>
            <w:rFonts w:ascii="Times New Roman" w:eastAsia="Times New Roman" w:hAnsi="Times New Roman" w:cs="Times New Roman"/>
            <w:color w:val="0000FF"/>
            <w:sz w:val="24"/>
            <w:szCs w:val="24"/>
            <w:u w:val="single"/>
            <w:vertAlign w:val="superscript"/>
            <w:lang w:eastAsia="es-ES"/>
          </w:rPr>
          <w:t>5</w:t>
        </w:r>
      </w:hyperlink>
      <w:r w:rsidRPr="0037326D">
        <w:rPr>
          <w:rFonts w:ascii="Times New Roman" w:eastAsia="Times New Roman" w:hAnsi="Times New Roman" w:cs="Times New Roman"/>
          <w:sz w:val="24"/>
          <w:szCs w:val="24"/>
          <w:lang w:eastAsia="es-ES"/>
        </w:rPr>
        <w:t>Es posible que las fuerzas más estructurales detrás de los elevados ahorros y la débil inversión cambien, aunque esto sigue siendo un tema de incertidumbre y debate.</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lastRenderedPageBreak/>
        <w:t>¿Crecerán las necesidades de inversión y la demanda de capital después de décadas de declive?</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Durante las últimas décadas, ha habido muy poca inversión productiva. En las economías avanzadas, la inversión neta ha disminuido como proporción del PIB. En la década de 2010, esta proporción era aproximadamente un 50 por ciento más baja que antes de la crisis financiera de 2008 en Europa y un 40 por ciento en Estados Unidos (Gráfico 7). Sorprendentemente, tras la crisis financiera mundial, la inversión del sector privado se desplomó ante la incertidumbre y las débiles perspectivas de demanda. La profundización del capital (crecimiento del stock de capital por trabajador) cayó a la tasa más baja del período posterior a la Segunda Guerra Mundial. La inversión pública también se ha quedado rezagada, incluso en infraestructura y vivienda asequible. En infraestructura, por ejemplo, análisis anteriores del MGI mostraron que Estados Unidos invirtió alrededor de 0,4 por ciento del PIB menos que la cantidad estimada necesaria para respaldar el crecimiento económico entre 2010 y 2020.</w:t>
      </w:r>
    </w:p>
    <w:p w:rsidR="00DF7746"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Anexo 7</w:t>
      </w:r>
    </w:p>
    <w:p w:rsidR="00DF7746" w:rsidRDefault="00DF7746" w:rsidP="00DF7746">
      <w:pPr>
        <w:spacing w:after="0" w:line="240" w:lineRule="auto"/>
        <w:jc w:val="both"/>
        <w:rPr>
          <w:rFonts w:ascii="Times New Roman" w:eastAsia="Times New Roman" w:hAnsi="Times New Roman" w:cs="Times New Roman"/>
          <w:sz w:val="24"/>
          <w:szCs w:val="24"/>
          <w:lang w:eastAsia="es-ES"/>
        </w:rPr>
      </w:pPr>
      <w:r w:rsidRPr="00317476">
        <w:rPr>
          <w:rFonts w:ascii="Times New Roman" w:eastAsia="Times New Roman" w:hAnsi="Times New Roman" w:cs="Times New Roman"/>
          <w:noProof/>
          <w:sz w:val="24"/>
          <w:szCs w:val="24"/>
          <w:lang w:eastAsia="es-ES"/>
        </w:rPr>
        <w:drawing>
          <wp:inline distT="0" distB="0" distL="0" distR="0" wp14:anchorId="4895B089" wp14:editId="31A24E3D">
            <wp:extent cx="5731510" cy="4759113"/>
            <wp:effectExtent l="0" t="0" r="2540" b="381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4759113"/>
                    </a:xfrm>
                    <a:prstGeom prst="rect">
                      <a:avLst/>
                    </a:prstGeom>
                  </pic:spPr>
                </pic:pic>
              </a:graphicData>
            </a:graphic>
          </wp:inline>
        </w:drawing>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17476">
        <w:rPr>
          <w:rFonts w:ascii="Times New Roman" w:eastAsia="Times New Roman" w:hAnsi="Times New Roman" w:cs="Times New Roman"/>
          <w:noProof/>
          <w:sz w:val="24"/>
          <w:szCs w:val="24"/>
          <w:lang w:eastAsia="es-ES"/>
        </w:rPr>
        <w:lastRenderedPageBreak/>
        <w:drawing>
          <wp:inline distT="0" distB="0" distL="0" distR="0" wp14:anchorId="3AA0452A" wp14:editId="318A2F48">
            <wp:extent cx="5731510" cy="3459113"/>
            <wp:effectExtent l="0" t="0" r="2540" b="825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459113"/>
                    </a:xfrm>
                    <a:prstGeom prst="rect">
                      <a:avLst/>
                    </a:prstGeom>
                  </pic:spPr>
                </pic:pic>
              </a:graphicData>
            </a:graphic>
          </wp:inline>
        </w:drawing>
      </w: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La incertidumbre es alta y las decisiones aún pueden determinar el camino a seguir, pero en general, la inversión y, por tanto, la demanda de capital (y su costo) bien podrían aumentar sustancialmente. Incluso si no toda la inversión incremental es productiva, el crecimiento económico podría acelerarse.</w:t>
      </w:r>
    </w:p>
    <w:p w:rsidR="00DF7746" w:rsidRPr="0037326D" w:rsidRDefault="00DF7746" w:rsidP="00DF7746">
      <w:pPr>
        <w:numPr>
          <w:ilvl w:val="0"/>
          <w:numId w:val="4"/>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17476">
        <w:rPr>
          <w:rFonts w:ascii="Times New Roman" w:eastAsia="Times New Roman" w:hAnsi="Times New Roman" w:cs="Times New Roman"/>
          <w:i/>
          <w:iCs/>
          <w:sz w:val="24"/>
          <w:szCs w:val="24"/>
          <w:lang w:eastAsia="es-ES"/>
        </w:rPr>
        <w:t>Aumenta la inversión en infraestructura. </w:t>
      </w:r>
      <w:r w:rsidRPr="0037326D">
        <w:rPr>
          <w:rFonts w:ascii="Times New Roman" w:eastAsia="Times New Roman" w:hAnsi="Times New Roman" w:cs="Times New Roman"/>
          <w:sz w:val="24"/>
          <w:szCs w:val="24"/>
          <w:lang w:eastAsia="es-ES"/>
        </w:rPr>
        <w:t>Particularmente en Estados Unidos, parece estar surgiendo un cambio después de décadas de inversión insuficiente en infraestructura. Por ejemplo, la Ley de Empleo e Inversión en Infraestructura, promulgada en noviembre de 2021, prevé un gasto gubernamental incremental de 550 mil millones de dólares centrado en transporte público, banda ancha de alta velocidad, agua potable e infraestructura de carga de vehículos eléctricos. Una mayor inversión en infraestructura acelerará el crecimiento de la productividad.</w:t>
      </w:r>
    </w:p>
    <w:p w:rsidR="00DF7746" w:rsidRPr="0037326D" w:rsidRDefault="00DF7746" w:rsidP="00DF7746">
      <w:pPr>
        <w:numPr>
          <w:ilvl w:val="0"/>
          <w:numId w:val="4"/>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17476">
        <w:rPr>
          <w:rFonts w:ascii="Times New Roman" w:eastAsia="Times New Roman" w:hAnsi="Times New Roman" w:cs="Times New Roman"/>
          <w:i/>
          <w:iCs/>
          <w:sz w:val="24"/>
          <w:szCs w:val="24"/>
          <w:lang w:eastAsia="es-ES"/>
        </w:rPr>
        <w:t>La transición energética cobra impulso. </w:t>
      </w:r>
      <w:r w:rsidRPr="0037326D">
        <w:rPr>
          <w:rFonts w:ascii="Times New Roman" w:eastAsia="Times New Roman" w:hAnsi="Times New Roman" w:cs="Times New Roman"/>
          <w:sz w:val="24"/>
          <w:szCs w:val="24"/>
          <w:lang w:eastAsia="es-ES"/>
        </w:rPr>
        <w:t>La investigación del MGI sugiere que la transición neta cero por sí sola necesitará una inversión incremental equivalente a aproximadamente dos puntos porcentuales del PIB en la década de 2020.</w:t>
      </w:r>
      <w:r>
        <w:rPr>
          <w:rFonts w:ascii="Times New Roman" w:eastAsia="Times New Roman" w:hAnsi="Times New Roman" w:cs="Times New Roman"/>
          <w:color w:val="0000FF"/>
          <w:sz w:val="24"/>
          <w:szCs w:val="24"/>
          <w:vertAlign w:val="superscript"/>
          <w:lang w:eastAsia="es-ES"/>
        </w:rPr>
        <w:t xml:space="preserve"> </w:t>
      </w:r>
      <w:r w:rsidRPr="0037326D">
        <w:rPr>
          <w:rFonts w:ascii="Times New Roman" w:eastAsia="Times New Roman" w:hAnsi="Times New Roman" w:cs="Times New Roman"/>
          <w:sz w:val="24"/>
          <w:szCs w:val="24"/>
          <w:lang w:eastAsia="es-ES"/>
        </w:rPr>
        <w:t>Es probable que esto frene inicialmente el crecimiento de la productividad, pero podría acelerarlo en el largo plazo.</w:t>
      </w:r>
    </w:p>
    <w:p w:rsidR="00DF7746" w:rsidRPr="0037326D" w:rsidRDefault="00DF7746" w:rsidP="00DF7746">
      <w:pPr>
        <w:numPr>
          <w:ilvl w:val="0"/>
          <w:numId w:val="4"/>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17476">
        <w:rPr>
          <w:rFonts w:ascii="Times New Roman" w:eastAsia="Times New Roman" w:hAnsi="Times New Roman" w:cs="Times New Roman"/>
          <w:i/>
          <w:iCs/>
          <w:sz w:val="24"/>
          <w:szCs w:val="24"/>
          <w:lang w:eastAsia="es-ES"/>
        </w:rPr>
        <w:t>Los activos intangibles siguen creciendo. </w:t>
      </w:r>
      <w:r w:rsidRPr="0037326D">
        <w:rPr>
          <w:rFonts w:ascii="Times New Roman" w:eastAsia="Times New Roman" w:hAnsi="Times New Roman" w:cs="Times New Roman"/>
          <w:sz w:val="24"/>
          <w:szCs w:val="24"/>
          <w:lang w:eastAsia="es-ES"/>
        </w:rPr>
        <w:t>La inversión en activos intangibles, como la digitalización y la I+D, ha aumentado y seguirá aumentando de manera constante a medida que adquieran mayor importancia estructural para la economía. Sin embargo, dos factores han limitado la velocidad de este crecimiento. En primer lugar, las habilidades necesarias para desplegar activos intangibles han sido escasas. Esto podría cambiar con una mayor inversión en el desarrollo de habilidades y la implementación de tecnología de inteligencia artificial más fácil de usar. En segundo lugar, los activos intangibles han tenido dificultades para servir como vehículo para el ahorro a largo plazo. Debido a sus ciclos de vida más cortos, pueden absorber ahorros sólo durante un período más limitado antes de volverse obsoletos o pasar valor a los consumidores a medida que aumenta la competencia. Si bien la regulación podría limitar esos efectos de contagio, esto sería negativo para el crecimiento.</w:t>
      </w:r>
    </w:p>
    <w:p w:rsidR="00DF7746" w:rsidRPr="0037326D" w:rsidRDefault="00DF7746" w:rsidP="00DF7746">
      <w:pPr>
        <w:numPr>
          <w:ilvl w:val="0"/>
          <w:numId w:val="4"/>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17476">
        <w:rPr>
          <w:rFonts w:ascii="Times New Roman" w:eastAsia="Times New Roman" w:hAnsi="Times New Roman" w:cs="Times New Roman"/>
          <w:i/>
          <w:iCs/>
          <w:sz w:val="24"/>
          <w:szCs w:val="24"/>
          <w:lang w:eastAsia="es-ES"/>
        </w:rPr>
        <w:lastRenderedPageBreak/>
        <w:t>La geopolítica impulsa un aumento de las inversiones relacionadas con la defensa, las cadenas de suministro y la política industrial.</w:t>
      </w:r>
      <w:r>
        <w:rPr>
          <w:rFonts w:ascii="Times New Roman" w:eastAsia="Times New Roman" w:hAnsi="Times New Roman" w:cs="Times New Roman"/>
          <w:i/>
          <w:iCs/>
          <w:sz w:val="24"/>
          <w:szCs w:val="24"/>
          <w:lang w:eastAsia="es-ES"/>
        </w:rPr>
        <w:t xml:space="preserve"> </w:t>
      </w:r>
      <w:r w:rsidRPr="0037326D">
        <w:rPr>
          <w:rFonts w:ascii="Times New Roman" w:eastAsia="Times New Roman" w:hAnsi="Times New Roman" w:cs="Times New Roman"/>
          <w:sz w:val="24"/>
          <w:szCs w:val="24"/>
          <w:lang w:eastAsia="es-ES"/>
        </w:rPr>
        <w:t>Una geopolítica más fracturada puede aumentar la inversión en la reconfiguración de la cadena de suministro, iniciativas de política industrial y defensa, con resultados mixtos para la productividad. La inversión en nuevas empresas está aumentando en áreas como chips y tecnologías limpias, y las cadenas de suministro se están reconfigurando. Si se hace bien, esto puede conducir a economías locales más resilientes y aún productivas, pero también puede conducir a una menor eficiencia a escala global. En el caso de la defensa, las economías europeas han tendido a no invertir de acuerdo con sus compromisos con la OTAN, pero tras la invasión rusa de Ucrania, están intensificando sus esfuerzos. Si bien algunas de estas inversiones pueden generar productividad, especialmente a nivel nacional, las inversiones inducidas políticamente generalmente enfrentan el riesgo de una asignación de capital improductiva.</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¿Están disminuyendo las fuerzas detrás del exceso de ahorro?</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Se destacan tres factores que impulsaron un exceso de ahorro en el pasado. Cada uno de ellos puede estar cambiando:</w:t>
      </w:r>
    </w:p>
    <w:p w:rsidR="00DF7746" w:rsidRPr="0037326D" w:rsidRDefault="00DF7746" w:rsidP="00DF7746">
      <w:pPr>
        <w:numPr>
          <w:ilvl w:val="0"/>
          <w:numId w:val="5"/>
        </w:numPr>
        <w:spacing w:after="0" w:line="240" w:lineRule="auto"/>
        <w:jc w:val="both"/>
        <w:rPr>
          <w:rFonts w:ascii="Times New Roman" w:eastAsia="Times New Roman" w:hAnsi="Times New Roman" w:cs="Times New Roman"/>
          <w:sz w:val="24"/>
          <w:szCs w:val="24"/>
          <w:lang w:eastAsia="es-ES"/>
        </w:rPr>
      </w:pPr>
      <w:r w:rsidRPr="00317476">
        <w:rPr>
          <w:rFonts w:ascii="Times New Roman" w:eastAsia="Times New Roman" w:hAnsi="Times New Roman" w:cs="Times New Roman"/>
          <w:i/>
          <w:iCs/>
          <w:sz w:val="24"/>
          <w:szCs w:val="24"/>
          <w:lang w:eastAsia="es-ES"/>
        </w:rPr>
        <w:t>Aumento de la desigualdad y disminución de la participación laboral en los ingresos: ¿reversión en mercados laborales ajustados? </w:t>
      </w:r>
      <w:r w:rsidRPr="0037326D">
        <w:rPr>
          <w:rFonts w:ascii="Times New Roman" w:eastAsia="Times New Roman" w:hAnsi="Times New Roman" w:cs="Times New Roman"/>
          <w:sz w:val="24"/>
          <w:szCs w:val="24"/>
          <w:lang w:eastAsia="es-ES"/>
        </w:rPr>
        <w:t>Durante décadas, la desigualdad aumentó y la participación del trabajo en los ingresos disminuyó.</w:t>
      </w:r>
      <w:r>
        <w:rPr>
          <w:rFonts w:ascii="Times New Roman" w:eastAsia="Times New Roman" w:hAnsi="Times New Roman" w:cs="Times New Roman"/>
          <w:color w:val="0000FF"/>
          <w:sz w:val="24"/>
          <w:szCs w:val="24"/>
          <w:vertAlign w:val="superscript"/>
          <w:lang w:eastAsia="es-ES"/>
        </w:rPr>
        <w:t xml:space="preserve"> </w:t>
      </w:r>
      <w:r w:rsidRPr="0037326D">
        <w:rPr>
          <w:rFonts w:ascii="Times New Roman" w:eastAsia="Times New Roman" w:hAnsi="Times New Roman" w:cs="Times New Roman"/>
          <w:sz w:val="24"/>
          <w:szCs w:val="24"/>
          <w:lang w:eastAsia="es-ES"/>
        </w:rPr>
        <w:t>Esto ha reducido el consumo al canalizar una parte desproporcionada de la creación de valor hacia los ricos, quienes tienden a ahorrar más que la población en general.</w:t>
      </w:r>
      <w:r>
        <w:rPr>
          <w:rFonts w:ascii="Times New Roman" w:eastAsia="Times New Roman" w:hAnsi="Times New Roman" w:cs="Times New Roman"/>
          <w:color w:val="0000FF"/>
          <w:sz w:val="24"/>
          <w:szCs w:val="24"/>
          <w:vertAlign w:val="superscript"/>
          <w:lang w:eastAsia="es-ES"/>
        </w:rPr>
        <w:t xml:space="preserve"> </w:t>
      </w:r>
      <w:r w:rsidRPr="0037326D">
        <w:rPr>
          <w:rFonts w:ascii="Times New Roman" w:eastAsia="Times New Roman" w:hAnsi="Times New Roman" w:cs="Times New Roman"/>
          <w:sz w:val="24"/>
          <w:szCs w:val="24"/>
          <w:lang w:eastAsia="es-ES"/>
        </w:rPr>
        <w:t>El creciente ahorro de los ricos ha hecho subir los precios de los activos, particularmente aquellos con mayores rendimientos esperados. Al mismo tiempo, las ganancias corporativas han crecido rápidamente, particularmente en Estados Unidos, impulsando aún más las valoraciones de las acciones y, por ende, el crecimiento de los balances.</w:t>
      </w:r>
    </w:p>
    <w:p w:rsidR="00DF7746" w:rsidRPr="0037326D" w:rsidRDefault="00DF7746" w:rsidP="00DF7746">
      <w:pPr>
        <w:spacing w:before="240" w:after="0" w:line="240" w:lineRule="auto"/>
        <w:ind w:left="720"/>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Algunos de los factores que sustentan la desigualdad de ingresos y la disminución de la participación laboral pueden cambiar en el largo plazo, impulsando el consumo en relación con el ahorro. En Estados Unidos, en los últimos años, la trayectoria tanto de la participación laboral como de la desigualdad ya se ha vuelto mucho más plana (ver nuevamente el Cuadro 7). El poder de negociación de los trabajadores podría aumentar si el mercado laboral sigue siendo ajustado y los sindicatos recuperan influencia, particularmente en Estados Unidos. La dinámica de las superestrellas y la globalización, que aumentaron los ingresos de todos pero no de la misma manera para todos, están expuestas a cambios en las políticas y reglas nacionales y globales. La escasez de talento ha aumentado los salarios en general, en particular para los trabajadores más calificados. Al mismo tiempo, la automatización ha socavado los salarios de los trabajadores poco y medianamente calificados. La llegada de la IA generativa puede afectar la prima salarial por habilidades. Por ahora, Es demasiado pronto para saber hacia dónde vamos. En 2022 y principios de 2023, el crecimiento de los salarios se aceleró notablemente, pero en la mayoría de las economías se mantuvo por debajo de la inflación y las ganancias han crecido más rápidamente.</w:t>
      </w:r>
    </w:p>
    <w:p w:rsidR="00DF7746" w:rsidRPr="0037326D" w:rsidRDefault="00DF7746" w:rsidP="00DF7746">
      <w:pPr>
        <w:numPr>
          <w:ilvl w:val="0"/>
          <w:numId w:val="5"/>
        </w:numPr>
        <w:spacing w:after="0" w:line="240" w:lineRule="auto"/>
        <w:jc w:val="both"/>
        <w:rPr>
          <w:rFonts w:ascii="Times New Roman" w:eastAsia="Times New Roman" w:hAnsi="Times New Roman" w:cs="Times New Roman"/>
          <w:sz w:val="24"/>
          <w:szCs w:val="24"/>
          <w:lang w:eastAsia="es-ES"/>
        </w:rPr>
      </w:pPr>
      <w:r w:rsidRPr="00317476">
        <w:rPr>
          <w:rFonts w:ascii="Times New Roman" w:eastAsia="Times New Roman" w:hAnsi="Times New Roman" w:cs="Times New Roman"/>
          <w:i/>
          <w:iCs/>
          <w:sz w:val="24"/>
          <w:szCs w:val="24"/>
          <w:lang w:eastAsia="es-ES"/>
        </w:rPr>
        <w:t>Envejecimiento: ¿Pasar del ahorro para la jubilación al gasto durante la jubilación? </w:t>
      </w:r>
      <w:r w:rsidRPr="0037326D">
        <w:rPr>
          <w:rFonts w:ascii="Times New Roman" w:eastAsia="Times New Roman" w:hAnsi="Times New Roman" w:cs="Times New Roman"/>
          <w:sz w:val="24"/>
          <w:szCs w:val="24"/>
          <w:lang w:eastAsia="es-ES"/>
        </w:rPr>
        <w:t xml:space="preserve">El envejecimiento de la población tiene consecuencias para la tasa de ahorro agregado de una economía. La visión convencional sostiene que los hogares acumulan riqueza para prepararse para la jubilación y luego agotan sus ahorros durante la jubilación. Pero, con algunas variaciones entre países, los hogares no han </w:t>
      </w:r>
      <w:r w:rsidRPr="0037326D">
        <w:rPr>
          <w:rFonts w:ascii="Times New Roman" w:eastAsia="Times New Roman" w:hAnsi="Times New Roman" w:cs="Times New Roman"/>
          <w:sz w:val="24"/>
          <w:szCs w:val="24"/>
          <w:lang w:eastAsia="es-ES"/>
        </w:rPr>
        <w:lastRenderedPageBreak/>
        <w:t>estado gastando sus ahorros tanto como sugiere el argumento convencional, sino que han mantenido el capital como ahorro precautorio para ser heredado por sus descendientes; Este es el llamado rompecabezas del ahorro para la jubilación.</w:t>
      </w:r>
    </w:p>
    <w:p w:rsidR="00DF7746" w:rsidRPr="0037326D" w:rsidRDefault="00DF7746" w:rsidP="00DF7746">
      <w:pPr>
        <w:spacing w:before="240" w:after="0" w:line="240" w:lineRule="auto"/>
        <w:ind w:left="720"/>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¿Implica, por tanto, la demografía un exceso continuo de ahorro, o es más probable que experimentemos un “gran cambio”? La respuesta de la opinión dominante es que el superávit de ahorro continuará durante un período prolongado. Pero una posición minoritaria sostiene que la tendencia está a punto de romperse, que el gasto de consumo (como los costos de atención médica para las personas mayores) podría aumentar sustancialmente y que el ahorro agregado podría caer. Además, una creciente tasa de dependencia significa que aumentará el número de personas que desahorran durante la jubilación en comparación con las que ahorran durante la vida laboral (nuevamente, véase el Cuadro 7). La expansión del balance (efectos de valoración de los activos) también puede influir. Si los jubilados ya no se benefician de la misma tasa de apreciación de los precios de los activos que en décadas pasadas, tendrán que consumir una mayor parte de sus ahorros.</w:t>
      </w:r>
    </w:p>
    <w:p w:rsidR="00DF7746" w:rsidRPr="0037326D" w:rsidRDefault="00DF7746" w:rsidP="00DF7746">
      <w:pPr>
        <w:numPr>
          <w:ilvl w:val="0"/>
          <w:numId w:val="5"/>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17476">
        <w:rPr>
          <w:rFonts w:ascii="Times New Roman" w:eastAsia="Times New Roman" w:hAnsi="Times New Roman" w:cs="Times New Roman"/>
          <w:i/>
          <w:iCs/>
          <w:sz w:val="24"/>
          <w:szCs w:val="24"/>
          <w:lang w:eastAsia="es-ES"/>
        </w:rPr>
        <w:t>Exceso de ahorro de los exportadores netos: ¿Retrocediendo? </w:t>
      </w:r>
      <w:r w:rsidRPr="0037326D">
        <w:rPr>
          <w:rFonts w:ascii="Times New Roman" w:eastAsia="Times New Roman" w:hAnsi="Times New Roman" w:cs="Times New Roman"/>
          <w:sz w:val="24"/>
          <w:szCs w:val="24"/>
          <w:lang w:eastAsia="es-ES"/>
        </w:rPr>
        <w:t>Especialmente después de la crisis financiera asiática de 1997, las economías de la región acumularon grandes reservas de divisas para autoasegurarse y amortiguar futuras crisis, lo que en repetidas ocasiones condujo a interrupciones repentinas de los flujos de capital. Gran parte de este conjunto de reservas se invirtió en bonos del Tesoro de Estados Unidos, lo que hizo subir sus precios, lo que equivale a reducir sus rendimientos. Las impresionantes exportaciones netas de China, pero también de otros exportadores netos como Japón y los países exportadores de petróleo, se sumaron a esta tendencia. Las reservas de divisas de China alcanzaron un máximo de casi 4 billones de dólares en 2014, de los cuales más de 1 billón de dólares se invirtieron directamente en bonos del Tesoro de Estados Unidos. Pero desde entonces esas tenencias han disminuido. En medio de crecientes tensiones geopolíticas, el camino futuro aún está por verse.</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¿Puede la oferta responder?</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Si el equilibrio entre inversión y ahorro cambia, los obstáculos demográficos y geopolíticos pueden dificultar la satisfacción de la demanda generada. La oferta mundial de mano de obra creció rápidamente en las últimas décadas, agregando capacidad a una economía con una demanda débil. En las economías avanzadas, la creciente participación de las mujeres hasta ahora ha compensado una proporción cada vez mayor de la población en edad de jubilación. Sin embargo, a medida que la población siga envejeciendo, el número relativo de personas en edad de trabajar seguirá disminuyendo. Además, alrededor de 60 millones de trabajadores en todo el mundo atienden en última instancia la demanda norteamericana y alrededor de 50 millones la demanda europea. Las fuerzas geopolíticas pueden afectar estos flujos globales y aumentar las presiones de oferta a nivel local.</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 xml:space="preserve">Por el lado positivo, la tecnología promete generar vientos de cola para la oferta. ¿Podrían hacer que la economía pase del estancamiento de la productividad a una mayor innovación y difusión de la tecnología? Las últimas décadas se caracterizaron por un lento crecimiento de la productividad en las economías avanzadas. Hasta ahora, la digitalización no se ha traducido en un mayor crecimiento de la productividad. Pero esto podría cambiar a medida </w:t>
      </w:r>
      <w:r w:rsidRPr="0037326D">
        <w:rPr>
          <w:rFonts w:ascii="Times New Roman" w:eastAsia="Times New Roman" w:hAnsi="Times New Roman" w:cs="Times New Roman"/>
          <w:sz w:val="24"/>
          <w:szCs w:val="24"/>
          <w:lang w:eastAsia="es-ES"/>
        </w:rPr>
        <w:lastRenderedPageBreak/>
        <w:t>que la adopción se extienda y tecnologías como la inteligencia artificial agreguen nuevas capacidades.</w:t>
      </w:r>
    </w:p>
    <w:p w:rsidR="00DF7746" w:rsidRPr="0037326D" w:rsidRDefault="00DF7746" w:rsidP="00DF7746">
      <w:pPr>
        <w:spacing w:after="0" w:line="240" w:lineRule="auto"/>
        <w:jc w:val="both"/>
        <w:outlineLvl w:val="1"/>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Cuatro escenarios cubren la gama de resultados económicos plausibles hasta 2030</w:t>
      </w:r>
    </w:p>
    <w:p w:rsidR="00DF7746" w:rsidRPr="00240A52"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Para ofrecer una ventana a un futuro incierto, MGI desarrolló cuatro escenarios sobre cómo podrían evolucionar la economía y el balance global en el período hasta 2030 (Gráfico 8). Difieren en la fuerza y ​​persistencia con que cambiará el equilibrio de ahorro e inversión deseados descrito en la sección anterior, y en las opciones sobre política monetaria y fiscal, así como sobre inversiones en productividad. Cada uno de los caminos es plausible; ninguno se desarrolló utilizando supuestos extremos o de baja probabilidad (para más detalles, consulte el recuadro “Desarrollo de escenarios macroeconómicos”).</w:t>
      </w:r>
    </w:p>
    <w:p w:rsidR="00DF7746" w:rsidRPr="00240A52" w:rsidRDefault="00DF7746" w:rsidP="00DF7746">
      <w:pPr>
        <w:pStyle w:val="Ttulo2"/>
        <w:shd w:val="clear" w:color="auto" w:fill="F0F0F0"/>
        <w:spacing w:before="0" w:beforeAutospacing="0" w:after="0" w:afterAutospacing="0"/>
        <w:jc w:val="both"/>
        <w:rPr>
          <w:color w:val="000000"/>
          <w:sz w:val="24"/>
          <w:szCs w:val="24"/>
        </w:rPr>
      </w:pPr>
      <w:r w:rsidRPr="00240A52">
        <w:rPr>
          <w:color w:val="000000"/>
          <w:sz w:val="24"/>
          <w:szCs w:val="24"/>
        </w:rPr>
        <w:t>Desarrollo de escenarios macroeconómicos</w:t>
      </w:r>
    </w:p>
    <w:p w:rsidR="00DF7746" w:rsidRPr="00240A52" w:rsidRDefault="00DF7746" w:rsidP="00DF7746">
      <w:pPr>
        <w:pStyle w:val="NormalWeb"/>
        <w:shd w:val="clear" w:color="auto" w:fill="F0F0F0"/>
        <w:jc w:val="both"/>
        <w:rPr>
          <w:color w:val="000000"/>
        </w:rPr>
      </w:pPr>
      <w:r w:rsidRPr="00240A52">
        <w:rPr>
          <w:rStyle w:val="Textoennegrita"/>
          <w:color w:val="000000"/>
        </w:rPr>
        <w:t>MGI desarrolló</w:t>
      </w:r>
      <w:r w:rsidRPr="00240A52">
        <w:rPr>
          <w:color w:val="000000"/>
        </w:rPr>
        <w:t> cuatro escenarios que difieren en cuán contundentes y persistentes serán los cambios en el ahorro y la inversión, así como en cuál será la respuesta social y política. Luego tradujimos los cuatro escenarios en trayectorias macroeconómicas para el crecimiento del PIB, la inflación y las tasas de interés. A través de estas vías, pretendemos comprender las trayectorias hasta 2030 en lugar de hacer predicciones a corto plazo durante los próximos uno o dos años.</w:t>
      </w:r>
    </w:p>
    <w:p w:rsidR="00DF7746" w:rsidRPr="00240A52" w:rsidRDefault="00DF7746" w:rsidP="00DF7746">
      <w:pPr>
        <w:pStyle w:val="NormalWeb"/>
        <w:shd w:val="clear" w:color="auto" w:fill="F0F0F0"/>
        <w:jc w:val="both"/>
        <w:rPr>
          <w:color w:val="000000"/>
        </w:rPr>
      </w:pPr>
      <w:r w:rsidRPr="00240A52">
        <w:rPr>
          <w:color w:val="000000"/>
        </w:rPr>
        <w:t>Cada camino es plausible; ninguno se desarrolló utilizando supuestos extremos o de baja probabilidad, como un empeoramiento material de la tensión global que llevaría a una ampliación del conflicto global, o un colapso global de los sistemas financieros, los cuales desencadenarían un fuerte aumento en las prim</w:t>
      </w:r>
      <w:r>
        <w:rPr>
          <w:color w:val="000000"/>
        </w:rPr>
        <w:t>as de riesgo y una caída masiva,</w:t>
      </w:r>
      <w:r w:rsidRPr="00240A52">
        <w:rPr>
          <w:color w:val="000000"/>
        </w:rPr>
        <w:t xml:space="preserve"> en los precios de los activos.</w:t>
      </w:r>
    </w:p>
    <w:p w:rsidR="00DF7746" w:rsidRPr="00240A52" w:rsidRDefault="00DF7746" w:rsidP="00DF7746">
      <w:pPr>
        <w:pStyle w:val="NormalWeb"/>
        <w:shd w:val="clear" w:color="auto" w:fill="F0F0F0"/>
        <w:jc w:val="both"/>
        <w:rPr>
          <w:color w:val="000000"/>
        </w:rPr>
      </w:pPr>
      <w:r w:rsidRPr="00240A52">
        <w:rPr>
          <w:color w:val="000000"/>
        </w:rPr>
        <w:t>Si bien cada uno de los escenarios tiene analogías históricas, también existen marcadas diferencias.</w:t>
      </w:r>
    </w:p>
    <w:p w:rsidR="00DF7746" w:rsidRPr="00240A52" w:rsidRDefault="00DF7746" w:rsidP="00DF7746">
      <w:pPr>
        <w:numPr>
          <w:ilvl w:val="0"/>
          <w:numId w:val="11"/>
        </w:numPr>
        <w:shd w:val="clear" w:color="auto" w:fill="F0F0F0"/>
        <w:spacing w:before="100" w:beforeAutospacing="1" w:after="100" w:afterAutospacing="1" w:line="240" w:lineRule="auto"/>
        <w:jc w:val="both"/>
        <w:rPr>
          <w:rFonts w:ascii="Times New Roman" w:hAnsi="Times New Roman" w:cs="Times New Roman"/>
          <w:color w:val="000000"/>
          <w:sz w:val="24"/>
          <w:szCs w:val="24"/>
        </w:rPr>
      </w:pPr>
      <w:r w:rsidRPr="00240A52">
        <w:rPr>
          <w:rStyle w:val="Textoennegrita"/>
          <w:rFonts w:ascii="Times New Roman" w:hAnsi="Times New Roman" w:cs="Times New Roman"/>
          <w:color w:val="000000"/>
          <w:sz w:val="24"/>
          <w:szCs w:val="24"/>
        </w:rPr>
        <w:t>Regreso a la época pasada versus 2000-20. </w:t>
      </w:r>
      <w:r w:rsidRPr="00240A52">
        <w:rPr>
          <w:rFonts w:ascii="Times New Roman" w:hAnsi="Times New Roman" w:cs="Times New Roman"/>
          <w:color w:val="000000"/>
          <w:sz w:val="24"/>
          <w:szCs w:val="24"/>
        </w:rPr>
        <w:t>Este escenario parece muy similar al que han experimentado Estados Unidos y otros países durante los últimos diez a veinte años.</w:t>
      </w:r>
    </w:p>
    <w:p w:rsidR="00DF7746" w:rsidRPr="00240A52" w:rsidRDefault="00DF7746" w:rsidP="00DF7746">
      <w:pPr>
        <w:numPr>
          <w:ilvl w:val="0"/>
          <w:numId w:val="11"/>
        </w:numPr>
        <w:shd w:val="clear" w:color="auto" w:fill="F0F0F0"/>
        <w:spacing w:before="100" w:beforeAutospacing="1" w:after="100" w:afterAutospacing="1" w:line="240" w:lineRule="auto"/>
        <w:jc w:val="both"/>
        <w:rPr>
          <w:rFonts w:ascii="Times New Roman" w:hAnsi="Times New Roman" w:cs="Times New Roman"/>
          <w:color w:val="000000"/>
          <w:sz w:val="24"/>
          <w:szCs w:val="24"/>
        </w:rPr>
      </w:pPr>
      <w:r w:rsidRPr="00240A52">
        <w:rPr>
          <w:rStyle w:val="Textoennegrita"/>
          <w:rFonts w:ascii="Times New Roman" w:hAnsi="Times New Roman" w:cs="Times New Roman"/>
          <w:color w:val="000000"/>
          <w:sz w:val="24"/>
          <w:szCs w:val="24"/>
        </w:rPr>
        <w:t>Mayor durante más tiempo en comparación con la estanflación de los años 1970 en Estados Unidos. </w:t>
      </w:r>
      <w:r w:rsidRPr="00240A52">
        <w:rPr>
          <w:rFonts w:ascii="Times New Roman" w:hAnsi="Times New Roman" w:cs="Times New Roman"/>
          <w:color w:val="000000"/>
          <w:sz w:val="24"/>
          <w:szCs w:val="24"/>
        </w:rPr>
        <w:t>La inflación es menor, del 4,0 por ciento anual frente al 9,3 por ciento anual en promedio en la década de 1970, gracias a una acción más firme del banco central. El valor real de mercado de las acciones disminuye más lentamente, a -2,0 frente a -3,8 por ciento anual. El sector inmobiliario tiene un desempeño peor, con un crecimiento del valor de mercado total de -1,0 frente a más 3,4 por ciento anual en términos reales, ya que hoy se parte de un nivel mucho más alto en relación con el PIB que en la década de 1970 y debido a una respuesta más fuerte de las tasas de interés.</w:t>
      </w:r>
    </w:p>
    <w:p w:rsidR="00DF7746" w:rsidRPr="00240A52" w:rsidRDefault="00DF7746" w:rsidP="00DF7746">
      <w:pPr>
        <w:numPr>
          <w:ilvl w:val="0"/>
          <w:numId w:val="11"/>
        </w:numPr>
        <w:shd w:val="clear" w:color="auto" w:fill="F0F0F0"/>
        <w:spacing w:before="100" w:beforeAutospacing="1" w:after="100" w:afterAutospacing="1" w:line="240" w:lineRule="auto"/>
        <w:jc w:val="both"/>
        <w:rPr>
          <w:rFonts w:ascii="Times New Roman" w:hAnsi="Times New Roman" w:cs="Times New Roman"/>
          <w:color w:val="000000"/>
          <w:sz w:val="24"/>
          <w:szCs w:val="24"/>
        </w:rPr>
      </w:pPr>
      <w:r w:rsidRPr="00240A52">
        <w:rPr>
          <w:rStyle w:val="Textoennegrita"/>
          <w:rFonts w:ascii="Times New Roman" w:hAnsi="Times New Roman" w:cs="Times New Roman"/>
          <w:color w:val="000000"/>
          <w:sz w:val="24"/>
          <w:szCs w:val="24"/>
        </w:rPr>
        <w:t>Reajuste del balance versus la crisis financiera global de 2008 o Japón en la década de 1990.</w:t>
      </w:r>
      <w:r w:rsidRPr="00240A52">
        <w:rPr>
          <w:rFonts w:ascii="Times New Roman" w:hAnsi="Times New Roman" w:cs="Times New Roman"/>
          <w:color w:val="000000"/>
          <w:sz w:val="24"/>
          <w:szCs w:val="24"/>
        </w:rPr>
        <w:t xml:space="preserve">Al igual que en la crisis de 2008, la renta variable y el sector inmobiliario corrigen marcadamente. Sin embargo, en este escenario, los impulsores estructurales del ahorro versus la inversión apuntan en otra dirección, la tasa de interés natural es más alta y la política monetaria no llega al rescate de la misma manera. Como resultado, el valor total de mercado de las acciones disminuye un 4,0 por ciento anual en términos reales hasta 2030 (en comparación con un aumento del </w:t>
      </w:r>
      <w:r w:rsidRPr="00240A52">
        <w:rPr>
          <w:rFonts w:ascii="Times New Roman" w:hAnsi="Times New Roman" w:cs="Times New Roman"/>
          <w:color w:val="000000"/>
          <w:sz w:val="24"/>
          <w:szCs w:val="24"/>
        </w:rPr>
        <w:lastRenderedPageBreak/>
        <w:t>3,2 por ciento anual durante el período que rodeó la crisis financiera mundial). Lo mismo ocurre con los bienes raíces en términos reales (menos 4,0 por ciento anual en términos reales, en comparación con menos 2,3 por ciento durante la crisis financiera global de 2008). Esta situación se parece un poco a la del Japón de los años noventa; El patrimonio neto total en relación con el PIB se contrajo un 20 por ciento entre 1990 y 2000 y todavía estaba un 17 por ciento por debajo de su máximo 30 años después, en 2021.</w:t>
      </w:r>
    </w:p>
    <w:p w:rsidR="00DF7746" w:rsidRDefault="00DF7746" w:rsidP="00DF7746">
      <w:pPr>
        <w:numPr>
          <w:ilvl w:val="0"/>
          <w:numId w:val="11"/>
        </w:numPr>
        <w:shd w:val="clear" w:color="auto" w:fill="F0F0F0"/>
        <w:spacing w:before="100" w:beforeAutospacing="1" w:after="100" w:afterAutospacing="1" w:line="240" w:lineRule="auto"/>
        <w:jc w:val="both"/>
        <w:rPr>
          <w:rFonts w:ascii="Times New Roman" w:hAnsi="Times New Roman" w:cs="Times New Roman"/>
          <w:color w:val="000000"/>
          <w:sz w:val="24"/>
          <w:szCs w:val="24"/>
        </w:rPr>
      </w:pPr>
      <w:r w:rsidRPr="00240A52">
        <w:rPr>
          <w:rStyle w:val="Textoennegrita"/>
          <w:rFonts w:ascii="Times New Roman" w:hAnsi="Times New Roman" w:cs="Times New Roman"/>
          <w:color w:val="000000"/>
          <w:sz w:val="24"/>
          <w:szCs w:val="24"/>
        </w:rPr>
        <w:t>Aceleración de la productividad frente a los años noventa. </w:t>
      </w:r>
      <w:r w:rsidRPr="00240A52">
        <w:rPr>
          <w:rFonts w:ascii="Times New Roman" w:hAnsi="Times New Roman" w:cs="Times New Roman"/>
          <w:color w:val="000000"/>
          <w:sz w:val="24"/>
          <w:szCs w:val="24"/>
        </w:rPr>
        <w:t>Este escenario se parece un poco al período de crecimiento muy rápido de la productividad a finales de los años 1990 y principios de los 2000, cuando el desarrollo de las PC, el software y otras tecnologías finalmente condujo a una aceleración del crecimiento de la productividad, resolviendo la paradoja de Solow. El crecimiento del PIB real se aceleró 1,1 puntos porcentuales (de 3,4 por ciento anual en promedio a 4,5 por ciento en promedio), en comparación con 0,9 puntos porcentuales en este escenario (de 2,2 por ciento anual en promedio a 3,0 por ciento en promedio). El valor real de mercado de las acciones creció más rápidamente, a un 12,5 frente a un 4,0 por ciento anual en este escenario, ya que partía de niveles menos elevados. Históricamente, el valor real de mercado de los bienes raíces creció a un 4,2 por ciento anual, en comparación con el 1,0 por ciento anual en este escenario.</w:t>
      </w:r>
    </w:p>
    <w:p w:rsidR="007D321C" w:rsidRDefault="007D321C" w:rsidP="00DF7746">
      <w:pPr>
        <w:spacing w:before="100" w:beforeAutospacing="1" w:after="100" w:afterAutospacing="1" w:line="240" w:lineRule="auto"/>
        <w:jc w:val="both"/>
        <w:rPr>
          <w:rFonts w:ascii="Times New Roman" w:hAnsi="Times New Roman" w:cs="Times New Roman"/>
          <w:color w:val="000000"/>
          <w:sz w:val="24"/>
          <w:szCs w:val="24"/>
          <w:shd w:val="clear" w:color="auto" w:fill="F0F0F0"/>
        </w:rPr>
      </w:pP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240A52">
        <w:rPr>
          <w:rFonts w:ascii="Times New Roman" w:hAnsi="Times New Roman" w:cs="Times New Roman"/>
          <w:color w:val="000000"/>
          <w:sz w:val="24"/>
          <w:szCs w:val="24"/>
          <w:shd w:val="clear" w:color="auto" w:fill="F0F0F0"/>
        </w:rPr>
        <w:t>En Estados Unidos, los pronósticos actuales de la Oficina de Presupuesto del Congreso (CBO) y de la Reserva Federal parecen ubicarse aproximadamente en el punto medio de las cuatro trayectorias del MGI. Lo mismo se aplica a las expectativas de inflación y de intereses implícitas en el mercado. Según datos del Banco de la Reserva Federal de Nueva York, los mercados esperan que la inflación disminuya drásticamente en 2023, alcanzando alrededor del 4 por ciento y eventualmente cayendo al 2,4 por ciento en 2030. La curva de rendimiento de los bonos del Tesoro estadounidense sugiere que los mercados esperan que el interés nominal del banco central Las tasas de interés bajarán gradualmente a medida que la inflación se modere, hasta alcanzar el 3,3 por ciento en 2030.</w:t>
      </w:r>
    </w:p>
    <w:p w:rsidR="00DF7746" w:rsidRPr="0037326D" w:rsidRDefault="00DF7746" w:rsidP="00DF7746">
      <w:pPr>
        <w:spacing w:after="0" w:line="240" w:lineRule="auto"/>
        <w:jc w:val="both"/>
        <w:outlineLvl w:val="1"/>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Desarrollo de escenarios macroeconómicos</w:t>
      </w:r>
    </w:p>
    <w:p w:rsidR="00DF7746"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Cada escenario (regreso a una era pasada, niveles más altos durante más tiempo, ajuste de balances y aceleración de la productividad) incluye un camino hasta 2030 para el crecimiento del PIB, la inflación y las tasas de interés, con el objetivo de explorar la trayectoria a largo plazo en lugar de</w:t>
      </w:r>
      <w:r>
        <w:rPr>
          <w:rFonts w:ascii="Times New Roman" w:eastAsia="Times New Roman" w:hAnsi="Times New Roman" w:cs="Times New Roman"/>
          <w:sz w:val="24"/>
          <w:szCs w:val="24"/>
          <w:lang w:eastAsia="es-ES"/>
        </w:rPr>
        <w:t xml:space="preserve"> tomar decisiones a corto plazo,</w:t>
      </w:r>
      <w:r w:rsidRPr="0037326D">
        <w:rPr>
          <w:rFonts w:ascii="Times New Roman" w:eastAsia="Times New Roman" w:hAnsi="Times New Roman" w:cs="Times New Roman"/>
          <w:sz w:val="24"/>
          <w:szCs w:val="24"/>
          <w:lang w:eastAsia="es-ES"/>
        </w:rPr>
        <w:t xml:space="preserve"> predicciones a largo plazo para el próximo año o dos (Anexo 9). MGI construyó un modelo de escenario cuantitativo para Estados Unidos, Reino Unido y Alemania, pero las características son aplicables de manera más amplia.</w:t>
      </w: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lastRenderedPageBreak/>
        <w:t>Anexo 8</w:t>
      </w:r>
    </w:p>
    <w:p w:rsidR="00DF7746" w:rsidRDefault="00DF7746" w:rsidP="00DF7746">
      <w:pPr>
        <w:spacing w:after="0" w:line="240" w:lineRule="auto"/>
        <w:rPr>
          <w:rFonts w:ascii="Times New Roman" w:eastAsia="Times New Roman" w:hAnsi="Times New Roman" w:cs="Times New Roman"/>
          <w:sz w:val="24"/>
          <w:szCs w:val="24"/>
          <w:lang w:eastAsia="es-ES"/>
        </w:rPr>
      </w:pPr>
      <w:r w:rsidRPr="00240A52">
        <w:rPr>
          <w:rFonts w:ascii="Times New Roman" w:eastAsia="Times New Roman" w:hAnsi="Times New Roman" w:cs="Times New Roman"/>
          <w:noProof/>
          <w:sz w:val="24"/>
          <w:szCs w:val="24"/>
          <w:lang w:eastAsia="es-ES"/>
        </w:rPr>
        <w:drawing>
          <wp:inline distT="0" distB="0" distL="0" distR="0" wp14:anchorId="7126C17D" wp14:editId="76D9D0BE">
            <wp:extent cx="5731510" cy="4083089"/>
            <wp:effectExtent l="0" t="0" r="254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4083089"/>
                    </a:xfrm>
                    <a:prstGeom prst="rect">
                      <a:avLst/>
                    </a:prstGeom>
                  </pic:spPr>
                </pic:pic>
              </a:graphicData>
            </a:graphic>
          </wp:inline>
        </w:drawing>
      </w:r>
    </w:p>
    <w:p w:rsidR="00DF7746" w:rsidRPr="0037326D" w:rsidRDefault="00DF7746" w:rsidP="00DF7746">
      <w:pPr>
        <w:spacing w:after="0" w:line="240" w:lineRule="auto"/>
        <w:rPr>
          <w:rFonts w:ascii="Times New Roman" w:eastAsia="Times New Roman" w:hAnsi="Times New Roman" w:cs="Times New Roman"/>
          <w:sz w:val="24"/>
          <w:szCs w:val="24"/>
          <w:lang w:eastAsia="es-ES"/>
        </w:rPr>
      </w:pPr>
      <w:r w:rsidRPr="00240A52">
        <w:rPr>
          <w:rFonts w:ascii="Times New Roman" w:eastAsia="Times New Roman" w:hAnsi="Times New Roman" w:cs="Times New Roman"/>
          <w:noProof/>
          <w:sz w:val="24"/>
          <w:szCs w:val="24"/>
          <w:lang w:eastAsia="es-ES"/>
        </w:rPr>
        <w:drawing>
          <wp:inline distT="0" distB="0" distL="0" distR="0" wp14:anchorId="1D29FE70" wp14:editId="6F12DA70">
            <wp:extent cx="5731510" cy="4542344"/>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4542344"/>
                    </a:xfrm>
                    <a:prstGeom prst="rect">
                      <a:avLst/>
                    </a:prstGeom>
                  </pic:spPr>
                </pic:pic>
              </a:graphicData>
            </a:graphic>
          </wp:inline>
        </w:drawing>
      </w:r>
    </w:p>
    <w:p w:rsidR="00DF7746" w:rsidRDefault="00DF7746" w:rsidP="00DF7746">
      <w:pPr>
        <w:spacing w:after="0" w:line="240" w:lineRule="auto"/>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Anexo 9</w:t>
      </w:r>
    </w:p>
    <w:p w:rsidR="00DF7746" w:rsidRDefault="00DF7746" w:rsidP="00DF7746">
      <w:pPr>
        <w:spacing w:after="0" w:line="240" w:lineRule="auto"/>
        <w:rPr>
          <w:rFonts w:ascii="Times New Roman" w:eastAsia="Times New Roman" w:hAnsi="Times New Roman" w:cs="Times New Roman"/>
          <w:sz w:val="24"/>
          <w:szCs w:val="24"/>
          <w:lang w:eastAsia="es-ES"/>
        </w:rPr>
      </w:pPr>
      <w:r w:rsidRPr="00240A52">
        <w:rPr>
          <w:rFonts w:ascii="Times New Roman" w:eastAsia="Times New Roman" w:hAnsi="Times New Roman" w:cs="Times New Roman"/>
          <w:noProof/>
          <w:sz w:val="24"/>
          <w:szCs w:val="24"/>
          <w:lang w:eastAsia="es-ES"/>
        </w:rPr>
        <w:drawing>
          <wp:inline distT="0" distB="0" distL="0" distR="0" wp14:anchorId="4152ED07" wp14:editId="255C0694">
            <wp:extent cx="5734050" cy="3003550"/>
            <wp:effectExtent l="0" t="0" r="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002220"/>
                    </a:xfrm>
                    <a:prstGeom prst="rect">
                      <a:avLst/>
                    </a:prstGeom>
                  </pic:spPr>
                </pic:pic>
              </a:graphicData>
            </a:graphic>
          </wp:inline>
        </w:drawing>
      </w:r>
    </w:p>
    <w:p w:rsidR="00DF7746" w:rsidRDefault="00DF7746" w:rsidP="00DF7746">
      <w:pPr>
        <w:spacing w:after="0" w:line="240" w:lineRule="auto"/>
        <w:rPr>
          <w:rFonts w:ascii="Times New Roman" w:eastAsia="Times New Roman" w:hAnsi="Times New Roman" w:cs="Times New Roman"/>
          <w:sz w:val="24"/>
          <w:szCs w:val="24"/>
          <w:lang w:eastAsia="es-ES"/>
        </w:rPr>
      </w:pPr>
      <w:r w:rsidRPr="00240A52">
        <w:rPr>
          <w:rFonts w:ascii="Times New Roman" w:eastAsia="Times New Roman" w:hAnsi="Times New Roman" w:cs="Times New Roman"/>
          <w:noProof/>
          <w:sz w:val="24"/>
          <w:szCs w:val="24"/>
          <w:lang w:eastAsia="es-ES"/>
        </w:rPr>
        <w:drawing>
          <wp:inline distT="0" distB="0" distL="0" distR="0" wp14:anchorId="567517DB" wp14:editId="65212052">
            <wp:extent cx="5733559" cy="2463800"/>
            <wp:effectExtent l="0" t="0" r="63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2462919"/>
                    </a:xfrm>
                    <a:prstGeom prst="rect">
                      <a:avLst/>
                    </a:prstGeom>
                  </pic:spPr>
                </pic:pic>
              </a:graphicData>
            </a:graphic>
          </wp:inline>
        </w:drawing>
      </w:r>
    </w:p>
    <w:p w:rsidR="00DF7746" w:rsidRPr="0037326D" w:rsidRDefault="00DF7746" w:rsidP="00DF7746">
      <w:pPr>
        <w:spacing w:after="0" w:line="240" w:lineRule="auto"/>
        <w:rPr>
          <w:rFonts w:ascii="Times New Roman" w:eastAsia="Times New Roman" w:hAnsi="Times New Roman" w:cs="Times New Roman"/>
          <w:sz w:val="24"/>
          <w:szCs w:val="24"/>
          <w:lang w:eastAsia="es-ES"/>
        </w:rPr>
      </w:pPr>
      <w:r w:rsidRPr="00240A52">
        <w:rPr>
          <w:rFonts w:ascii="Times New Roman" w:eastAsia="Times New Roman" w:hAnsi="Times New Roman" w:cs="Times New Roman"/>
          <w:noProof/>
          <w:sz w:val="24"/>
          <w:szCs w:val="24"/>
          <w:lang w:eastAsia="es-ES"/>
        </w:rPr>
        <w:drawing>
          <wp:inline distT="0" distB="0" distL="0" distR="0" wp14:anchorId="42E1DBFB" wp14:editId="6DC0FF20">
            <wp:extent cx="5734050" cy="30289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3027608"/>
                    </a:xfrm>
                    <a:prstGeom prst="rect">
                      <a:avLst/>
                    </a:prstGeom>
                  </pic:spPr>
                </pic:pic>
              </a:graphicData>
            </a:graphic>
          </wp:inline>
        </w:drawing>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b/>
          <w:bCs/>
          <w:sz w:val="24"/>
          <w:szCs w:val="24"/>
          <w:lang w:eastAsia="es-ES"/>
        </w:rPr>
        <w:lastRenderedPageBreak/>
        <w:t>Escenario de regreso al pasado: expansión insostenible del balance a expensas del crecimiento del PIB</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Sigue siendo posible que los shocks resulten temporales, prevalezca el excedente estructural de ahorro, regresen las tasas de interés bajas y se reanude la expansión de los balances. A primera vista, este escenario puede parecer atractivo porque la riqueza sigue creciendo. Pero ese crecimiento se produce a expensas de la producción económica real, acentúa la desigualdad y sigue aumentando el riesgo de tensiones financieras y correcciones futuras (todas las cifras en este y los otros tres escenarios corresponden a Estados Unidos).</w:t>
      </w:r>
    </w:p>
    <w:p w:rsidR="00DF7746" w:rsidRPr="0037326D" w:rsidRDefault="00DF7746" w:rsidP="00DF7746">
      <w:pPr>
        <w:spacing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El escenario de “regreso a la era pasada” puede parecer atractivo, pero el crecimiento se produce a expensas de la producción económica real, acentúa la desigualdad y sigue aumentando el riesgo de tensiones financieras y correcciones futuras.</w:t>
      </w:r>
    </w:p>
    <w:p w:rsidR="00DF7746" w:rsidRPr="0037326D" w:rsidRDefault="00DF7746" w:rsidP="00DF7746">
      <w:pPr>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240A52">
        <w:rPr>
          <w:rFonts w:ascii="Times New Roman" w:eastAsia="Times New Roman" w:hAnsi="Times New Roman" w:cs="Times New Roman"/>
          <w:i/>
          <w:iCs/>
          <w:sz w:val="24"/>
          <w:szCs w:val="24"/>
          <w:lang w:eastAsia="es-ES"/>
        </w:rPr>
        <w:t>Qué sucede: Vuelve el estancamiento secular. </w:t>
      </w:r>
      <w:r w:rsidRPr="0037326D">
        <w:rPr>
          <w:rFonts w:ascii="Times New Roman" w:eastAsia="Times New Roman" w:hAnsi="Times New Roman" w:cs="Times New Roman"/>
          <w:sz w:val="24"/>
          <w:szCs w:val="24"/>
          <w:lang w:eastAsia="es-ES"/>
        </w:rPr>
        <w:t>En este escenario, la inflación bajará en los próximos años a muy por debajo del 2 por ciento. La tensión del mercado laboral disminuye y el desempleo se estabiliza en las tasas anteriores o ligeramente elevadas. La demanda es débil y se reanuda el crecimiento mediocre del PIB, con un promedio de aproximadamente el 1 por ciento de aquí a 2030. La participación de las ganancias en el PIB continúa creciendo. El dinero inteligente busca oportunidades en la apreciación del capital, como el inmobiliario, en lugar de inversiones productivas. Los tipos de interés reales vuelven a ser ligeramente negativos. El capital está mal asignado y el crecimiento de la productividad sigue siendo bajo.</w:t>
      </w:r>
    </w:p>
    <w:p w:rsidR="00DF7746" w:rsidRPr="0037326D" w:rsidRDefault="00DF7746" w:rsidP="00DF7746">
      <w:pPr>
        <w:numPr>
          <w:ilvl w:val="0"/>
          <w:numId w:val="6"/>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240A52">
        <w:rPr>
          <w:rFonts w:ascii="Times New Roman" w:eastAsia="Times New Roman" w:hAnsi="Times New Roman" w:cs="Times New Roman"/>
          <w:i/>
          <w:iCs/>
          <w:sz w:val="24"/>
          <w:szCs w:val="24"/>
          <w:lang w:eastAsia="es-ES"/>
        </w:rPr>
        <w:t>Resultados del balance: expansión y vulnerabilidad continuas. </w:t>
      </w:r>
      <w:r w:rsidRPr="0037326D">
        <w:rPr>
          <w:rFonts w:ascii="Times New Roman" w:eastAsia="Times New Roman" w:hAnsi="Times New Roman" w:cs="Times New Roman"/>
          <w:sz w:val="24"/>
          <w:szCs w:val="24"/>
          <w:lang w:eastAsia="es-ES"/>
        </w:rPr>
        <w:t>El balance continúa su expansión secular en relación con el PIB, pero, como antes, sigue siendo vulnerable a futuros shocks y perturbaciones. El valor total de mercado de las acciones, ajustado a la inflación, crece aproximadamente en línea con las tasas anteriores a medida que continúan los vientos de cola de fuertes ganancias y bajas tasas de interés. El valor de los inmuebles sigue beneficiándose de los bajos tipos de interés. El valor total de los bonos crece a medida que se reanuda el apalancamiento. Sólo los depósitos retroceden modestamente a medida que los bancos centrales reducen el tamaño de sus balances. La riqueza real de los hogares crece en un 28 por ciento acumulado, o 40 billones de dólares en teoría, con una creciente desigualdad de la riqueza.</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Escenario más alto durante más tiempo: utilizar la inflación para reducir las vulnerabilidades de los balances a expensas de la estabilidad de precios</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Si la inversión se recupera y el exceso de ahorro disminuye de manera significativa y persistente a pesar de los obstáculos que impiden el crecimiento del PIB, la presión inflacionaria puede afianzarse. Entonces, si el endurecimiento de las políticas sigue siendo moderado debido a los riesgos para la estabilidad financiera, la economía puede experimentar un escenario más alto durante más tiempo. Este escenario tiene paralelos con la estanflación de la década de 1970 en Estados Unidos, aunque con una inflación algo menor (4 por ciento en lugar de 9 por ciento). Si bien la falta de estabilidad de precios en este escenario es problemática, viene acompañada de un sólido crecimiento de los ingresos, un crecimiento positivo (si no impresionante) de la riqueza y una mayor estabilidad de los balances.</w:t>
      </w:r>
    </w:p>
    <w:p w:rsidR="00DF7746" w:rsidRPr="0037326D" w:rsidRDefault="00DF7746" w:rsidP="00DF7746">
      <w:pPr>
        <w:spacing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Si bien la falta de estabilidad de precios en el escenario de “más alto durante más tiempo” es problemática, viene acompañada de un sólido crecimiento de los ingresos, un crecimiento positivo (si no impresionante) de la riqueza y una mayor estabilidad de los balances.</w:t>
      </w:r>
    </w:p>
    <w:p w:rsidR="00DF7746" w:rsidRPr="0037326D" w:rsidRDefault="00DF7746" w:rsidP="00DF7746">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240A52">
        <w:rPr>
          <w:rFonts w:ascii="Times New Roman" w:eastAsia="Times New Roman" w:hAnsi="Times New Roman" w:cs="Times New Roman"/>
          <w:i/>
          <w:iCs/>
          <w:sz w:val="24"/>
          <w:szCs w:val="24"/>
          <w:lang w:eastAsia="es-ES"/>
        </w:rPr>
        <w:lastRenderedPageBreak/>
        <w:t>Qué sucede: Inflación y tasas persistentemente elevadas.</w:t>
      </w:r>
      <w:r>
        <w:rPr>
          <w:rFonts w:ascii="Times New Roman" w:eastAsia="Times New Roman" w:hAnsi="Times New Roman" w:cs="Times New Roman"/>
          <w:i/>
          <w:iCs/>
          <w:sz w:val="24"/>
          <w:szCs w:val="24"/>
          <w:lang w:eastAsia="es-ES"/>
        </w:rPr>
        <w:t xml:space="preserve"> </w:t>
      </w:r>
      <w:r w:rsidRPr="0037326D">
        <w:rPr>
          <w:rFonts w:ascii="Times New Roman" w:eastAsia="Times New Roman" w:hAnsi="Times New Roman" w:cs="Times New Roman"/>
          <w:sz w:val="24"/>
          <w:szCs w:val="24"/>
          <w:lang w:eastAsia="es-ES"/>
        </w:rPr>
        <w:t>En este escenario, la inflación se estabiliza en aproximadamente el 4 por ciento a medida que continúa la escasez de mano de obra y la transición neta cero, la reconfiguración de la cadena de suministro y la defensa nacional añaden de dos a tres puntos porcentuales a la participación de la inversión en el PIB. Los salarios nominales aumentan rápidamente y el consumo es fuerte. Las tasas de interés oficiales aumentan en respuesta, pero, ante la creciente tensión en el sistema financiero, no lo suficiente como para reducir la inflación al objetivo. La fuerte demanda y el aumento de la inversión (aunque no toda ella sea productiva) respaldan el crecimiento del PIB algo por encima de la tendencia reciente. Con el poder de negociación cambiando a favor de los trabajadores y una política de competencia más contundente, las ganancias corporativas crecen más lentamente que los ingresos laborales y el PIB. Las primas de riesgo aumentan entre uno y dos puntos porcentuales en relación con los promedios de la última década a medida que la volatilidad se mantiene alta.</w:t>
      </w:r>
    </w:p>
    <w:p w:rsidR="00DF7746" w:rsidRPr="0037326D" w:rsidRDefault="00DF7746" w:rsidP="00DF7746">
      <w:pPr>
        <w:numPr>
          <w:ilvl w:val="0"/>
          <w:numId w:val="7"/>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240A52">
        <w:rPr>
          <w:rFonts w:ascii="Times New Roman" w:eastAsia="Times New Roman" w:hAnsi="Times New Roman" w:cs="Times New Roman"/>
          <w:i/>
          <w:iCs/>
          <w:sz w:val="24"/>
          <w:szCs w:val="24"/>
          <w:lang w:eastAsia="es-ES"/>
        </w:rPr>
        <w:t>Resultados del balance: estancamiento de los valores reales y contracción del balance en relación con el PIB. </w:t>
      </w:r>
      <w:r w:rsidRPr="0037326D">
        <w:rPr>
          <w:rFonts w:ascii="Times New Roman" w:eastAsia="Times New Roman" w:hAnsi="Times New Roman" w:cs="Times New Roman"/>
          <w:sz w:val="24"/>
          <w:szCs w:val="24"/>
          <w:lang w:eastAsia="es-ES"/>
        </w:rPr>
        <w:t>El tamaño del balance en general comienza a revertirse hacia promedios históricos en relación con el PIB, debido a la combinación de inflación y un crecimiento del PIB algo más fuerte. A medida que se desacelera el crecimiento de los ingresos, el valor total de mercado de las acciones (ajustado por inflación) se contrae en términos absolutos y como múltiplo del PIB. El valor de mercado de los bienes raíces cae en términos reales, ya que las tasas de interés más altas pesan más para los inversores que los beneficios de protección contra la inflación y la construcción adicional. La deuda y los depósitos crecen para financiar mayores inversiones, pero más lentamente que la inflación; sus ratios con respecto al PIB también disminuyen. La riqueza real de los hogares se contrae en un 8,5 por ciento acumulado o 12,6 billones de dólares.</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Escenario de reinicio del balance: una recesión prolongada es el peor escenario para la riqueza, los ingresos y la estabilidad financiera</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Una política más estricta, la percepción de un riesgo creciente y el estrés o incluso fallas en los sistemas financieros podrían llevar a una fuerte corrección en los valores de los activos, así como a una recesión prolongada y un período de desapalancamiento. Las políticas monetaria y fiscal no pueden acudir al rescate como lo hicieron en la crisis financiera mundial porque los balances ya son grandes. Este escenario guarda cierta semejanza con lo que ocurrió en Japón en los años noventa.</w:t>
      </w:r>
    </w:p>
    <w:p w:rsidR="00DF7746" w:rsidRPr="0037326D" w:rsidRDefault="00DF7746" w:rsidP="00DF7746">
      <w:pPr>
        <w:numPr>
          <w:ilvl w:val="0"/>
          <w:numId w:val="8"/>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240A52">
        <w:rPr>
          <w:rFonts w:ascii="Times New Roman" w:eastAsia="Times New Roman" w:hAnsi="Times New Roman" w:cs="Times New Roman"/>
          <w:i/>
          <w:iCs/>
          <w:sz w:val="24"/>
          <w:szCs w:val="24"/>
          <w:lang w:eastAsia="es-ES"/>
        </w:rPr>
        <w:t>¿Lo que sucede? Un aterrizaje muy duro y una década casi perdida.</w:t>
      </w:r>
      <w:r>
        <w:rPr>
          <w:rFonts w:ascii="Times New Roman" w:eastAsia="Times New Roman" w:hAnsi="Times New Roman" w:cs="Times New Roman"/>
          <w:i/>
          <w:iCs/>
          <w:sz w:val="24"/>
          <w:szCs w:val="24"/>
          <w:lang w:eastAsia="es-ES"/>
        </w:rPr>
        <w:t xml:space="preserve"> </w:t>
      </w:r>
      <w:r w:rsidRPr="0037326D">
        <w:rPr>
          <w:rFonts w:ascii="Times New Roman" w:eastAsia="Times New Roman" w:hAnsi="Times New Roman" w:cs="Times New Roman"/>
          <w:sz w:val="24"/>
          <w:szCs w:val="24"/>
          <w:lang w:eastAsia="es-ES"/>
        </w:rPr>
        <w:t>Un ajuste monetario y fiscal enérgico pone fin al ataque de inflación. Pero las tasas de interés reales más altas exponen niveles elevados de deuda y precios de activos, que caen significativamente. Las instituciones financieras se ven presionadas por posibles cierres bancarios adicionales; Las pérdidas de valor en bonos, así como en bienes raíces comerciales y otros bienes raíces afectan fuertemente las reservas de capital. En el peor de los casos, las crisis de liquidez obligan a una venta forzosa de activos, lo que deprime aún más los valores y desencadena más tensiones financieras si</w:t>
      </w:r>
      <w:r>
        <w:rPr>
          <w:rFonts w:ascii="Times New Roman" w:eastAsia="Times New Roman" w:hAnsi="Times New Roman" w:cs="Times New Roman"/>
          <w:sz w:val="24"/>
          <w:szCs w:val="24"/>
          <w:lang w:eastAsia="es-ES"/>
        </w:rPr>
        <w:t>stémicas. Los países afectados -e incluso la economía global-</w:t>
      </w:r>
      <w:r w:rsidRPr="0037326D">
        <w:rPr>
          <w:rFonts w:ascii="Times New Roman" w:eastAsia="Times New Roman" w:hAnsi="Times New Roman" w:cs="Times New Roman"/>
          <w:sz w:val="24"/>
          <w:szCs w:val="24"/>
          <w:lang w:eastAsia="es-ES"/>
        </w:rPr>
        <w:t xml:space="preserve"> enfrentan una reestructuración de su deuda o un prolongado período de desapalancamiento. La incertidumbre y las primas de riesgo aumentan sustancialmente y la política monetaria y fiscal vuelve a suavizarse para estabilizar la actividad económica. El ajuste de los balances frena el crecimiento económico a través del desapalancamiento y, por tanto, </w:t>
      </w:r>
      <w:r w:rsidRPr="0037326D">
        <w:rPr>
          <w:rFonts w:ascii="Times New Roman" w:eastAsia="Times New Roman" w:hAnsi="Times New Roman" w:cs="Times New Roman"/>
          <w:sz w:val="24"/>
          <w:szCs w:val="24"/>
          <w:lang w:eastAsia="es-ES"/>
        </w:rPr>
        <w:lastRenderedPageBreak/>
        <w:t>una demanda débil, ya que los consumidores pagan sus deudas en lugar de gastar. Del lado de la oferta se observa una zombificación de las empresas, los bancos y los activos, así como una escasez de capital y una inversión débil. El desapalancamiento podría durar una década y el crecimiento del PIB sería un punto porcentual menor que en la década anterior. Lo que hace que la situación sea particularmente difícil es que casi todos los sectores y países se ven afectados simultáneamente en esta etapa, pero el desapalancamiento de un sector o país normalmente requiere que otro agregue deuda. Socializar las pérdidas podría acelerar el ajuste, pero es más difícil de lograr con una deuda pública ya elevada y balances largos de los bancos centrales. así como la escasez de capital y la debilidad de la inversión. El desapalancamiento podría durar una década y el crecimiento del PIB sería un punto porcentual menor que en la década anterior. Lo que hace que la situación sea particularmente difícil es que casi todos los sectores y países se ven afectados simultáneamente en esta etapa, pero el desapalancamiento de un sector o país normalmente requiere que otro agregue deuda. Socializar las pérdidas podría acelerar el ajuste, pero es más difícil de lograr con una deuda pública ya elevada y balances largos de los bancos centrales. así como la escasez de capital y la debilidad de la inversión. El desapalancamiento podría durar una década y el crecimiento del PIB sería un punto porcentual menor que en la década anterior. Lo que hace que la situación sea particularmente difícil es que casi todos los sectores y países se ven afectados simultáneamente en esta etapa, pero el desapalancamiento de un sector o país normalmente requiere que otro agregue deuda. Socializar las pérdidas podría acelerar el ajuste, pero es más difícil de lograr con una deuda pública ya elevada y balances largos de los bancos centrales. pero el desapalancamiento de un sector o país normalmente requiere que otro agregue deuda. Socializar las pérdidas podría acelerar el ajuste, pero es más difícil de lograr con una deuda pública ya elevada y balances largos de los bancos centrales. pero el desapalancamiento de un sector o país normalmente requiere que otro agregue deuda. Socializar las pérdidas podría acelerar el ajuste, pero es más difícil de lograr con una deuda pública ya elevada y balances largos de los bancos centrales.</w:t>
      </w:r>
    </w:p>
    <w:p w:rsidR="00DF7746" w:rsidRPr="0037326D" w:rsidRDefault="00DF7746" w:rsidP="00DF7746">
      <w:pPr>
        <w:numPr>
          <w:ilvl w:val="0"/>
          <w:numId w:val="8"/>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240A52">
        <w:rPr>
          <w:rFonts w:ascii="Times New Roman" w:eastAsia="Times New Roman" w:hAnsi="Times New Roman" w:cs="Times New Roman"/>
          <w:i/>
          <w:iCs/>
          <w:sz w:val="24"/>
          <w:szCs w:val="24"/>
          <w:lang w:eastAsia="es-ES"/>
        </w:rPr>
        <w:t>Resultados del balance: Corrección de activos y desapalancamiento.</w:t>
      </w:r>
      <w:r w:rsidRPr="00240A52">
        <w:rPr>
          <w:rFonts w:ascii="Times New Roman" w:eastAsia="Times New Roman" w:hAnsi="Times New Roman" w:cs="Times New Roman"/>
          <w:b/>
          <w:bCs/>
          <w:sz w:val="24"/>
          <w:szCs w:val="24"/>
          <w:lang w:eastAsia="es-ES"/>
        </w:rPr>
        <w:t> </w:t>
      </w:r>
      <w:r w:rsidRPr="0037326D">
        <w:rPr>
          <w:rFonts w:ascii="Times New Roman" w:eastAsia="Times New Roman" w:hAnsi="Times New Roman" w:cs="Times New Roman"/>
          <w:sz w:val="24"/>
          <w:szCs w:val="24"/>
          <w:lang w:eastAsia="es-ES"/>
        </w:rPr>
        <w:t>En general, el tamaño del balance se corrige en relación con el PIB. El valor total de mercado de las acciones disminuye en términos reales y como múltiplo del PIB. Las acciones se ven afectadas negativamente por un breve aumento de las tasas de interés reales (pero luego respaldadas cuando las tasas vuelven a bajar), una mayor incertidumbre y primas de riesgo, y débiles expectativas de crecimiento del PIB y de ganancias. Por ejemplo, las acciones y los valores inmobiliarios estadounidenses podrían caer más de un 30 por ciento de aquí a 2030. Los valores inmobiliarios caen en términos reales y en relación con el PIB, impulsado principalmente por tasas más altas, así como por una menor tolerancia al riesgo. Las primas de los bonos aumentan y la deuda y los depósitos se ven presionados por el desapalancamiento, aunque se supone que el sector público tendrá que aumentar aún más su deuda para estabilizar la economía.</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Escenario de aceleración de la productividad: El resultado Ricitos de Oro; El rápido crecimiento del PIB mejora la riqueza y la salud del balance</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El escenario por el que deberían esforzarse quienes toman decisiones es aquel en el que la inversión se fortalezca y sea productiva, acelerando el crecimiento de la productividad. Este escenario se parece un poco al período de crecimiento muy rápido de la productividad a finales de los años 1990 y principios de los años 2000. El balance crece, pero menos rápidamente que el PIB y, por tanto, es más sano y más sostenible.</w:t>
      </w:r>
    </w:p>
    <w:p w:rsidR="00DF7746" w:rsidRPr="0037326D" w:rsidRDefault="00DF7746" w:rsidP="00DF7746">
      <w:pPr>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240A52">
        <w:rPr>
          <w:rFonts w:ascii="Times New Roman" w:eastAsia="Times New Roman" w:hAnsi="Times New Roman" w:cs="Times New Roman"/>
          <w:i/>
          <w:iCs/>
          <w:sz w:val="24"/>
          <w:szCs w:val="24"/>
          <w:lang w:eastAsia="es-ES"/>
        </w:rPr>
        <w:lastRenderedPageBreak/>
        <w:t>¿Lo que sucede? La inversión productiva y la adopción de tecnología aumentan para impulsar la productividad.</w:t>
      </w:r>
      <w:r>
        <w:rPr>
          <w:rFonts w:ascii="Times New Roman" w:eastAsia="Times New Roman" w:hAnsi="Times New Roman" w:cs="Times New Roman"/>
          <w:i/>
          <w:iCs/>
          <w:sz w:val="24"/>
          <w:szCs w:val="24"/>
          <w:lang w:eastAsia="es-ES"/>
        </w:rPr>
        <w:t xml:space="preserve"> </w:t>
      </w:r>
      <w:r w:rsidRPr="0037326D">
        <w:rPr>
          <w:rFonts w:ascii="Times New Roman" w:eastAsia="Times New Roman" w:hAnsi="Times New Roman" w:cs="Times New Roman"/>
          <w:sz w:val="24"/>
          <w:szCs w:val="24"/>
          <w:lang w:eastAsia="es-ES"/>
        </w:rPr>
        <w:t>Las fuerzas descritas en la sección anterior conducen a una demanda fuerte y continua y a una abundancia de oportunidades de inversión atractivas. Las nuevas inversiones aceleran materialmente el crecimiento de la productividad y el crecimiento del PIB en un punto porcentual en comparación con la última década. Ante mercados laborales ajustados, las empresas aceleran la inversión y la adopción de tecnología digital y de automatización, fomentando el crecimiento de la productividad. Las cadenas de suministro reinventadas siguen siendo eficientes y una nueva ola de economías emergentes proporciona abundante mano de obra a nivel mundial. La política industrial impulsa con éxito la innovación y la tecnología. El rápido crecimiento de la oferta modera la presión inflacionaria. La inflación desciende hasta alcanzar el objetivo, mientras que las tasas de interés reales aumentan a alrededor del 1 por ciento en promedio, lo que respalda aún más la asignación de capital productivo.</w:t>
      </w:r>
    </w:p>
    <w:p w:rsidR="00DF7746" w:rsidRPr="0037326D" w:rsidRDefault="00DF7746" w:rsidP="00DF7746">
      <w:pPr>
        <w:numPr>
          <w:ilvl w:val="0"/>
          <w:numId w:val="9"/>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240A52">
        <w:rPr>
          <w:rFonts w:ascii="Times New Roman" w:eastAsia="Times New Roman" w:hAnsi="Times New Roman" w:cs="Times New Roman"/>
          <w:i/>
          <w:iCs/>
          <w:sz w:val="24"/>
          <w:szCs w:val="24"/>
          <w:lang w:eastAsia="es-ES"/>
        </w:rPr>
        <w:t>Resultados del balance: Crecimiento sostenible.</w:t>
      </w:r>
      <w:r w:rsidRPr="00240A52">
        <w:rPr>
          <w:rFonts w:ascii="Times New Roman" w:eastAsia="Times New Roman" w:hAnsi="Times New Roman" w:cs="Times New Roman"/>
          <w:b/>
          <w:bCs/>
          <w:sz w:val="24"/>
          <w:szCs w:val="24"/>
          <w:lang w:eastAsia="es-ES"/>
        </w:rPr>
        <w:t> </w:t>
      </w:r>
      <w:r w:rsidRPr="0037326D">
        <w:rPr>
          <w:rFonts w:ascii="Times New Roman" w:eastAsia="Times New Roman" w:hAnsi="Times New Roman" w:cs="Times New Roman"/>
          <w:sz w:val="24"/>
          <w:szCs w:val="24"/>
          <w:lang w:eastAsia="es-ES"/>
        </w:rPr>
        <w:t>Gracias al rápido crecimiento del PIB, el tamaño del balance general como múltiplo del PIB disminuye ligeramente. El valor total real de mercado de las acciones crece sólo ligeramente más lentamente que en el pasado, pero disminuye en relación con la aceleración del PIB. Un crecimiento económico más rápido casi compensa la pérdida de vientos de cola provenientes de una creciente participación de las ganancias en el PIB y un ligero viento en contra del aumento de las tasas de interés reales. El valor de los bienes raíces (ajustado por inflación) se estanca en términos generales y, por lo tanto, disminuye en relación con el PIB. El valor total de los bonos crece para financiar mayores inversiones a pesar de los obstáculos de las tasas de interés. En una economía estable, los depósitos se reducen en términos reales a medida que los bancos centrales reducen sus balances con ajustes cuantitativos. La riqueza real de los hogares crece en un 11 por ciento acumulado o 16 billones de dólares.</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La divergencia entre los valores de los activos y la deuda y el PIB puede terminar, remodelando el panorama económico, bancario y de inversión.</w:t>
      </w:r>
    </w:p>
    <w:p w:rsidR="00DF7746"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Los tomadores de decisiones se han acostumbrado a un balance, tanto de deuda como de valores de activos, que supera al PIB durante décadas, pero la próxima década podría ver al mundo encaminarse en una dirección materialmente diferente. En todos los escenarios menos uno (el regreso a la era pasada), los precios de los activos actuales y la volatilidad del sistema financiero resultan ser sólo los primeros signos de un cambio fundamental en la forma en que crece el balance en relación con el PIB. En tres de los cuatro escenarios, el balance se contrae en relación con el PIB, ya sea a través de la corrección de activos y el desapalancamiento, una inflación mayor que el crecimiento nominal de los activos y la deuda, o un crecimiento más rápido del PIB (Gráfico 10).</w:t>
      </w:r>
    </w:p>
    <w:p w:rsidR="00DF7746"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DF7746"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DF7746"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DF7746"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p>
    <w:p w:rsidR="00DF7746" w:rsidRDefault="00DF7746" w:rsidP="00DF7746">
      <w:pPr>
        <w:spacing w:after="0" w:line="240" w:lineRule="auto"/>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lastRenderedPageBreak/>
        <w:t>Anexo 10</w:t>
      </w:r>
    </w:p>
    <w:p w:rsidR="00DF7746" w:rsidRPr="0037326D" w:rsidRDefault="00DF7746" w:rsidP="00DF7746">
      <w:pPr>
        <w:spacing w:after="0" w:line="240" w:lineRule="auto"/>
        <w:rPr>
          <w:rFonts w:ascii="Times New Roman" w:eastAsia="Times New Roman" w:hAnsi="Times New Roman" w:cs="Times New Roman"/>
          <w:sz w:val="24"/>
          <w:szCs w:val="24"/>
          <w:lang w:eastAsia="es-ES"/>
        </w:rPr>
      </w:pPr>
      <w:r w:rsidRPr="00240A52">
        <w:rPr>
          <w:rFonts w:ascii="Times New Roman" w:eastAsia="Times New Roman" w:hAnsi="Times New Roman" w:cs="Times New Roman"/>
          <w:noProof/>
          <w:sz w:val="24"/>
          <w:szCs w:val="24"/>
          <w:lang w:eastAsia="es-ES"/>
        </w:rPr>
        <w:drawing>
          <wp:inline distT="0" distB="0" distL="0" distR="0" wp14:anchorId="200871C0" wp14:editId="7F00A7CA">
            <wp:extent cx="5731510" cy="4157182"/>
            <wp:effectExtent l="0" t="0" r="254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4157182"/>
                    </a:xfrm>
                    <a:prstGeom prst="rect">
                      <a:avLst/>
                    </a:prstGeom>
                  </pic:spPr>
                </pic:pic>
              </a:graphicData>
            </a:graphic>
          </wp:inline>
        </w:drawing>
      </w:r>
    </w:p>
    <w:p w:rsidR="00DF7746" w:rsidRPr="0037326D" w:rsidRDefault="00DF7746" w:rsidP="00DF7746">
      <w:pPr>
        <w:spacing w:after="0" w:line="240" w:lineRule="auto"/>
        <w:rPr>
          <w:rFonts w:ascii="Times New Roman" w:eastAsia="Times New Roman" w:hAnsi="Times New Roman" w:cs="Times New Roman"/>
          <w:sz w:val="24"/>
          <w:szCs w:val="24"/>
          <w:lang w:eastAsia="es-ES"/>
        </w:rPr>
      </w:pP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El crecimiento de las acciones, los bienes raíces, los bonos y los depósitos parece marcadamente diferente al de las últimas dos décadas. Por ejemplo, durante los últimos 20 años, el valor de mercado total del capital de las empresas cotizadas y no cotizadas ha crecido un 5 por ciento anual en términos reales; en el período hasta 2030, las tasas varían entre menos cuatro por ciento en un escenario de reinicio del balance y más seis por ciento en un escenario de regreso a la era pasada. (Tenga en cuenta que estas cifras representan el crecimiento total del valor de mercado, no el rendimiento ni el precio).</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Existen similitudes y variaciones según el país. En particular, las acciones caen menos en Alemania y el Reino Unido que en Estados Unidos en los escenarios de alza durante más tiempo y de ajuste de balances, lo que refleja en gran medida el hecho de que no experimentaron un aumento tan grande en las ganancias corporativas. En el sector inmobiliario, Alemania y el Reino Unido experimentan una caída menor en relación con el PIB que Estados Unidos en los escenarios más altos durante más tiempo y de aceleración de la productividad, ya que las tasas de interés aumentan menos en medio de un crecimiento algo más lento.</w:t>
      </w:r>
    </w:p>
    <w:p w:rsidR="00DF7746" w:rsidRPr="0037326D" w:rsidRDefault="00DF7746" w:rsidP="00DF7746">
      <w:pPr>
        <w:spacing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b/>
          <w:bCs/>
          <w:sz w:val="24"/>
          <w:szCs w:val="24"/>
          <w:lang w:eastAsia="es-ES"/>
        </w:rPr>
        <w:t>Trabajar para acelerar la productividad, pero prepararse para resultados menos favorables</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 xml:space="preserve">Los tomadores de decisiones tendrán que ajustar su pensamiento a una economía mundial y un balance global potencialmente muy diferentes en la próxima década y, de hecho, a una gama inusualmente amplia de resultados potenciales. Esto exige un pensamiento a más largo </w:t>
      </w:r>
      <w:r w:rsidRPr="0037326D">
        <w:rPr>
          <w:rFonts w:ascii="Times New Roman" w:eastAsia="Times New Roman" w:hAnsi="Times New Roman" w:cs="Times New Roman"/>
          <w:sz w:val="24"/>
          <w:szCs w:val="24"/>
          <w:lang w:eastAsia="es-ES"/>
        </w:rPr>
        <w:lastRenderedPageBreak/>
        <w:t>plazo y un conjunto mucho más amplio de indicadores (incluido el propio balance global) que se tengan en cuenta en la estrategia y la planificación de lo que se podría decir que están acostumbrados. Tanto los gobiernos como las corporaciones deberían esforzarse colectivamente por lograr un crecimiento acelerado de la productividad, el único de los escenarios modelados por MGI que logra un fuerte crecimiento de los ingresos y la riqueza en el largo plazo </w:t>
      </w:r>
      <w:r w:rsidRPr="00C22343">
        <w:rPr>
          <w:rFonts w:ascii="Times New Roman" w:eastAsia="Times New Roman" w:hAnsi="Times New Roman" w:cs="Times New Roman"/>
          <w:i/>
          <w:iCs/>
          <w:sz w:val="24"/>
          <w:szCs w:val="24"/>
          <w:lang w:eastAsia="es-ES"/>
        </w:rPr>
        <w:t>y</w:t>
      </w:r>
      <w:r w:rsidRPr="0037326D">
        <w:rPr>
          <w:rFonts w:ascii="Times New Roman" w:eastAsia="Times New Roman" w:hAnsi="Times New Roman" w:cs="Times New Roman"/>
          <w:sz w:val="24"/>
          <w:szCs w:val="24"/>
          <w:lang w:eastAsia="es-ES"/>
        </w:rPr>
        <w:t> un balance global saludable. Al mismo tiempo, sin embargo, deberían prepararse activamente para resultados menos favorables.</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Esforzarse por lograr una mayor productividad es vital</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El crecimiento de la productividad y las decisiones tomadas para lograrlo son de importancia primordial en el entorno actual. Sólo una aceleración del crecimiento de la productividad puede apuntalar el crecimiento económico en el largo plazo y un balance global saludable y sostenible. La situación se ha vuelto mucho más urgente e importante. Normalmente, las políticas para impulsar la productividad logran unas pocas decenas de puntos básicos de crecimiento económico adicional. Ahora, la diferencia en la riqueza de los hogares entre un escenario de aceleración de la productividad y un escenario de reinicio del balance asciende a 48 billones de dólares sólo en Estados Unidos. Los responsables de las políticas monetarias y fiscales se enfrentan a un dilema: si no ajustan lo suficiente la inflación se mantendrá incómodamente alta; se ajustan demasiado y la riqueza y el sistema financiero se enfrentan a tensiones. Sin un crecimiento más rápido del PIB, la línea entre estos resultados puede ser muy delgada.</w:t>
      </w:r>
    </w:p>
    <w:p w:rsidR="00DF7746" w:rsidRPr="0037326D" w:rsidRDefault="00DF7746" w:rsidP="00DF7746">
      <w:pPr>
        <w:spacing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Sólo una aceleración del crecimiento de la productividad puede apuntalar el crecimiento económico en el largo plazo y un balance global saludable y sostenible.</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¿Qué se necesita para lograr un escenario de aceleración de la productividad? En primer lugar, requiere inversión y asignación de capital productivo, así como una adopción más rápida de herramientas digitales, según ha demostrado la investigación del MGI. También podría ayudar reformar el sistema financiero para centrar la asignación de capital en la formación de capital nuevo y productivo. ¿Qué podría cambiar el atractivo relativo de financiar nuevos negocios y proyectos en energía o infraestructura frente a financiar transacciones de activos existentes, como hipotecas para viviendas existentes a precios cada vez mayores o compras apalancadas?</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Avanzar hacia un mayor crecimiento de la productividad también requiere que quienes toman decisiones crean que es posible lograrlo y traducirlo en una perspectiva creíble. Si las empresas se preparan para una desaceleración del crecimiento del PIB o una recesión, es menos probable que inviertan. En cambio, la espera se vuelve atractiva. Los promotores inmobiliarios, por ejemplo, al esperar precios más bajos, retrasarán el desarrollo de nuevos proyectos. Los bancos centrados en fortalecer sus balances endurecerán los estándares crediticios, reduciendo la producción de préstamos. Todo esto podría preparar el escenario para una profecía autocumplida de pesimismo. Para que esto suceda, los líderes tanto del sector público como del privado necesitarán articular las bases del escenario de aceleración.</w:t>
      </w:r>
    </w:p>
    <w:p w:rsidR="00DF7746" w:rsidRPr="0037326D" w:rsidRDefault="00DF7746" w:rsidP="00DF7746">
      <w:pPr>
        <w:spacing w:before="360" w:after="100" w:afterAutospacing="1" w:line="240" w:lineRule="auto"/>
        <w:jc w:val="both"/>
        <w:outlineLvl w:val="2"/>
        <w:rPr>
          <w:rFonts w:ascii="Times New Roman" w:eastAsia="Times New Roman" w:hAnsi="Times New Roman" w:cs="Times New Roman"/>
          <w:b/>
          <w:bCs/>
          <w:sz w:val="24"/>
          <w:szCs w:val="24"/>
          <w:lang w:eastAsia="es-ES"/>
        </w:rPr>
      </w:pPr>
      <w:r w:rsidRPr="0037326D">
        <w:rPr>
          <w:rFonts w:ascii="Times New Roman" w:eastAsia="Times New Roman" w:hAnsi="Times New Roman" w:cs="Times New Roman"/>
          <w:b/>
          <w:bCs/>
          <w:sz w:val="24"/>
          <w:szCs w:val="24"/>
          <w:lang w:eastAsia="es-ES"/>
        </w:rPr>
        <w:t>Las empresas necesitarán desarrollar estrategias para adelantarse a una amplia gama de resultados a largo plazo.</w:t>
      </w:r>
    </w:p>
    <w:p w:rsidR="00DF7746" w:rsidRPr="0037326D" w:rsidRDefault="00DF7746" w:rsidP="00DF7746">
      <w:p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lastRenderedPageBreak/>
        <w:t>Dado que la incertidumbre puede persistir durante al menos algún tiempo, las empresas necesitarán planificar múltiples escenarios. Las estrategias pasadas pueden funcionar bien en un regreso a la era pasada. Sin embargo, las otras posibilidades, y en particular las más altas a más largo plazo y los escenarios de ajuste de balances, implican rupturas que posiblemente necesitan un cambio sustancial en la forma de pensar, particularmente entre los inversores y las instituciones financieras. Ya no será suficiente reaccionar ante los cambios en el entorno macroeconómico. Las empresas deben identificar marcadores hacia qué escenario se dirige el mundo, planificar un conjunto suficientemente amplio de escenarios y probar enfoques de gestión de riesgos, además de ajustar los modelos de negocio y buscar nuevas oportunidades de crecimiento.</w:t>
      </w:r>
    </w:p>
    <w:p w:rsidR="00DF7746" w:rsidRPr="0037326D" w:rsidRDefault="00DF7746" w:rsidP="00DF7746">
      <w:pPr>
        <w:numPr>
          <w:ilvl w:val="0"/>
          <w:numId w:val="10"/>
        </w:numPr>
        <w:spacing w:after="0" w:line="240" w:lineRule="auto"/>
        <w:jc w:val="both"/>
        <w:rPr>
          <w:rFonts w:ascii="Times New Roman" w:eastAsia="Times New Roman" w:hAnsi="Times New Roman" w:cs="Times New Roman"/>
          <w:sz w:val="24"/>
          <w:szCs w:val="24"/>
          <w:lang w:eastAsia="es-ES"/>
        </w:rPr>
      </w:pPr>
      <w:r w:rsidRPr="00C22343">
        <w:rPr>
          <w:rFonts w:ascii="Times New Roman" w:eastAsia="Times New Roman" w:hAnsi="Times New Roman" w:cs="Times New Roman"/>
          <w:i/>
          <w:iCs/>
          <w:sz w:val="24"/>
          <w:szCs w:val="24"/>
          <w:lang w:eastAsia="es-ES"/>
        </w:rPr>
        <w:t>Identificar marcadores hacia qué escenario se dirige el mundo. </w:t>
      </w:r>
      <w:r w:rsidRPr="0037326D">
        <w:rPr>
          <w:rFonts w:ascii="Times New Roman" w:eastAsia="Times New Roman" w:hAnsi="Times New Roman" w:cs="Times New Roman"/>
          <w:sz w:val="24"/>
          <w:szCs w:val="24"/>
          <w:lang w:eastAsia="es-ES"/>
        </w:rPr>
        <w:t>Muchos actores todavía enfatizan los indicadores financieros de corto plazo, como las últimas lecturas de inflación, una decisión sobre las tasas de interés por parte de la Reserva Federal de Estados Unidos o el Banco de Japón, y la reacción a cualquiera de estos en los mercados financieros. Los cambios estructurales a más largo plazo generalmente atraen menos atención.</w:t>
      </w:r>
    </w:p>
    <w:p w:rsidR="00DF7746" w:rsidRPr="0037326D" w:rsidRDefault="00DF7746" w:rsidP="00DF7746">
      <w:pPr>
        <w:spacing w:before="240" w:after="0" w:line="240" w:lineRule="auto"/>
        <w:ind w:left="720"/>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Dada la elevada incertidumbre actual y las fuerzas estructurales que configuran los futuros posibles, los responsables de la toma de decisiones deben mirar más allá.</w:t>
      </w:r>
      <w:r>
        <w:rPr>
          <w:rFonts w:ascii="Times New Roman" w:eastAsia="Times New Roman" w:hAnsi="Times New Roman" w:cs="Times New Roman"/>
          <w:color w:val="0000FF"/>
          <w:sz w:val="24"/>
          <w:szCs w:val="24"/>
          <w:vertAlign w:val="superscript"/>
          <w:lang w:eastAsia="es-ES"/>
        </w:rPr>
        <w:t xml:space="preserve"> </w:t>
      </w:r>
      <w:r w:rsidRPr="0037326D">
        <w:rPr>
          <w:rFonts w:ascii="Times New Roman" w:eastAsia="Times New Roman" w:hAnsi="Times New Roman" w:cs="Times New Roman"/>
          <w:sz w:val="24"/>
          <w:szCs w:val="24"/>
          <w:lang w:eastAsia="es-ES"/>
        </w:rPr>
        <w:t>Esto significa hacer un seguimiento de los indicadores sobre los factores que podrían impulsar la inversión y el ahorro, que ahora están cambiando. También deberían examinar los factores de largo plazo que impulsan el crecimiento de la oferta y la productividad, así como las limitaciones políticas y económicas que pueden moldear la trayectoria de la política fiscal y monetaria.</w:t>
      </w:r>
    </w:p>
    <w:p w:rsidR="00DF7746" w:rsidRPr="0037326D" w:rsidRDefault="00DF7746" w:rsidP="00DF7746">
      <w:pPr>
        <w:numPr>
          <w:ilvl w:val="0"/>
          <w:numId w:val="10"/>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C22343">
        <w:rPr>
          <w:rFonts w:ascii="Times New Roman" w:eastAsia="Times New Roman" w:hAnsi="Times New Roman" w:cs="Times New Roman"/>
          <w:i/>
          <w:iCs/>
          <w:sz w:val="24"/>
          <w:szCs w:val="24"/>
          <w:lang w:eastAsia="es-ES"/>
        </w:rPr>
        <w:t>Planifique un conjunto de escenarios suficientemente amplio y de largo plazo. </w:t>
      </w:r>
      <w:r w:rsidRPr="0037326D">
        <w:rPr>
          <w:rFonts w:ascii="Times New Roman" w:eastAsia="Times New Roman" w:hAnsi="Times New Roman" w:cs="Times New Roman"/>
          <w:sz w:val="24"/>
          <w:szCs w:val="24"/>
          <w:lang w:eastAsia="es-ES"/>
        </w:rPr>
        <w:t>¿Qué consecuencias tendrían las empresas, por ejemplo, si las tasas de interés y la inflación se mantuvieran altas durante una década o, por el contrario, si el crecimiento del PIB se acelerara materialmente? Para proporcionar algunos ejemplos:</w:t>
      </w:r>
    </w:p>
    <w:p w:rsidR="00DF7746" w:rsidRPr="0037326D" w:rsidRDefault="00DF7746" w:rsidP="00DF7746">
      <w:pPr>
        <w:numPr>
          <w:ilvl w:val="1"/>
          <w:numId w:val="10"/>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¿Cómo pueden los inversores y gestores de activos desarrollar previsión y ajustar las carteras de activos? “Todo irá bien si se adopta una perspectiva de diez años” puede aplicarse menos que en el pasado, ya sea para los precios de los activos, las condiciones de financiación o los parámetros económicos. Los escenarios tienen resultados significativamente diferentes para diferentes clases de activos, y es necesario tenerlos en cuenta. Por ejemplo, en un escenario más alto durante más tiempo, los administradores de activos querrán contemplar la reducción de su ponderación relativa de los fondos de acciones de crecimiento. En varios escenarios, las tasas de capitalización aumentarían y se mantendrían más altas, afectando los casos de inversión para los promotores inmobiliarios.</w:t>
      </w:r>
    </w:p>
    <w:p w:rsidR="00DF7746" w:rsidRPr="00DF7746" w:rsidRDefault="00DF7746" w:rsidP="00DF7746">
      <w:pPr>
        <w:numPr>
          <w:ilvl w:val="1"/>
          <w:numId w:val="10"/>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¿Cómo pueden los bancos repensar los modelos de depósito y asegurar liquidez y financiación a más largo plazo en la transición a un nuevo régimen de tipos de interés? En varios escenarios, los depósitos caerán a nivel sistémico, no sólo para los bancos individuales.</w:t>
      </w:r>
    </w:p>
    <w:p w:rsidR="00DF7746" w:rsidRPr="0037326D" w:rsidRDefault="00DF7746" w:rsidP="00DF7746">
      <w:pPr>
        <w:numPr>
          <w:ilvl w:val="0"/>
          <w:numId w:val="10"/>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C22343">
        <w:rPr>
          <w:rFonts w:ascii="Times New Roman" w:eastAsia="Times New Roman" w:hAnsi="Times New Roman" w:cs="Times New Roman"/>
          <w:i/>
          <w:iCs/>
          <w:sz w:val="24"/>
          <w:szCs w:val="24"/>
          <w:lang w:eastAsia="es-ES"/>
        </w:rPr>
        <w:t>Probar y fortalecer los enfoques de gestión de riesgos. </w:t>
      </w:r>
      <w:r w:rsidRPr="0037326D">
        <w:rPr>
          <w:rFonts w:ascii="Times New Roman" w:eastAsia="Times New Roman" w:hAnsi="Times New Roman" w:cs="Times New Roman"/>
          <w:sz w:val="24"/>
          <w:szCs w:val="24"/>
          <w:lang w:eastAsia="es-ES"/>
        </w:rPr>
        <w:t>Esto podría incluir reforzar las reservas de capital, fortalecer los balances o descargar el riesgo macroeconómico. Debería ser una prioridad poner a prueba los modelos de negocios y los balances en estos escenarios, o realizar pruebas de estrés inversas para determinar qué parámetros y umbrales expondrían las mayores vulnerabilidades.</w:t>
      </w:r>
    </w:p>
    <w:p w:rsidR="00DF7746" w:rsidRPr="0037326D" w:rsidRDefault="00DF7746" w:rsidP="00DF7746">
      <w:pPr>
        <w:numPr>
          <w:ilvl w:val="0"/>
          <w:numId w:val="10"/>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C22343">
        <w:rPr>
          <w:rFonts w:ascii="Times New Roman" w:eastAsia="Times New Roman" w:hAnsi="Times New Roman" w:cs="Times New Roman"/>
          <w:i/>
          <w:iCs/>
          <w:sz w:val="24"/>
          <w:szCs w:val="24"/>
          <w:lang w:eastAsia="es-ES"/>
        </w:rPr>
        <w:lastRenderedPageBreak/>
        <w:t>Ajustar modelos de negocio y buscar nuevas oportunidades de crecimiento. </w:t>
      </w:r>
      <w:r w:rsidRPr="0037326D">
        <w:rPr>
          <w:rFonts w:ascii="Times New Roman" w:eastAsia="Times New Roman" w:hAnsi="Times New Roman" w:cs="Times New Roman"/>
          <w:sz w:val="24"/>
          <w:szCs w:val="24"/>
          <w:lang w:eastAsia="es-ES"/>
        </w:rPr>
        <w:t>Un cambio sostenido en el entorno macroeconómico puede hacer que algunos modelos de negocio queden parcialmente obsoletos y otros resulten recientemente atractivos. Para proporcionar algunos ejemplos de las preguntas que se pueden formular:</w:t>
      </w:r>
    </w:p>
    <w:p w:rsidR="00DF7746" w:rsidRPr="0037326D" w:rsidRDefault="00DF7746" w:rsidP="00DF7746">
      <w:pPr>
        <w:numPr>
          <w:ilvl w:val="1"/>
          <w:numId w:val="10"/>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Para los inversores, ¿cómo priorizar las oportunidades para capturar la creación de valor, incluido el crecimiento de las ganancias y los alquileres en escenarios en los que los múltiplos ya no se expanden? Incluso con los vientos en contra del mercado, habrá, por supuesto, oportunidades en inversiones individuales, desde la reurbanización de vecindarios en bienes raíces pospandemia hasta nuevos modelos de negocios en corporaciones. Y, en cualquier caso, podría estar disponible un mayor apoyo fiscal, con una mayor inversión en defensa, energía, automatización e inteligencia artificial.</w:t>
      </w:r>
    </w:p>
    <w:p w:rsidR="00DF7746" w:rsidRPr="0037326D" w:rsidRDefault="00DF7746" w:rsidP="00DF7746">
      <w:pPr>
        <w:numPr>
          <w:ilvl w:val="1"/>
          <w:numId w:val="10"/>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Para las instituciones financieras, ¿cómo reestructurar modelos de negocios que a menudo todavía están integrados en un balance en expansión, liquidez abundante y una transformación sustancial de los vencimientos de los pasivos? ¿Qué fuentes de ingresos más allá de los ingresos netos por intereses podrían ser más prometedoras en todos los escenarios? Ejemplos de ingresos basados ​​en honorarios incluyen pagos, asesoría en fijación de precios y facilitación de transacciones, la originación y financiación de nuevos proyectos de capital y servicios ecosistémicos como el corretaje de bienes raíces y los servicios de mudanzas. Las hipotecas (aún más en el sector inmobiliario comercial) y los préstamos lombardos pueden requerir una reevaluación crítica.</w:t>
      </w:r>
    </w:p>
    <w:p w:rsidR="00DF7746" w:rsidRPr="0037326D" w:rsidRDefault="00DF7746" w:rsidP="00DF7746">
      <w:pPr>
        <w:numPr>
          <w:ilvl w:val="1"/>
          <w:numId w:val="10"/>
        </w:numPr>
        <w:spacing w:before="100" w:beforeAutospacing="1" w:after="100" w:afterAutospacing="1"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Para los bancos, ¿cómo anticipar cambios sustanciales en el producto, el segmento de clientes y el atractivo geográfico? Aumentar la velocidad de la reasignación de capital y negocios podría resultar rentable y captar el dinero en movimiento antes que los competidores. En un escenario más alto durante más tiempo, por ejemplo, los quintiles de ingresos y riqueza bajos y medios podrían recuperar parte del terreno que perdieron frente a los quintiles de ingresos y riqueza más altos. Abundarán las oportunidades de fusiones y adquisiciones.</w:t>
      </w:r>
    </w:p>
    <w:p w:rsidR="00DF7746" w:rsidRPr="0037326D" w:rsidRDefault="0036680B" w:rsidP="00DF7746">
      <w:pPr>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pict>
          <v:rect id="_x0000_i1025" style="width:450.55pt;height:0" o:hrpct="0" o:hralign="center" o:hrstd="t" o:hr="t" fillcolor="#a0a0a0" stroked="f"/>
        </w:pict>
      </w:r>
    </w:p>
    <w:p w:rsidR="00DF7746" w:rsidRPr="0037326D" w:rsidRDefault="00DF7746" w:rsidP="00DF7746">
      <w:pPr>
        <w:spacing w:before="100" w:beforeAutospacing="1" w:after="0" w:line="240" w:lineRule="auto"/>
        <w:jc w:val="both"/>
        <w:rPr>
          <w:rFonts w:ascii="Times New Roman" w:eastAsia="Times New Roman" w:hAnsi="Times New Roman" w:cs="Times New Roman"/>
          <w:sz w:val="24"/>
          <w:szCs w:val="24"/>
          <w:lang w:eastAsia="es-ES"/>
        </w:rPr>
      </w:pPr>
      <w:r w:rsidRPr="0037326D">
        <w:rPr>
          <w:rFonts w:ascii="Times New Roman" w:eastAsia="Times New Roman" w:hAnsi="Times New Roman" w:cs="Times New Roman"/>
          <w:sz w:val="24"/>
          <w:szCs w:val="24"/>
          <w:lang w:eastAsia="es-ES"/>
        </w:rPr>
        <w:t>La turbulencia de los últimos tiempos es un shock para el sistema después de un período de relativa calma para la economía global y décadas ininterrumpidas de aumento de la riqueza (y la deuda) en el papel. El camino a seguir es muy incierto y la gama de escenarios posibles es inusualmente amplia. La situación exige que se revisen los supuestos y se ajusten la planificación, la estrategia y los modelos de negocio. El ajuste con respecto a lo que ocurrió antes bien podría prolongarse.</w:t>
      </w:r>
    </w:p>
    <w:p w:rsidR="00DF7746" w:rsidRDefault="00DF7746" w:rsidP="00DF7746">
      <w:pPr>
        <w:spacing w:after="0" w:line="240" w:lineRule="auto"/>
        <w:jc w:val="both"/>
        <w:rPr>
          <w:rFonts w:ascii="Times New Roman" w:eastAsia="Times New Roman" w:hAnsi="Times New Roman" w:cs="Times New Roman"/>
          <w:b/>
          <w:bCs/>
          <w:caps/>
          <w:sz w:val="24"/>
          <w:szCs w:val="24"/>
          <w:lang w:eastAsia="es-ES"/>
        </w:rPr>
      </w:pPr>
    </w:p>
    <w:p w:rsidR="00DF7746" w:rsidRDefault="00DF7746" w:rsidP="00DF7746">
      <w:pPr>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Cs/>
          <w:sz w:val="24"/>
          <w:szCs w:val="24"/>
          <w:lang w:eastAsia="es-ES"/>
        </w:rPr>
        <w:t xml:space="preserve">Autores: </w:t>
      </w:r>
      <w:hyperlink r:id="rId67" w:history="1">
        <w:r w:rsidRPr="00C22343">
          <w:rPr>
            <w:rFonts w:ascii="Times New Roman" w:eastAsia="Times New Roman" w:hAnsi="Times New Roman" w:cs="Times New Roman"/>
            <w:bCs/>
            <w:sz w:val="24"/>
            <w:szCs w:val="24"/>
            <w:lang w:eastAsia="es-ES"/>
          </w:rPr>
          <w:t>Jan Mischke</w:t>
        </w:r>
      </w:hyperlink>
      <w:r w:rsidRPr="00C22343">
        <w:rPr>
          <w:rFonts w:ascii="Times New Roman" w:eastAsia="Times New Roman" w:hAnsi="Times New Roman" w:cs="Times New Roman"/>
          <w:bCs/>
          <w:sz w:val="24"/>
          <w:szCs w:val="24"/>
          <w:lang w:eastAsia="es-ES"/>
        </w:rPr>
        <w:t> </w:t>
      </w:r>
      <w:r w:rsidRPr="0037326D">
        <w:rPr>
          <w:rFonts w:ascii="Times New Roman" w:eastAsia="Times New Roman" w:hAnsi="Times New Roman" w:cs="Times New Roman"/>
          <w:sz w:val="24"/>
          <w:szCs w:val="24"/>
          <w:lang w:eastAsia="es-ES"/>
        </w:rPr>
        <w:t>es socio de MGI en Zurich; </w:t>
      </w:r>
      <w:hyperlink r:id="rId68" w:history="1">
        <w:r w:rsidRPr="00C22343">
          <w:rPr>
            <w:rFonts w:ascii="Times New Roman" w:eastAsia="Times New Roman" w:hAnsi="Times New Roman" w:cs="Times New Roman"/>
            <w:bCs/>
            <w:sz w:val="24"/>
            <w:szCs w:val="24"/>
            <w:lang w:eastAsia="es-ES"/>
          </w:rPr>
          <w:t>Olivia White</w:t>
        </w:r>
      </w:hyperlink>
      <w:r w:rsidRPr="0037326D">
        <w:rPr>
          <w:rFonts w:ascii="Times New Roman" w:eastAsia="Times New Roman" w:hAnsi="Times New Roman" w:cs="Times New Roman"/>
          <w:sz w:val="24"/>
          <w:szCs w:val="24"/>
          <w:lang w:eastAsia="es-ES"/>
        </w:rPr>
        <w:t> es socia principal de McKinsey y directora de MGI en el Área de la Bahía; </w:t>
      </w:r>
      <w:hyperlink r:id="rId69" w:history="1">
        <w:r w:rsidRPr="00C22343">
          <w:rPr>
            <w:rFonts w:ascii="Times New Roman" w:eastAsia="Times New Roman" w:hAnsi="Times New Roman" w:cs="Times New Roman"/>
            <w:bCs/>
            <w:sz w:val="24"/>
            <w:szCs w:val="24"/>
            <w:lang w:eastAsia="es-ES"/>
          </w:rPr>
          <w:t>Eckart Windhagen</w:t>
        </w:r>
      </w:hyperlink>
      <w:r w:rsidRPr="0037326D">
        <w:rPr>
          <w:rFonts w:ascii="Times New Roman" w:eastAsia="Times New Roman" w:hAnsi="Times New Roman" w:cs="Times New Roman"/>
          <w:sz w:val="24"/>
          <w:szCs w:val="24"/>
          <w:lang w:eastAsia="es-ES"/>
        </w:rPr>
        <w:t> es socio senior de McKinsey y miembro del Consejo MGI en Frankfurt; </w:t>
      </w:r>
      <w:hyperlink r:id="rId70" w:history="1">
        <w:r w:rsidRPr="00C22343">
          <w:rPr>
            <w:rFonts w:ascii="Times New Roman" w:eastAsia="Times New Roman" w:hAnsi="Times New Roman" w:cs="Times New Roman"/>
            <w:bCs/>
            <w:sz w:val="24"/>
            <w:szCs w:val="24"/>
            <w:lang w:eastAsia="es-ES"/>
          </w:rPr>
          <w:t>Jonathan Woetzel</w:t>
        </w:r>
      </w:hyperlink>
      <w:r w:rsidRPr="0037326D">
        <w:rPr>
          <w:rFonts w:ascii="Times New Roman" w:eastAsia="Times New Roman" w:hAnsi="Times New Roman" w:cs="Times New Roman"/>
          <w:sz w:val="24"/>
          <w:szCs w:val="24"/>
          <w:lang w:eastAsia="es-ES"/>
        </w:rPr>
        <w:t> es socio senior de McKinse</w:t>
      </w:r>
      <w:r w:rsidR="00293EC2">
        <w:rPr>
          <w:rFonts w:ascii="Times New Roman" w:eastAsia="Times New Roman" w:hAnsi="Times New Roman" w:cs="Times New Roman"/>
          <w:sz w:val="24"/>
          <w:szCs w:val="24"/>
          <w:lang w:eastAsia="es-ES"/>
        </w:rPr>
        <w:t>y y director de MGI en Shanghá</w:t>
      </w:r>
      <w:r w:rsidRPr="0037326D">
        <w:rPr>
          <w:rFonts w:ascii="Times New Roman" w:eastAsia="Times New Roman" w:hAnsi="Times New Roman" w:cs="Times New Roman"/>
          <w:sz w:val="24"/>
          <w:szCs w:val="24"/>
          <w:lang w:eastAsia="es-ES"/>
        </w:rPr>
        <w:t>i; </w:t>
      </w:r>
      <w:hyperlink r:id="rId71" w:history="1">
        <w:r w:rsidRPr="00C22343">
          <w:rPr>
            <w:rFonts w:ascii="Times New Roman" w:eastAsia="Times New Roman" w:hAnsi="Times New Roman" w:cs="Times New Roman"/>
            <w:bCs/>
            <w:sz w:val="24"/>
            <w:szCs w:val="24"/>
            <w:lang w:eastAsia="es-ES"/>
          </w:rPr>
          <w:t>Michael Birshan</w:t>
        </w:r>
      </w:hyperlink>
      <w:r w:rsidRPr="0037326D">
        <w:rPr>
          <w:rFonts w:ascii="Times New Roman" w:eastAsia="Times New Roman" w:hAnsi="Times New Roman" w:cs="Times New Roman"/>
          <w:sz w:val="24"/>
          <w:szCs w:val="24"/>
          <w:lang w:eastAsia="es-ES"/>
        </w:rPr>
        <w:t>  es socio principal de McKinsey y miembro del Consejo MGI en Londres; </w:t>
      </w:r>
      <w:hyperlink r:id="rId72" w:history="1">
        <w:r w:rsidRPr="00C22343">
          <w:rPr>
            <w:rFonts w:ascii="Times New Roman" w:eastAsia="Times New Roman" w:hAnsi="Times New Roman" w:cs="Times New Roman"/>
            <w:bCs/>
            <w:sz w:val="24"/>
            <w:szCs w:val="24"/>
            <w:lang w:eastAsia="es-ES"/>
          </w:rPr>
          <w:t>Sven Smit</w:t>
        </w:r>
      </w:hyperlink>
      <w:r w:rsidRPr="0037326D">
        <w:rPr>
          <w:rFonts w:ascii="Times New Roman" w:eastAsia="Times New Roman" w:hAnsi="Times New Roman" w:cs="Times New Roman"/>
          <w:sz w:val="24"/>
          <w:szCs w:val="24"/>
          <w:lang w:eastAsia="es-ES"/>
        </w:rPr>
        <w:t> es socio senior de McKinsey y presidente de MGI en Ámsterdam; </w:t>
      </w:r>
      <w:r w:rsidRPr="00C22343">
        <w:rPr>
          <w:rFonts w:ascii="Times New Roman" w:eastAsia="Times New Roman" w:hAnsi="Times New Roman" w:cs="Times New Roman"/>
          <w:bCs/>
          <w:sz w:val="24"/>
          <w:szCs w:val="24"/>
          <w:lang w:eastAsia="es-ES"/>
        </w:rPr>
        <w:t>Arvind Govindarajan</w:t>
      </w:r>
      <w:r w:rsidRPr="0037326D">
        <w:rPr>
          <w:rFonts w:ascii="Times New Roman" w:eastAsia="Times New Roman" w:hAnsi="Times New Roman" w:cs="Times New Roman"/>
          <w:sz w:val="24"/>
          <w:szCs w:val="24"/>
          <w:lang w:eastAsia="es-ES"/>
        </w:rPr>
        <w:t> es socio de McKinsey en la oficina de Boston; y</w:t>
      </w:r>
      <w:r w:rsidRPr="00C22343">
        <w:rPr>
          <w:rFonts w:ascii="Times New Roman" w:eastAsia="Times New Roman" w:hAnsi="Times New Roman" w:cs="Times New Roman"/>
          <w:bCs/>
          <w:sz w:val="24"/>
          <w:szCs w:val="24"/>
          <w:lang w:eastAsia="es-ES"/>
        </w:rPr>
        <w:t> Szabolcs Kemeny</w:t>
      </w:r>
      <w:r w:rsidRPr="0037326D">
        <w:rPr>
          <w:rFonts w:ascii="Times New Roman" w:eastAsia="Times New Roman" w:hAnsi="Times New Roman" w:cs="Times New Roman"/>
          <w:sz w:val="24"/>
          <w:szCs w:val="24"/>
          <w:lang w:eastAsia="es-ES"/>
        </w:rPr>
        <w:t>  es director d</w:t>
      </w:r>
      <w:bookmarkStart w:id="0" w:name="_GoBack"/>
      <w:bookmarkEnd w:id="0"/>
      <w:r w:rsidRPr="0037326D">
        <w:rPr>
          <w:rFonts w:ascii="Times New Roman" w:eastAsia="Times New Roman" w:hAnsi="Times New Roman" w:cs="Times New Roman"/>
          <w:sz w:val="24"/>
          <w:szCs w:val="24"/>
          <w:lang w:eastAsia="es-ES"/>
        </w:rPr>
        <w:t>e investigación en McKinsey en Budapest.</w:t>
      </w:r>
    </w:p>
    <w:p w:rsidR="00DF7746" w:rsidRPr="0013412B" w:rsidRDefault="00DF7746" w:rsidP="00DF7746">
      <w:pPr>
        <w:spacing w:line="240" w:lineRule="auto"/>
        <w:jc w:val="both"/>
        <w:rPr>
          <w:rFonts w:ascii="Times New Roman" w:hAnsi="Times New Roman" w:cs="Times New Roman"/>
          <w:b/>
          <w:color w:val="FF0000"/>
          <w:sz w:val="24"/>
          <w:szCs w:val="24"/>
        </w:rPr>
      </w:pPr>
    </w:p>
    <w:sectPr w:rsidR="00DF7746" w:rsidRPr="0013412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954084D"/>
    <w:multiLevelType w:val="multilevel"/>
    <w:tmpl w:val="2C924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C4D1CBD"/>
    <w:multiLevelType w:val="multilevel"/>
    <w:tmpl w:val="480ED0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1FB0536"/>
    <w:multiLevelType w:val="multilevel"/>
    <w:tmpl w:val="1DCA5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DBD1E24"/>
    <w:multiLevelType w:val="multilevel"/>
    <w:tmpl w:val="0C3A76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DD23562"/>
    <w:multiLevelType w:val="multilevel"/>
    <w:tmpl w:val="5F444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E1076CB"/>
    <w:multiLevelType w:val="multilevel"/>
    <w:tmpl w:val="2DD25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533A0CB6"/>
    <w:multiLevelType w:val="multilevel"/>
    <w:tmpl w:val="85C0B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B297A49"/>
    <w:multiLevelType w:val="hybridMultilevel"/>
    <w:tmpl w:val="E1145D76"/>
    <w:lvl w:ilvl="0" w:tplc="BF00F274">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5EBA551E"/>
    <w:multiLevelType w:val="multilevel"/>
    <w:tmpl w:val="33D26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35A43E7"/>
    <w:multiLevelType w:val="multilevel"/>
    <w:tmpl w:val="68726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3EC1344"/>
    <w:multiLevelType w:val="multilevel"/>
    <w:tmpl w:val="73B67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FC942C3"/>
    <w:multiLevelType w:val="multilevel"/>
    <w:tmpl w:val="FF120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753B20F9"/>
    <w:multiLevelType w:val="hybridMultilevel"/>
    <w:tmpl w:val="9182CBC8"/>
    <w:lvl w:ilvl="0" w:tplc="48BE04BA">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9"/>
  </w:num>
  <w:num w:numId="2">
    <w:abstractNumId w:val="3"/>
  </w:num>
  <w:num w:numId="3">
    <w:abstractNumId w:val="5"/>
  </w:num>
  <w:num w:numId="4">
    <w:abstractNumId w:val="2"/>
  </w:num>
  <w:num w:numId="5">
    <w:abstractNumId w:val="11"/>
  </w:num>
  <w:num w:numId="6">
    <w:abstractNumId w:val="8"/>
  </w:num>
  <w:num w:numId="7">
    <w:abstractNumId w:val="0"/>
  </w:num>
  <w:num w:numId="8">
    <w:abstractNumId w:val="10"/>
  </w:num>
  <w:num w:numId="9">
    <w:abstractNumId w:val="6"/>
  </w:num>
  <w:num w:numId="10">
    <w:abstractNumId w:val="1"/>
  </w:num>
  <w:num w:numId="11">
    <w:abstractNumId w:val="4"/>
  </w:num>
  <w:num w:numId="12">
    <w:abstractNumId w:val="12"/>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3194"/>
    <w:rsid w:val="000528D7"/>
    <w:rsid w:val="00142719"/>
    <w:rsid w:val="00154F33"/>
    <w:rsid w:val="00293EC2"/>
    <w:rsid w:val="002F5E01"/>
    <w:rsid w:val="00320767"/>
    <w:rsid w:val="0034097D"/>
    <w:rsid w:val="0036680B"/>
    <w:rsid w:val="0038171D"/>
    <w:rsid w:val="00391AC3"/>
    <w:rsid w:val="003A3508"/>
    <w:rsid w:val="00583194"/>
    <w:rsid w:val="006A5C35"/>
    <w:rsid w:val="006C39FE"/>
    <w:rsid w:val="007817BB"/>
    <w:rsid w:val="007B24B0"/>
    <w:rsid w:val="007D321C"/>
    <w:rsid w:val="00815D9D"/>
    <w:rsid w:val="009D6345"/>
    <w:rsid w:val="009E4D17"/>
    <w:rsid w:val="00A35494"/>
    <w:rsid w:val="00A9345E"/>
    <w:rsid w:val="00AB5478"/>
    <w:rsid w:val="00BB79D5"/>
    <w:rsid w:val="00BF6907"/>
    <w:rsid w:val="00D2046E"/>
    <w:rsid w:val="00D72245"/>
    <w:rsid w:val="00D96CC2"/>
    <w:rsid w:val="00DB1A07"/>
    <w:rsid w:val="00DD66F7"/>
    <w:rsid w:val="00DF7746"/>
    <w:rsid w:val="00E66221"/>
    <w:rsid w:val="00F36DBC"/>
    <w:rsid w:val="00F52B0E"/>
    <w:rsid w:val="00FE0990"/>
    <w:rsid w:val="00FE13D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3194"/>
  </w:style>
  <w:style w:type="paragraph" w:styleId="Ttulo1">
    <w:name w:val="heading 1"/>
    <w:basedOn w:val="Normal"/>
    <w:link w:val="Ttulo1Car"/>
    <w:uiPriority w:val="9"/>
    <w:qFormat/>
    <w:rsid w:val="0058319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583194"/>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link w:val="Ttulo3Car"/>
    <w:uiPriority w:val="9"/>
    <w:qFormat/>
    <w:rsid w:val="00583194"/>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5">
    <w:name w:val="heading 5"/>
    <w:basedOn w:val="Normal"/>
    <w:link w:val="Ttulo5Car"/>
    <w:uiPriority w:val="9"/>
    <w:qFormat/>
    <w:rsid w:val="00583194"/>
    <w:pPr>
      <w:spacing w:before="100" w:beforeAutospacing="1" w:after="100" w:afterAutospacing="1" w:line="240" w:lineRule="auto"/>
      <w:outlineLvl w:val="4"/>
    </w:pPr>
    <w:rPr>
      <w:rFonts w:ascii="Times New Roman" w:eastAsia="Times New Roman" w:hAnsi="Times New Roman" w:cs="Times New Roman"/>
      <w:b/>
      <w:bCs/>
      <w:sz w:val="20"/>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83194"/>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583194"/>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583194"/>
    <w:rPr>
      <w:rFonts w:ascii="Times New Roman" w:eastAsia="Times New Roman" w:hAnsi="Times New Roman" w:cs="Times New Roman"/>
      <w:b/>
      <w:bCs/>
      <w:sz w:val="27"/>
      <w:szCs w:val="27"/>
      <w:lang w:eastAsia="es-ES"/>
    </w:rPr>
  </w:style>
  <w:style w:type="character" w:customStyle="1" w:styleId="Ttulo5Car">
    <w:name w:val="Título 5 Car"/>
    <w:basedOn w:val="Fuentedeprrafopredeter"/>
    <w:link w:val="Ttulo5"/>
    <w:uiPriority w:val="9"/>
    <w:rsid w:val="00583194"/>
    <w:rPr>
      <w:rFonts w:ascii="Times New Roman" w:eastAsia="Times New Roman" w:hAnsi="Times New Roman" w:cs="Times New Roman"/>
      <w:b/>
      <w:bCs/>
      <w:sz w:val="20"/>
      <w:szCs w:val="20"/>
      <w:lang w:eastAsia="es-ES"/>
    </w:rPr>
  </w:style>
  <w:style w:type="character" w:customStyle="1" w:styleId="vertical-ruleiqhox">
    <w:name w:val="vertical-rule__iqhox"/>
    <w:basedOn w:val="Fuentedeprrafopredeter"/>
    <w:rsid w:val="00583194"/>
  </w:style>
  <w:style w:type="character" w:customStyle="1" w:styleId="nav-item-exact-namevy9rm">
    <w:name w:val="nav-item-exact-name__vy9rm"/>
    <w:basedOn w:val="Fuentedeprrafopredeter"/>
    <w:rsid w:val="00583194"/>
  </w:style>
  <w:style w:type="character" w:styleId="Hipervnculo">
    <w:name w:val="Hyperlink"/>
    <w:basedOn w:val="Fuentedeprrafopredeter"/>
    <w:uiPriority w:val="99"/>
    <w:semiHidden/>
    <w:unhideWhenUsed/>
    <w:rsid w:val="00583194"/>
    <w:rPr>
      <w:color w:val="0000FF"/>
      <w:u w:val="single"/>
    </w:rPr>
  </w:style>
  <w:style w:type="character" w:customStyle="1" w:styleId="styled-numbercrazs">
    <w:name w:val="styled-number__crazs"/>
    <w:basedOn w:val="Fuentedeprrafopredeter"/>
    <w:rsid w:val="00583194"/>
  </w:style>
  <w:style w:type="character" w:customStyle="1" w:styleId="mdc-c-linklabel">
    <w:name w:val="mdc-c-link__label"/>
    <w:basedOn w:val="Fuentedeprrafopredeter"/>
    <w:rsid w:val="00583194"/>
  </w:style>
  <w:style w:type="character" w:customStyle="1" w:styleId="mdc-c-icon">
    <w:name w:val="mdc-c-icon"/>
    <w:basedOn w:val="Fuentedeprrafopredeter"/>
    <w:rsid w:val="00583194"/>
  </w:style>
  <w:style w:type="character" w:styleId="Textoennegrita">
    <w:name w:val="Strong"/>
    <w:basedOn w:val="Fuentedeprrafopredeter"/>
    <w:uiPriority w:val="22"/>
    <w:qFormat/>
    <w:rsid w:val="00583194"/>
    <w:rPr>
      <w:b/>
      <w:bCs/>
    </w:rPr>
  </w:style>
  <w:style w:type="paragraph" w:styleId="NormalWeb">
    <w:name w:val="Normal (Web)"/>
    <w:basedOn w:val="Normal"/>
    <w:uiPriority w:val="99"/>
    <w:unhideWhenUsed/>
    <w:rsid w:val="0058319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ootnotefootnote-holder7oyio">
    <w:name w:val="footnote_footnote-holder__7oyio"/>
    <w:basedOn w:val="Fuentedeprrafopredeter"/>
    <w:rsid w:val="00583194"/>
  </w:style>
  <w:style w:type="character" w:styleId="nfasis">
    <w:name w:val="Emphasis"/>
    <w:basedOn w:val="Fuentedeprrafopredeter"/>
    <w:uiPriority w:val="20"/>
    <w:qFormat/>
    <w:rsid w:val="00583194"/>
    <w:rPr>
      <w:i/>
      <w:iCs/>
    </w:rPr>
  </w:style>
  <w:style w:type="paragraph" w:styleId="Textodeglobo">
    <w:name w:val="Balloon Text"/>
    <w:basedOn w:val="Normal"/>
    <w:link w:val="TextodegloboCar"/>
    <w:uiPriority w:val="99"/>
    <w:semiHidden/>
    <w:unhideWhenUsed/>
    <w:rsid w:val="0058319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83194"/>
    <w:rPr>
      <w:rFonts w:ascii="Tahoma" w:hAnsi="Tahoma" w:cs="Tahoma"/>
      <w:sz w:val="16"/>
      <w:szCs w:val="16"/>
    </w:rPr>
  </w:style>
  <w:style w:type="paragraph" w:styleId="Prrafodelista">
    <w:name w:val="List Paragraph"/>
    <w:basedOn w:val="Normal"/>
    <w:uiPriority w:val="34"/>
    <w:qFormat/>
    <w:rsid w:val="00583194"/>
    <w:pPr>
      <w:ind w:left="720"/>
      <w:contextualSpacing/>
    </w:pPr>
  </w:style>
  <w:style w:type="character" w:customStyle="1" w:styleId="contentauthor--name">
    <w:name w:val="content__author--name"/>
    <w:basedOn w:val="Fuentedeprrafopredeter"/>
    <w:rsid w:val="00583194"/>
  </w:style>
  <w:style w:type="character" w:customStyle="1" w:styleId="contentauthor--date">
    <w:name w:val="content__author--date"/>
    <w:basedOn w:val="Fuentedeprrafopredeter"/>
    <w:rsid w:val="00583194"/>
  </w:style>
  <w:style w:type="paragraph" w:customStyle="1" w:styleId="times">
    <w:name w:val="times"/>
    <w:basedOn w:val="Normal"/>
    <w:rsid w:val="00583194"/>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3194"/>
  </w:style>
  <w:style w:type="paragraph" w:styleId="Ttulo1">
    <w:name w:val="heading 1"/>
    <w:basedOn w:val="Normal"/>
    <w:link w:val="Ttulo1Car"/>
    <w:uiPriority w:val="9"/>
    <w:qFormat/>
    <w:rsid w:val="0058319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583194"/>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link w:val="Ttulo3Car"/>
    <w:uiPriority w:val="9"/>
    <w:qFormat/>
    <w:rsid w:val="00583194"/>
    <w:pPr>
      <w:spacing w:before="100" w:beforeAutospacing="1" w:after="100" w:afterAutospacing="1" w:line="240" w:lineRule="auto"/>
      <w:outlineLvl w:val="2"/>
    </w:pPr>
    <w:rPr>
      <w:rFonts w:ascii="Times New Roman" w:eastAsia="Times New Roman" w:hAnsi="Times New Roman" w:cs="Times New Roman"/>
      <w:b/>
      <w:bCs/>
      <w:sz w:val="27"/>
      <w:szCs w:val="27"/>
      <w:lang w:eastAsia="es-ES"/>
    </w:rPr>
  </w:style>
  <w:style w:type="paragraph" w:styleId="Ttulo5">
    <w:name w:val="heading 5"/>
    <w:basedOn w:val="Normal"/>
    <w:link w:val="Ttulo5Car"/>
    <w:uiPriority w:val="9"/>
    <w:qFormat/>
    <w:rsid w:val="00583194"/>
    <w:pPr>
      <w:spacing w:before="100" w:beforeAutospacing="1" w:after="100" w:afterAutospacing="1" w:line="240" w:lineRule="auto"/>
      <w:outlineLvl w:val="4"/>
    </w:pPr>
    <w:rPr>
      <w:rFonts w:ascii="Times New Roman" w:eastAsia="Times New Roman" w:hAnsi="Times New Roman" w:cs="Times New Roman"/>
      <w:b/>
      <w:bCs/>
      <w:sz w:val="20"/>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83194"/>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583194"/>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uiPriority w:val="9"/>
    <w:rsid w:val="00583194"/>
    <w:rPr>
      <w:rFonts w:ascii="Times New Roman" w:eastAsia="Times New Roman" w:hAnsi="Times New Roman" w:cs="Times New Roman"/>
      <w:b/>
      <w:bCs/>
      <w:sz w:val="27"/>
      <w:szCs w:val="27"/>
      <w:lang w:eastAsia="es-ES"/>
    </w:rPr>
  </w:style>
  <w:style w:type="character" w:customStyle="1" w:styleId="Ttulo5Car">
    <w:name w:val="Título 5 Car"/>
    <w:basedOn w:val="Fuentedeprrafopredeter"/>
    <w:link w:val="Ttulo5"/>
    <w:uiPriority w:val="9"/>
    <w:rsid w:val="00583194"/>
    <w:rPr>
      <w:rFonts w:ascii="Times New Roman" w:eastAsia="Times New Roman" w:hAnsi="Times New Roman" w:cs="Times New Roman"/>
      <w:b/>
      <w:bCs/>
      <w:sz w:val="20"/>
      <w:szCs w:val="20"/>
      <w:lang w:eastAsia="es-ES"/>
    </w:rPr>
  </w:style>
  <w:style w:type="character" w:customStyle="1" w:styleId="vertical-ruleiqhox">
    <w:name w:val="vertical-rule__iqhox"/>
    <w:basedOn w:val="Fuentedeprrafopredeter"/>
    <w:rsid w:val="00583194"/>
  </w:style>
  <w:style w:type="character" w:customStyle="1" w:styleId="nav-item-exact-namevy9rm">
    <w:name w:val="nav-item-exact-name__vy9rm"/>
    <w:basedOn w:val="Fuentedeprrafopredeter"/>
    <w:rsid w:val="00583194"/>
  </w:style>
  <w:style w:type="character" w:styleId="Hipervnculo">
    <w:name w:val="Hyperlink"/>
    <w:basedOn w:val="Fuentedeprrafopredeter"/>
    <w:uiPriority w:val="99"/>
    <w:semiHidden/>
    <w:unhideWhenUsed/>
    <w:rsid w:val="00583194"/>
    <w:rPr>
      <w:color w:val="0000FF"/>
      <w:u w:val="single"/>
    </w:rPr>
  </w:style>
  <w:style w:type="character" w:customStyle="1" w:styleId="styled-numbercrazs">
    <w:name w:val="styled-number__crazs"/>
    <w:basedOn w:val="Fuentedeprrafopredeter"/>
    <w:rsid w:val="00583194"/>
  </w:style>
  <w:style w:type="character" w:customStyle="1" w:styleId="mdc-c-linklabel">
    <w:name w:val="mdc-c-link__label"/>
    <w:basedOn w:val="Fuentedeprrafopredeter"/>
    <w:rsid w:val="00583194"/>
  </w:style>
  <w:style w:type="character" w:customStyle="1" w:styleId="mdc-c-icon">
    <w:name w:val="mdc-c-icon"/>
    <w:basedOn w:val="Fuentedeprrafopredeter"/>
    <w:rsid w:val="00583194"/>
  </w:style>
  <w:style w:type="character" w:styleId="Textoennegrita">
    <w:name w:val="Strong"/>
    <w:basedOn w:val="Fuentedeprrafopredeter"/>
    <w:uiPriority w:val="22"/>
    <w:qFormat/>
    <w:rsid w:val="00583194"/>
    <w:rPr>
      <w:b/>
      <w:bCs/>
    </w:rPr>
  </w:style>
  <w:style w:type="paragraph" w:styleId="NormalWeb">
    <w:name w:val="Normal (Web)"/>
    <w:basedOn w:val="Normal"/>
    <w:uiPriority w:val="99"/>
    <w:unhideWhenUsed/>
    <w:rsid w:val="0058319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ootnotefootnote-holder7oyio">
    <w:name w:val="footnote_footnote-holder__7oyio"/>
    <w:basedOn w:val="Fuentedeprrafopredeter"/>
    <w:rsid w:val="00583194"/>
  </w:style>
  <w:style w:type="character" w:styleId="nfasis">
    <w:name w:val="Emphasis"/>
    <w:basedOn w:val="Fuentedeprrafopredeter"/>
    <w:uiPriority w:val="20"/>
    <w:qFormat/>
    <w:rsid w:val="00583194"/>
    <w:rPr>
      <w:i/>
      <w:iCs/>
    </w:rPr>
  </w:style>
  <w:style w:type="paragraph" w:styleId="Textodeglobo">
    <w:name w:val="Balloon Text"/>
    <w:basedOn w:val="Normal"/>
    <w:link w:val="TextodegloboCar"/>
    <w:uiPriority w:val="99"/>
    <w:semiHidden/>
    <w:unhideWhenUsed/>
    <w:rsid w:val="0058319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83194"/>
    <w:rPr>
      <w:rFonts w:ascii="Tahoma" w:hAnsi="Tahoma" w:cs="Tahoma"/>
      <w:sz w:val="16"/>
      <w:szCs w:val="16"/>
    </w:rPr>
  </w:style>
  <w:style w:type="paragraph" w:styleId="Prrafodelista">
    <w:name w:val="List Paragraph"/>
    <w:basedOn w:val="Normal"/>
    <w:uiPriority w:val="34"/>
    <w:qFormat/>
    <w:rsid w:val="00583194"/>
    <w:pPr>
      <w:ind w:left="720"/>
      <w:contextualSpacing/>
    </w:pPr>
  </w:style>
  <w:style w:type="character" w:customStyle="1" w:styleId="contentauthor--name">
    <w:name w:val="content__author--name"/>
    <w:basedOn w:val="Fuentedeprrafopredeter"/>
    <w:rsid w:val="00583194"/>
  </w:style>
  <w:style w:type="character" w:customStyle="1" w:styleId="contentauthor--date">
    <w:name w:val="content__author--date"/>
    <w:basedOn w:val="Fuentedeprrafopredeter"/>
    <w:rsid w:val="00583194"/>
  </w:style>
  <w:style w:type="paragraph" w:customStyle="1" w:styleId="times">
    <w:name w:val="times"/>
    <w:basedOn w:val="Normal"/>
    <w:rsid w:val="00583194"/>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6168569">
      <w:bodyDiv w:val="1"/>
      <w:marLeft w:val="0"/>
      <w:marRight w:val="0"/>
      <w:marTop w:val="0"/>
      <w:marBottom w:val="0"/>
      <w:divBdr>
        <w:top w:val="none" w:sz="0" w:space="0" w:color="auto"/>
        <w:left w:val="none" w:sz="0" w:space="0" w:color="auto"/>
        <w:bottom w:val="none" w:sz="0" w:space="0" w:color="auto"/>
        <w:right w:val="none" w:sz="0" w:space="0" w:color="auto"/>
      </w:divBdr>
    </w:div>
    <w:div w:id="224335235">
      <w:bodyDiv w:val="1"/>
      <w:marLeft w:val="0"/>
      <w:marRight w:val="0"/>
      <w:marTop w:val="0"/>
      <w:marBottom w:val="0"/>
      <w:divBdr>
        <w:top w:val="none" w:sz="0" w:space="0" w:color="auto"/>
        <w:left w:val="none" w:sz="0" w:space="0" w:color="auto"/>
        <w:bottom w:val="none" w:sz="0" w:space="0" w:color="auto"/>
        <w:right w:val="none" w:sz="0" w:space="0" w:color="auto"/>
      </w:divBdr>
    </w:div>
    <w:div w:id="508640276">
      <w:bodyDiv w:val="1"/>
      <w:marLeft w:val="0"/>
      <w:marRight w:val="0"/>
      <w:marTop w:val="0"/>
      <w:marBottom w:val="0"/>
      <w:divBdr>
        <w:top w:val="none" w:sz="0" w:space="0" w:color="auto"/>
        <w:left w:val="none" w:sz="0" w:space="0" w:color="auto"/>
        <w:bottom w:val="none" w:sz="0" w:space="0" w:color="auto"/>
        <w:right w:val="none" w:sz="0" w:space="0" w:color="auto"/>
      </w:divBdr>
    </w:div>
    <w:div w:id="17031672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hyperlink" Target="https://www.mckinsey.com/our-people/jonathan-woetzel" TargetMode="External"/><Relationship Id="rId47" Type="http://schemas.openxmlformats.org/officeDocument/2006/relationships/image" Target="media/image31.png"/><Relationship Id="rId63" Type="http://schemas.openxmlformats.org/officeDocument/2006/relationships/image" Target="media/image46.png"/><Relationship Id="rId68" Type="http://schemas.openxmlformats.org/officeDocument/2006/relationships/hyperlink" Target="https://www.mckinsey.com/our-people/olivia-white" TargetMode="External"/><Relationship Id="rId2" Type="http://schemas.openxmlformats.org/officeDocument/2006/relationships/styles" Target="styles.xml"/><Relationship Id="rId16" Type="http://schemas.openxmlformats.org/officeDocument/2006/relationships/hyperlink" Target="https://www.statista.com/statistics/187867/public-debt-of-the-united-states-since-1990/" TargetMode="External"/><Relationship Id="rId29" Type="http://schemas.openxmlformats.org/officeDocument/2006/relationships/image" Target="media/image19.png"/><Relationship Id="rId11" Type="http://schemas.openxmlformats.org/officeDocument/2006/relationships/image" Target="media/image6.png"/><Relationship Id="rId24" Type="http://schemas.openxmlformats.org/officeDocument/2006/relationships/image" Target="media/image14.gi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yperlink" Target="https://www.mckinsey.com/our-people/olivia-white" TargetMode="External"/><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hyperlink" Target="javascript:void(0);" TargetMode="External"/><Relationship Id="rId66" Type="http://schemas.openxmlformats.org/officeDocument/2006/relationships/image" Target="media/image49.png"/><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4.png"/><Relationship Id="rId19" Type="http://schemas.openxmlformats.org/officeDocument/2006/relationships/image" Target="media/image9.png"/><Relationship Id="rId14" Type="http://schemas.openxmlformats.org/officeDocument/2006/relationships/hyperlink" Target="https://www.statista.com/statistics/188165/annual-gdp-growth-of-the-united-states-since-1990/" TargetMode="External"/><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hyperlink" Target="https://www.mckinsey.com/our-people/michael-birshan" TargetMode="External"/><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7.png"/><Relationship Id="rId69" Type="http://schemas.openxmlformats.org/officeDocument/2006/relationships/hyperlink" Target="https://www.mckinsey.com/our-people/eckart-windhagen" TargetMode="External"/><Relationship Id="rId8" Type="http://schemas.openxmlformats.org/officeDocument/2006/relationships/image" Target="media/image3.png"/><Relationship Id="rId51" Type="http://schemas.openxmlformats.org/officeDocument/2006/relationships/image" Target="media/image35.png"/><Relationship Id="rId72" Type="http://schemas.openxmlformats.org/officeDocument/2006/relationships/hyperlink" Target="https://www.mckinsey.com/our-people/sven-smit" TargetMode="External"/><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hyperlink" Target="https://www.statista.com/statistics/191077/inflation-rate-in-the-usa-since-1990/" TargetMode="External"/><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hyperlink" Target="https://www.mckinsey.com/our-people/jan-mischke" TargetMode="External"/><Relationship Id="rId20" Type="http://schemas.openxmlformats.org/officeDocument/2006/relationships/image" Target="media/image10.jpeg"/><Relationship Id="rId41" Type="http://schemas.openxmlformats.org/officeDocument/2006/relationships/hyperlink" Target="https://www.mckinsey.com/our-people/eckart-windhagen" TargetMode="External"/><Relationship Id="rId54" Type="http://schemas.openxmlformats.org/officeDocument/2006/relationships/image" Target="media/image38.png"/><Relationship Id="rId62" Type="http://schemas.openxmlformats.org/officeDocument/2006/relationships/image" Target="media/image45.png"/><Relationship Id="rId70" Type="http://schemas.openxmlformats.org/officeDocument/2006/relationships/hyperlink" Target="https://www.mckinsey.com/our-people/jonathan-woetzel" TargetMode="Externa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hyperlink" Target="https://www.statista.com/statistics/187616/effective-rate-of-us-federal-funds-monthly/"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5.gif"/><Relationship Id="rId31" Type="http://schemas.openxmlformats.org/officeDocument/2006/relationships/image" Target="media/image21.png"/><Relationship Id="rId44" Type="http://schemas.openxmlformats.org/officeDocument/2006/relationships/hyperlink" Target="https://www.mckinsey.com/our-people/sven-smit" TargetMode="External"/><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hyperlink" Target="https://www.statista.com/aboutus/our-research-commitment" TargetMode="External"/><Relationship Id="rId18" Type="http://schemas.openxmlformats.org/officeDocument/2006/relationships/image" Target="media/image8.png"/><Relationship Id="rId39" Type="http://schemas.openxmlformats.org/officeDocument/2006/relationships/hyperlink" Target="https://www.mckinsey.com/our-people/jan-mischke" TargetMode="External"/><Relationship Id="rId34" Type="http://schemas.openxmlformats.org/officeDocument/2006/relationships/image" Target="media/image24.jpeg"/><Relationship Id="rId50" Type="http://schemas.openxmlformats.org/officeDocument/2006/relationships/image" Target="media/image34.png"/><Relationship Id="rId55" Type="http://schemas.openxmlformats.org/officeDocument/2006/relationships/image" Target="media/image39.png"/><Relationship Id="rId7" Type="http://schemas.openxmlformats.org/officeDocument/2006/relationships/image" Target="media/image2.png"/><Relationship Id="rId71" Type="http://schemas.openxmlformats.org/officeDocument/2006/relationships/hyperlink" Target="https://www.mckinsey.com/our-people/michael-birshan"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67</Pages>
  <Words>24320</Words>
  <Characters>133762</Characters>
  <Application>Microsoft Office Word</Application>
  <DocSecurity>0</DocSecurity>
  <Lines>1114</Lines>
  <Paragraphs>315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157767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2023-11-03T10:12:00Z</dcterms:created>
  <dcterms:modified xsi:type="dcterms:W3CDTF">2023-11-03T10:12:00Z</dcterms:modified>
</cp:coreProperties>
</file>