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6E74" w:rsidRPr="00B218E5" w:rsidRDefault="00396E74" w:rsidP="00396E74">
      <w:pPr>
        <w:spacing w:line="240" w:lineRule="auto"/>
        <w:jc w:val="both"/>
        <w:rPr>
          <w:rFonts w:ascii="Times New Roman" w:hAnsi="Times New Roman" w:cs="Times New Roman"/>
          <w:b/>
          <w:sz w:val="24"/>
          <w:szCs w:val="24"/>
        </w:rPr>
      </w:pPr>
      <w:r w:rsidRPr="00B218E5">
        <w:rPr>
          <w:rFonts w:ascii="Times New Roman" w:hAnsi="Times New Roman" w:cs="Times New Roman"/>
          <w:b/>
          <w:sz w:val="24"/>
          <w:szCs w:val="24"/>
        </w:rPr>
        <w:t xml:space="preserve">Paper - La “extraña correlación” entre el Dow Jones y el Nikkei </w:t>
      </w:r>
    </w:p>
    <w:p w:rsidR="00396E74" w:rsidRDefault="00396E74" w:rsidP="00396E74">
      <w:pPr>
        <w:spacing w:line="240" w:lineRule="auto"/>
        <w:jc w:val="both"/>
        <w:rPr>
          <w:rFonts w:ascii="Times New Roman" w:hAnsi="Times New Roman" w:cs="Times New Roman"/>
          <w:b/>
          <w:color w:val="FF0000"/>
          <w:sz w:val="24"/>
          <w:szCs w:val="24"/>
        </w:rPr>
      </w:pPr>
      <w:r w:rsidRPr="00376DA8">
        <w:rPr>
          <w:rFonts w:ascii="Times New Roman" w:hAnsi="Times New Roman" w:cs="Times New Roman"/>
          <w:b/>
          <w:noProof/>
          <w:color w:val="FF0000"/>
          <w:sz w:val="24"/>
          <w:szCs w:val="24"/>
          <w:lang w:eastAsia="es-ES"/>
        </w:rPr>
        <w:drawing>
          <wp:inline distT="0" distB="0" distL="0" distR="0" wp14:anchorId="5FC3B8B6" wp14:editId="7291F901">
            <wp:extent cx="5731510" cy="2201365"/>
            <wp:effectExtent l="0" t="0" r="2540" b="88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2201365"/>
                    </a:xfrm>
                    <a:prstGeom prst="rect">
                      <a:avLst/>
                    </a:prstGeom>
                  </pic:spPr>
                </pic:pic>
              </a:graphicData>
            </a:graphic>
          </wp:inline>
        </w:drawing>
      </w:r>
    </w:p>
    <w:p w:rsidR="00396E74" w:rsidRPr="00B218E5" w:rsidRDefault="00396E74" w:rsidP="00396E74">
      <w:pPr>
        <w:spacing w:line="240" w:lineRule="auto"/>
        <w:jc w:val="both"/>
        <w:rPr>
          <w:rFonts w:ascii="Times New Roman" w:hAnsi="Times New Roman" w:cs="Times New Roman"/>
          <w:b/>
          <w:sz w:val="24"/>
          <w:szCs w:val="24"/>
        </w:rPr>
      </w:pPr>
      <w:r w:rsidRPr="00B218E5">
        <w:rPr>
          <w:rFonts w:ascii="Times New Roman" w:hAnsi="Times New Roman" w:cs="Times New Roman"/>
          <w:b/>
          <w:sz w:val="24"/>
          <w:szCs w:val="24"/>
        </w:rPr>
        <w:t>- Introducción: Tener la mosca detrás de la oreja (un día sí</w:t>
      </w:r>
      <w:r w:rsidR="00B218E5">
        <w:rPr>
          <w:rFonts w:ascii="Times New Roman" w:hAnsi="Times New Roman" w:cs="Times New Roman"/>
          <w:b/>
          <w:sz w:val="24"/>
          <w:szCs w:val="24"/>
        </w:rPr>
        <w:t>,</w:t>
      </w:r>
      <w:r w:rsidRPr="00B218E5">
        <w:rPr>
          <w:rFonts w:ascii="Times New Roman" w:hAnsi="Times New Roman" w:cs="Times New Roman"/>
          <w:b/>
          <w:sz w:val="24"/>
          <w:szCs w:val="24"/>
        </w:rPr>
        <w:t xml:space="preserve"> y otro también)</w:t>
      </w:r>
    </w:p>
    <w:p w:rsidR="00396E74" w:rsidRDefault="005A60DF" w:rsidP="00396E74">
      <w:pPr>
        <w:spacing w:line="240" w:lineRule="auto"/>
        <w:jc w:val="both"/>
        <w:rPr>
          <w:rFonts w:ascii="Times New Roman" w:hAnsi="Times New Roman" w:cs="Times New Roman"/>
          <w:sz w:val="24"/>
          <w:szCs w:val="24"/>
        </w:rPr>
      </w:pPr>
      <w:r w:rsidRPr="005A60DF">
        <w:rPr>
          <w:rFonts w:ascii="Times New Roman" w:hAnsi="Times New Roman" w:cs="Times New Roman"/>
          <w:sz w:val="24"/>
          <w:szCs w:val="24"/>
        </w:rPr>
        <w:t xml:space="preserve">Aunque nunca he realizado inversiones en renta variable </w:t>
      </w:r>
      <w:r>
        <w:rPr>
          <w:rFonts w:ascii="Times New Roman" w:hAnsi="Times New Roman" w:cs="Times New Roman"/>
          <w:sz w:val="24"/>
          <w:szCs w:val="24"/>
        </w:rPr>
        <w:t>(y tampoco tengo intención de hacerlo</w:t>
      </w:r>
      <w:r w:rsidRPr="005A60DF">
        <w:rPr>
          <w:rFonts w:ascii="Times New Roman" w:hAnsi="Times New Roman" w:cs="Times New Roman"/>
          <w:sz w:val="24"/>
          <w:szCs w:val="24"/>
        </w:rPr>
        <w:t>)</w:t>
      </w:r>
      <w:r w:rsidR="002176FA">
        <w:rPr>
          <w:rFonts w:ascii="Times New Roman" w:hAnsi="Times New Roman" w:cs="Times New Roman"/>
          <w:sz w:val="24"/>
          <w:szCs w:val="24"/>
        </w:rPr>
        <w:t>, mantengo</w:t>
      </w:r>
      <w:r>
        <w:rPr>
          <w:rFonts w:ascii="Times New Roman" w:hAnsi="Times New Roman" w:cs="Times New Roman"/>
          <w:sz w:val="24"/>
          <w:szCs w:val="24"/>
        </w:rPr>
        <w:t xml:space="preserve"> la costumbre de visitar a diario The Wall Street Journal, para ver el cierre de los principales mercados.</w:t>
      </w:r>
    </w:p>
    <w:p w:rsidR="005A60DF" w:rsidRDefault="004C1509"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¿Deformación</w:t>
      </w:r>
      <w:r w:rsidR="005A60DF">
        <w:rPr>
          <w:rFonts w:ascii="Times New Roman" w:hAnsi="Times New Roman" w:cs="Times New Roman"/>
          <w:sz w:val="24"/>
          <w:szCs w:val="24"/>
        </w:rPr>
        <w:t xml:space="preserve"> profesional?</w:t>
      </w:r>
      <w:r>
        <w:rPr>
          <w:rFonts w:ascii="Times New Roman" w:hAnsi="Times New Roman" w:cs="Times New Roman"/>
          <w:sz w:val="24"/>
          <w:szCs w:val="24"/>
        </w:rPr>
        <w:t xml:space="preserve"> ¿Vocación indagatoria</w:t>
      </w:r>
      <w:r w:rsidR="002176FA">
        <w:rPr>
          <w:rFonts w:ascii="Times New Roman" w:hAnsi="Times New Roman" w:cs="Times New Roman"/>
          <w:sz w:val="24"/>
          <w:szCs w:val="24"/>
        </w:rPr>
        <w:t>?</w:t>
      </w:r>
      <w:r>
        <w:rPr>
          <w:rFonts w:ascii="Times New Roman" w:hAnsi="Times New Roman" w:cs="Times New Roman"/>
          <w:sz w:val="24"/>
          <w:szCs w:val="24"/>
        </w:rPr>
        <w:t xml:space="preserve"> ¿Curiosidad? ¿Divertimento? ¿Descubrir lo que pierdo</w:t>
      </w:r>
      <w:r w:rsidR="002176FA">
        <w:rPr>
          <w:rFonts w:ascii="Times New Roman" w:hAnsi="Times New Roman" w:cs="Times New Roman"/>
          <w:sz w:val="24"/>
          <w:szCs w:val="24"/>
        </w:rPr>
        <w:t xml:space="preserve"> d</w:t>
      </w:r>
      <w:r>
        <w:rPr>
          <w:rFonts w:ascii="Times New Roman" w:hAnsi="Times New Roman" w:cs="Times New Roman"/>
          <w:sz w:val="24"/>
          <w:szCs w:val="24"/>
        </w:rPr>
        <w:t>e ganar? ¿Detectar lo que gano</w:t>
      </w:r>
      <w:r w:rsidR="002176FA">
        <w:rPr>
          <w:rFonts w:ascii="Times New Roman" w:hAnsi="Times New Roman" w:cs="Times New Roman"/>
          <w:sz w:val="24"/>
          <w:szCs w:val="24"/>
        </w:rPr>
        <w:t xml:space="preserve"> de perder? </w:t>
      </w:r>
      <w:r w:rsidR="005A60DF">
        <w:rPr>
          <w:rFonts w:ascii="Times New Roman" w:hAnsi="Times New Roman" w:cs="Times New Roman"/>
          <w:sz w:val="24"/>
          <w:szCs w:val="24"/>
        </w:rPr>
        <w:t>¿Puro masoquismo?....</w:t>
      </w:r>
    </w:p>
    <w:p w:rsidR="002176FA" w:rsidRDefault="002176FA"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Un aspecto</w:t>
      </w:r>
      <w:r w:rsidR="005A60DF">
        <w:rPr>
          <w:rFonts w:ascii="Times New Roman" w:hAnsi="Times New Roman" w:cs="Times New Roman"/>
          <w:sz w:val="24"/>
          <w:szCs w:val="24"/>
        </w:rPr>
        <w:t xml:space="preserve"> que</w:t>
      </w:r>
      <w:r w:rsidR="004C1509">
        <w:rPr>
          <w:rFonts w:ascii="Times New Roman" w:hAnsi="Times New Roman" w:cs="Times New Roman"/>
          <w:sz w:val="24"/>
          <w:szCs w:val="24"/>
        </w:rPr>
        <w:t>,</w:t>
      </w:r>
      <w:r w:rsidR="005A60DF">
        <w:rPr>
          <w:rFonts w:ascii="Times New Roman" w:hAnsi="Times New Roman" w:cs="Times New Roman"/>
          <w:sz w:val="24"/>
          <w:szCs w:val="24"/>
        </w:rPr>
        <w:t xml:space="preserve"> primero me sorprendió, luego despertó</w:t>
      </w:r>
      <w:r>
        <w:rPr>
          <w:rFonts w:ascii="Times New Roman" w:hAnsi="Times New Roman" w:cs="Times New Roman"/>
          <w:sz w:val="24"/>
          <w:szCs w:val="24"/>
        </w:rPr>
        <w:t xml:space="preserve"> curiosidad, y finalmente alarmó</w:t>
      </w:r>
      <w:r w:rsidR="005A60DF">
        <w:rPr>
          <w:rFonts w:ascii="Times New Roman" w:hAnsi="Times New Roman" w:cs="Times New Roman"/>
          <w:sz w:val="24"/>
          <w:szCs w:val="24"/>
        </w:rPr>
        <w:t>, fue detectar la coincidencia en el com</w:t>
      </w:r>
      <w:r>
        <w:rPr>
          <w:rFonts w:ascii="Times New Roman" w:hAnsi="Times New Roman" w:cs="Times New Roman"/>
          <w:sz w:val="24"/>
          <w:szCs w:val="24"/>
        </w:rPr>
        <w:t>portamiento de los principales Í</w:t>
      </w:r>
      <w:r w:rsidR="005A60DF">
        <w:rPr>
          <w:rFonts w:ascii="Times New Roman" w:hAnsi="Times New Roman" w:cs="Times New Roman"/>
          <w:sz w:val="24"/>
          <w:szCs w:val="24"/>
        </w:rPr>
        <w:t>ndices bursátiles</w:t>
      </w:r>
      <w:r>
        <w:rPr>
          <w:rFonts w:ascii="Times New Roman" w:hAnsi="Times New Roman" w:cs="Times New Roman"/>
          <w:sz w:val="24"/>
          <w:szCs w:val="24"/>
        </w:rPr>
        <w:t xml:space="preserve"> de la Bolsa de Nueva York (NYSE) -Dow Jones y S&amp;P 500-, con el principal Índice de la </w:t>
      </w:r>
      <w:r w:rsidRPr="002176FA">
        <w:rPr>
          <w:rFonts w:ascii="Times New Roman" w:hAnsi="Times New Roman" w:cs="Times New Roman"/>
          <w:sz w:val="24"/>
          <w:szCs w:val="24"/>
        </w:rPr>
        <w:t>Bolsa de Tokio (Tokyo Stock Exchange o TSE)</w:t>
      </w:r>
      <w:r>
        <w:rPr>
          <w:rFonts w:ascii="Times New Roman" w:hAnsi="Times New Roman" w:cs="Times New Roman"/>
          <w:sz w:val="24"/>
          <w:szCs w:val="24"/>
        </w:rPr>
        <w:t xml:space="preserve"> -cuyo </w:t>
      </w:r>
      <w:r w:rsidRPr="002176FA">
        <w:rPr>
          <w:rFonts w:ascii="Times New Roman" w:hAnsi="Times New Roman" w:cs="Times New Roman"/>
          <w:sz w:val="24"/>
          <w:szCs w:val="24"/>
        </w:rPr>
        <w:t>índice d</w:t>
      </w:r>
      <w:r>
        <w:rPr>
          <w:rFonts w:ascii="Times New Roman" w:hAnsi="Times New Roman" w:cs="Times New Roman"/>
          <w:sz w:val="24"/>
          <w:szCs w:val="24"/>
        </w:rPr>
        <w:t>e referencia es el Nikkei 225-.</w:t>
      </w:r>
    </w:p>
    <w:p w:rsidR="00BB2CA0" w:rsidRDefault="00BB2CA0"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¿Por qué</w:t>
      </w:r>
      <w:r w:rsidR="004C1509">
        <w:rPr>
          <w:rFonts w:ascii="Times New Roman" w:hAnsi="Times New Roman" w:cs="Times New Roman"/>
          <w:sz w:val="24"/>
          <w:szCs w:val="24"/>
        </w:rPr>
        <w:t>,</w:t>
      </w:r>
      <w:r>
        <w:rPr>
          <w:rFonts w:ascii="Times New Roman" w:hAnsi="Times New Roman" w:cs="Times New Roman"/>
          <w:sz w:val="24"/>
          <w:szCs w:val="24"/>
        </w:rPr>
        <w:t xml:space="preserve"> cuando subía o bajaba el Dow Jones o el S&amp;P 500, subía o bajaba del Nikkei 225?</w:t>
      </w:r>
    </w:p>
    <w:p w:rsidR="00BB2CA0" w:rsidRDefault="00BB2CA0"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había tanta correlación entre índices de países tan le</w:t>
      </w:r>
      <w:r w:rsidR="00A67759">
        <w:rPr>
          <w:rFonts w:ascii="Times New Roman" w:hAnsi="Times New Roman" w:cs="Times New Roman"/>
          <w:sz w:val="24"/>
          <w:szCs w:val="24"/>
        </w:rPr>
        <w:t>janos, donde los “fundamentales económicos”</w:t>
      </w:r>
      <w:r w:rsidR="00225D51">
        <w:rPr>
          <w:rFonts w:ascii="Times New Roman" w:hAnsi="Times New Roman" w:cs="Times New Roman"/>
          <w:sz w:val="24"/>
          <w:szCs w:val="24"/>
        </w:rPr>
        <w:t xml:space="preserve"> pueden</w:t>
      </w:r>
      <w:r>
        <w:rPr>
          <w:rFonts w:ascii="Times New Roman" w:hAnsi="Times New Roman" w:cs="Times New Roman"/>
          <w:sz w:val="24"/>
          <w:szCs w:val="24"/>
        </w:rPr>
        <w:t xml:space="preserve"> ser tan diferentes?</w:t>
      </w:r>
      <w:r w:rsidR="00225D51">
        <w:rPr>
          <w:rFonts w:ascii="Times New Roman" w:hAnsi="Times New Roman" w:cs="Times New Roman"/>
          <w:sz w:val="24"/>
          <w:szCs w:val="24"/>
        </w:rPr>
        <w:t xml:space="preserve"> ¿Podría ser un caso de “racionalidad limitada”?</w:t>
      </w:r>
    </w:p>
    <w:p w:rsidR="00A41930" w:rsidRDefault="00A41930"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¿Correlación razonable? ¿Correlación ilusoria?</w:t>
      </w:r>
      <w:r w:rsidR="0043706E">
        <w:rPr>
          <w:rFonts w:ascii="Times New Roman" w:hAnsi="Times New Roman" w:cs="Times New Roman"/>
          <w:sz w:val="24"/>
          <w:szCs w:val="24"/>
        </w:rPr>
        <w:t xml:space="preserve"> ¿Efecto espejo?</w:t>
      </w:r>
      <w:r w:rsidR="00A67759">
        <w:rPr>
          <w:rFonts w:ascii="Times New Roman" w:hAnsi="Times New Roman" w:cs="Times New Roman"/>
          <w:sz w:val="24"/>
          <w:szCs w:val="24"/>
        </w:rPr>
        <w:t xml:space="preserve"> ¿Cámara de eco?</w:t>
      </w:r>
      <w:r w:rsidR="0043706E">
        <w:rPr>
          <w:rFonts w:ascii="Times New Roman" w:hAnsi="Times New Roman" w:cs="Times New Roman"/>
          <w:sz w:val="24"/>
          <w:szCs w:val="24"/>
        </w:rPr>
        <w:t xml:space="preserve"> ¿Abducción? </w:t>
      </w:r>
      <w:r>
        <w:rPr>
          <w:rFonts w:ascii="Times New Roman" w:hAnsi="Times New Roman" w:cs="Times New Roman"/>
          <w:sz w:val="24"/>
          <w:szCs w:val="24"/>
        </w:rPr>
        <w:t>¿Adicción? ¿Mimetismo? ¿Inercia? ¿Connivencia?</w:t>
      </w:r>
      <w:r w:rsidR="0043706E">
        <w:rPr>
          <w:rFonts w:ascii="Times New Roman" w:hAnsi="Times New Roman" w:cs="Times New Roman"/>
          <w:sz w:val="24"/>
          <w:szCs w:val="24"/>
        </w:rPr>
        <w:t xml:space="preserve"> ¿Síndrome de Estoco</w:t>
      </w:r>
      <w:r w:rsidR="00A67759">
        <w:rPr>
          <w:rFonts w:ascii="Times New Roman" w:hAnsi="Times New Roman" w:cs="Times New Roman"/>
          <w:sz w:val="24"/>
          <w:szCs w:val="24"/>
        </w:rPr>
        <w:t xml:space="preserve">lmo? </w:t>
      </w:r>
      <w:r w:rsidR="0043706E">
        <w:rPr>
          <w:rFonts w:ascii="Times New Roman" w:hAnsi="Times New Roman" w:cs="Times New Roman"/>
          <w:sz w:val="24"/>
          <w:szCs w:val="24"/>
        </w:rPr>
        <w:t>¿Influencia del poder blando?</w:t>
      </w:r>
      <w:r w:rsidR="00A67759">
        <w:rPr>
          <w:rFonts w:ascii="Times New Roman" w:hAnsi="Times New Roman" w:cs="Times New Roman"/>
          <w:sz w:val="24"/>
          <w:szCs w:val="24"/>
        </w:rPr>
        <w:t xml:space="preserve"> ¿Complejo de inferioridad? ¿Aguerridos perdedores?</w:t>
      </w:r>
      <w:r w:rsidR="0043706E">
        <w:rPr>
          <w:rFonts w:ascii="Times New Roman" w:hAnsi="Times New Roman" w:cs="Times New Roman"/>
          <w:sz w:val="24"/>
          <w:szCs w:val="24"/>
        </w:rPr>
        <w:t>...</w:t>
      </w:r>
    </w:p>
    <w:p w:rsidR="0043706E" w:rsidRDefault="0043706E"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tiempo pasa… y la correlación (Dow Jones, S&amp;P 500, Nikkei 225), se mantiene. </w:t>
      </w:r>
    </w:p>
    <w:p w:rsidR="0043706E" w:rsidRDefault="0043706E"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¿Está siendo el inversor racion</w:t>
      </w:r>
      <w:r w:rsidR="007C01C5">
        <w:rPr>
          <w:rFonts w:ascii="Times New Roman" w:hAnsi="Times New Roman" w:cs="Times New Roman"/>
          <w:sz w:val="24"/>
          <w:szCs w:val="24"/>
        </w:rPr>
        <w:t>al? ¿Se informa adecuadamente? ¿Utiliza los sistemas</w:t>
      </w:r>
      <w:r>
        <w:rPr>
          <w:rFonts w:ascii="Times New Roman" w:hAnsi="Times New Roman" w:cs="Times New Roman"/>
          <w:sz w:val="24"/>
          <w:szCs w:val="24"/>
        </w:rPr>
        <w:t xml:space="preserve"> de análisis correctamente? ¿Emplea un método de decisión objetivo?</w:t>
      </w:r>
      <w:r w:rsidR="007C01C5">
        <w:rPr>
          <w:rFonts w:ascii="Times New Roman" w:hAnsi="Times New Roman" w:cs="Times New Roman"/>
          <w:sz w:val="24"/>
          <w:szCs w:val="24"/>
        </w:rPr>
        <w:t xml:space="preserve"> ¿Evalúa las alternativas de inversión con lógica?</w:t>
      </w:r>
      <w:r w:rsidR="006627D0">
        <w:rPr>
          <w:rFonts w:ascii="Times New Roman" w:hAnsi="Times New Roman" w:cs="Times New Roman"/>
          <w:sz w:val="24"/>
          <w:szCs w:val="24"/>
        </w:rPr>
        <w:t xml:space="preserve"> ¿Sabe dónde está metiendo su dinero? ¿Solo invierte en neg</w:t>
      </w:r>
      <w:r w:rsidR="00A67759">
        <w:rPr>
          <w:rFonts w:ascii="Times New Roman" w:hAnsi="Times New Roman" w:cs="Times New Roman"/>
          <w:sz w:val="24"/>
          <w:szCs w:val="24"/>
        </w:rPr>
        <w:t>ocios que puede entender, o se</w:t>
      </w:r>
      <w:r>
        <w:rPr>
          <w:rFonts w:ascii="Times New Roman" w:hAnsi="Times New Roman" w:cs="Times New Roman"/>
          <w:sz w:val="24"/>
          <w:szCs w:val="24"/>
        </w:rPr>
        <w:t xml:space="preserve"> deja guiar por</w:t>
      </w:r>
      <w:r w:rsidR="007C01C5">
        <w:rPr>
          <w:rFonts w:ascii="Times New Roman" w:hAnsi="Times New Roman" w:cs="Times New Roman"/>
          <w:sz w:val="24"/>
          <w:szCs w:val="24"/>
        </w:rPr>
        <w:t xml:space="preserve"> el consejo de (supuestos) expertos financieros? ¿Sigue la moda? ¿Imita el comportamiento de la mayoría?</w:t>
      </w:r>
      <w:r w:rsidR="006627D0">
        <w:rPr>
          <w:rFonts w:ascii="Times New Roman" w:hAnsi="Times New Roman" w:cs="Times New Roman"/>
          <w:sz w:val="24"/>
          <w:szCs w:val="24"/>
        </w:rPr>
        <w:t>...</w:t>
      </w:r>
      <w:r w:rsidR="00225D51">
        <w:rPr>
          <w:rFonts w:ascii="Times New Roman" w:hAnsi="Times New Roman" w:cs="Times New Roman"/>
          <w:sz w:val="24"/>
          <w:szCs w:val="24"/>
        </w:rPr>
        <w:t xml:space="preserve"> </w:t>
      </w:r>
      <w:r w:rsidR="006627D0">
        <w:rPr>
          <w:rFonts w:ascii="Times New Roman" w:hAnsi="Times New Roman" w:cs="Times New Roman"/>
          <w:sz w:val="24"/>
          <w:szCs w:val="24"/>
        </w:rPr>
        <w:t xml:space="preserve"> </w:t>
      </w:r>
    </w:p>
    <w:p w:rsidR="006627D0" w:rsidRDefault="006627D0"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Pue</w:t>
      </w:r>
      <w:r w:rsidR="00840122">
        <w:rPr>
          <w:rFonts w:ascii="Times New Roman" w:hAnsi="Times New Roman" w:cs="Times New Roman"/>
          <w:sz w:val="24"/>
          <w:szCs w:val="24"/>
        </w:rPr>
        <w:t>de que el tema</w:t>
      </w:r>
      <w:r w:rsidR="00A54C83">
        <w:rPr>
          <w:rFonts w:ascii="Times New Roman" w:hAnsi="Times New Roman" w:cs="Times New Roman"/>
          <w:sz w:val="24"/>
          <w:szCs w:val="24"/>
        </w:rPr>
        <w:t>,</w:t>
      </w:r>
      <w:r w:rsidR="00840122">
        <w:rPr>
          <w:rFonts w:ascii="Times New Roman" w:hAnsi="Times New Roman" w:cs="Times New Roman"/>
          <w:sz w:val="24"/>
          <w:szCs w:val="24"/>
        </w:rPr>
        <w:t xml:space="preserve"> que empezó buscando alguna explicación sobre</w:t>
      </w:r>
      <w:r w:rsidR="00A67759">
        <w:rPr>
          <w:rFonts w:ascii="Times New Roman" w:hAnsi="Times New Roman" w:cs="Times New Roman"/>
          <w:sz w:val="24"/>
          <w:szCs w:val="24"/>
        </w:rPr>
        <w:t xml:space="preserve"> una</w:t>
      </w:r>
      <w:r>
        <w:rPr>
          <w:rFonts w:ascii="Times New Roman" w:hAnsi="Times New Roman" w:cs="Times New Roman"/>
          <w:sz w:val="24"/>
          <w:szCs w:val="24"/>
        </w:rPr>
        <w:t xml:space="preserve"> </w:t>
      </w:r>
      <w:r w:rsidR="00840122">
        <w:rPr>
          <w:rFonts w:ascii="Times New Roman" w:hAnsi="Times New Roman" w:cs="Times New Roman"/>
          <w:sz w:val="24"/>
          <w:szCs w:val="24"/>
        </w:rPr>
        <w:t>“</w:t>
      </w:r>
      <w:r>
        <w:rPr>
          <w:rFonts w:ascii="Times New Roman" w:hAnsi="Times New Roman" w:cs="Times New Roman"/>
          <w:sz w:val="24"/>
          <w:szCs w:val="24"/>
        </w:rPr>
        <w:t>correlación extraña</w:t>
      </w:r>
      <w:r w:rsidR="00840122">
        <w:rPr>
          <w:rFonts w:ascii="Times New Roman" w:hAnsi="Times New Roman" w:cs="Times New Roman"/>
          <w:sz w:val="24"/>
          <w:szCs w:val="24"/>
        </w:rPr>
        <w:t>” entre índices</w:t>
      </w:r>
      <w:r>
        <w:rPr>
          <w:rFonts w:ascii="Times New Roman" w:hAnsi="Times New Roman" w:cs="Times New Roman"/>
          <w:sz w:val="24"/>
          <w:szCs w:val="24"/>
        </w:rPr>
        <w:t>, termine sirviendo p</w:t>
      </w:r>
      <w:r w:rsidR="00840122">
        <w:rPr>
          <w:rFonts w:ascii="Times New Roman" w:hAnsi="Times New Roman" w:cs="Times New Roman"/>
          <w:sz w:val="24"/>
          <w:szCs w:val="24"/>
        </w:rPr>
        <w:t>ara cuestionar en su conjunto el</w:t>
      </w:r>
      <w:r>
        <w:rPr>
          <w:rFonts w:ascii="Times New Roman" w:hAnsi="Times New Roman" w:cs="Times New Roman"/>
          <w:sz w:val="24"/>
          <w:szCs w:val="24"/>
        </w:rPr>
        <w:t xml:space="preserve"> método de decisión del ahorrista a la hora de invertir sus recursos en distintos productos fi</w:t>
      </w:r>
      <w:r w:rsidR="00840122">
        <w:rPr>
          <w:rFonts w:ascii="Times New Roman" w:hAnsi="Times New Roman" w:cs="Times New Roman"/>
          <w:sz w:val="24"/>
          <w:szCs w:val="24"/>
        </w:rPr>
        <w:t>n</w:t>
      </w:r>
      <w:r>
        <w:rPr>
          <w:rFonts w:ascii="Times New Roman" w:hAnsi="Times New Roman" w:cs="Times New Roman"/>
          <w:sz w:val="24"/>
          <w:szCs w:val="24"/>
        </w:rPr>
        <w:t>ancieros</w:t>
      </w:r>
      <w:r w:rsidR="00840122">
        <w:rPr>
          <w:rFonts w:ascii="Times New Roman" w:hAnsi="Times New Roman" w:cs="Times New Roman"/>
          <w:sz w:val="24"/>
          <w:szCs w:val="24"/>
        </w:rPr>
        <w:t>.</w:t>
      </w:r>
      <w:r w:rsidR="00A67759">
        <w:rPr>
          <w:rFonts w:ascii="Times New Roman" w:hAnsi="Times New Roman" w:cs="Times New Roman"/>
          <w:sz w:val="24"/>
          <w:szCs w:val="24"/>
        </w:rPr>
        <w:t xml:space="preserve"> Atentos.</w:t>
      </w:r>
    </w:p>
    <w:p w:rsidR="00396E74" w:rsidRPr="00840122" w:rsidRDefault="00840122"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Pero vamos por parte. Primero veamos la “asombrosa” correlación entre el (Dow Jones, S&amp;P 50</w:t>
      </w:r>
      <w:r w:rsidR="00A67759">
        <w:rPr>
          <w:rFonts w:ascii="Times New Roman" w:hAnsi="Times New Roman" w:cs="Times New Roman"/>
          <w:sz w:val="24"/>
          <w:szCs w:val="24"/>
        </w:rPr>
        <w:t>0, Nikkei 225), y luego tratamos</w:t>
      </w:r>
      <w:r>
        <w:rPr>
          <w:rFonts w:ascii="Times New Roman" w:hAnsi="Times New Roman" w:cs="Times New Roman"/>
          <w:sz w:val="24"/>
          <w:szCs w:val="24"/>
        </w:rPr>
        <w:t xml:space="preserve"> de ampliar el tema a otros negocios de la bolsa. Como dicen los “enterados” del sector: “tomemos posiciones”…</w:t>
      </w:r>
    </w:p>
    <w:p w:rsidR="00396E74" w:rsidRDefault="00396E74" w:rsidP="00396E74">
      <w:pPr>
        <w:spacing w:line="240" w:lineRule="auto"/>
        <w:jc w:val="both"/>
        <w:rPr>
          <w:rFonts w:ascii="Times New Roman" w:hAnsi="Times New Roman" w:cs="Times New Roman"/>
          <w:sz w:val="24"/>
          <w:szCs w:val="24"/>
        </w:rPr>
      </w:pPr>
      <w:r w:rsidRPr="00A5500A">
        <w:rPr>
          <w:rFonts w:ascii="Times New Roman" w:hAnsi="Times New Roman" w:cs="Times New Roman"/>
          <w:noProof/>
          <w:sz w:val="24"/>
          <w:szCs w:val="24"/>
          <w:lang w:eastAsia="es-ES"/>
        </w:rPr>
        <w:lastRenderedPageBreak/>
        <w:drawing>
          <wp:inline distT="0" distB="0" distL="0" distR="0" wp14:anchorId="7F3A97CD" wp14:editId="05DE8824">
            <wp:extent cx="5727700" cy="2984500"/>
            <wp:effectExtent l="0" t="0" r="635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2986485"/>
                    </a:xfrm>
                    <a:prstGeom prst="rect">
                      <a:avLst/>
                    </a:prstGeom>
                  </pic:spPr>
                </pic:pic>
              </a:graphicData>
            </a:graphic>
          </wp:inline>
        </w:drawing>
      </w:r>
    </w:p>
    <w:p w:rsidR="00396E74" w:rsidRDefault="00396E74"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(Cierre del día 27/6/25)</w:t>
      </w:r>
    </w:p>
    <w:p w:rsidR="00396E74" w:rsidRDefault="00396E74" w:rsidP="00396E74">
      <w:pPr>
        <w:spacing w:line="240" w:lineRule="auto"/>
        <w:jc w:val="both"/>
        <w:rPr>
          <w:rFonts w:ascii="Times New Roman" w:hAnsi="Times New Roman" w:cs="Times New Roman"/>
          <w:sz w:val="24"/>
          <w:szCs w:val="24"/>
        </w:rPr>
      </w:pPr>
    </w:p>
    <w:p w:rsidR="00396E74" w:rsidRDefault="00396E74" w:rsidP="00396E74">
      <w:pPr>
        <w:spacing w:line="240" w:lineRule="auto"/>
        <w:jc w:val="both"/>
        <w:rPr>
          <w:rFonts w:ascii="Times New Roman" w:hAnsi="Times New Roman" w:cs="Times New Roman"/>
          <w:sz w:val="24"/>
          <w:szCs w:val="24"/>
        </w:rPr>
      </w:pPr>
      <w:r w:rsidRPr="00A5500A">
        <w:rPr>
          <w:rFonts w:ascii="Times New Roman" w:hAnsi="Times New Roman" w:cs="Times New Roman"/>
          <w:noProof/>
          <w:sz w:val="24"/>
          <w:szCs w:val="24"/>
          <w:lang w:eastAsia="es-ES"/>
        </w:rPr>
        <w:drawing>
          <wp:inline distT="0" distB="0" distL="0" distR="0" wp14:anchorId="45197983" wp14:editId="7D576569">
            <wp:extent cx="5728125" cy="2914650"/>
            <wp:effectExtent l="0" t="0" r="635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916372"/>
                    </a:xfrm>
                    <a:prstGeom prst="rect">
                      <a:avLst/>
                    </a:prstGeom>
                  </pic:spPr>
                </pic:pic>
              </a:graphicData>
            </a:graphic>
          </wp:inline>
        </w:drawing>
      </w:r>
    </w:p>
    <w:p w:rsidR="00396E74" w:rsidRDefault="00396E74"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(Cierre del día 30/6/25) </w:t>
      </w:r>
    </w:p>
    <w:p w:rsidR="00396E74" w:rsidRDefault="00396E74" w:rsidP="00396E74">
      <w:pPr>
        <w:spacing w:line="240" w:lineRule="auto"/>
        <w:jc w:val="both"/>
        <w:rPr>
          <w:rFonts w:ascii="Times New Roman" w:hAnsi="Times New Roman" w:cs="Times New Roman"/>
          <w:sz w:val="24"/>
          <w:szCs w:val="24"/>
        </w:rPr>
      </w:pPr>
      <w:r w:rsidRPr="00A41930">
        <w:rPr>
          <w:rFonts w:ascii="Times New Roman" w:hAnsi="Times New Roman" w:cs="Times New Roman"/>
          <w:b/>
          <w:sz w:val="24"/>
          <w:szCs w:val="24"/>
        </w:rPr>
        <w:t>Nota</w:t>
      </w:r>
      <w:r>
        <w:rPr>
          <w:rFonts w:ascii="Times New Roman" w:hAnsi="Times New Roman" w:cs="Times New Roman"/>
          <w:sz w:val="24"/>
          <w:szCs w:val="24"/>
        </w:rPr>
        <w:t>: por la diferencia de horario, el cierre del Nikkei del 30/6, tiene correspondencia con el cierre del Dow Jones del 27/6. Y el cierre del Nikkei de 30/6, se vincula con la apertura del Dow Jones del 30/6.</w:t>
      </w:r>
    </w:p>
    <w:p w:rsidR="00396E74" w:rsidRDefault="00396E74" w:rsidP="00396E74">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(Fuente: The Wall Street Journal - 30/6/25)</w:t>
      </w:r>
    </w:p>
    <w:p w:rsidR="00A41930" w:rsidRDefault="00A41930" w:rsidP="00396E74">
      <w:pPr>
        <w:spacing w:line="240" w:lineRule="auto"/>
        <w:jc w:val="both"/>
        <w:rPr>
          <w:rFonts w:ascii="Times New Roman" w:hAnsi="Times New Roman" w:cs="Times New Roman"/>
          <w:sz w:val="24"/>
          <w:szCs w:val="24"/>
          <w:lang w:val="en-GB"/>
        </w:rPr>
      </w:pPr>
    </w:p>
    <w:p w:rsidR="00A41930" w:rsidRDefault="00A41930" w:rsidP="00396E74">
      <w:pPr>
        <w:spacing w:line="240" w:lineRule="auto"/>
        <w:jc w:val="both"/>
        <w:rPr>
          <w:rFonts w:ascii="Times New Roman" w:hAnsi="Times New Roman" w:cs="Times New Roman"/>
          <w:sz w:val="24"/>
          <w:szCs w:val="24"/>
          <w:lang w:val="en-GB"/>
        </w:rPr>
      </w:pPr>
    </w:p>
    <w:p w:rsidR="00A41930" w:rsidRPr="000516D8" w:rsidRDefault="00A41930" w:rsidP="00396E74">
      <w:pPr>
        <w:spacing w:line="240" w:lineRule="auto"/>
        <w:jc w:val="both"/>
        <w:rPr>
          <w:rFonts w:ascii="Times New Roman" w:hAnsi="Times New Roman" w:cs="Times New Roman"/>
          <w:sz w:val="24"/>
          <w:szCs w:val="24"/>
          <w:lang w:val="en-GB"/>
        </w:rPr>
      </w:pPr>
    </w:p>
    <w:p w:rsidR="00396E74" w:rsidRDefault="00396E74" w:rsidP="00396E74">
      <w:pPr>
        <w:spacing w:line="240" w:lineRule="auto"/>
        <w:jc w:val="both"/>
        <w:rPr>
          <w:rFonts w:ascii="Times New Roman" w:hAnsi="Times New Roman" w:cs="Times New Roman"/>
          <w:sz w:val="24"/>
          <w:szCs w:val="24"/>
        </w:rPr>
      </w:pPr>
      <w:r w:rsidRPr="001F6524">
        <w:rPr>
          <w:rFonts w:ascii="Times New Roman" w:hAnsi="Times New Roman" w:cs="Times New Roman"/>
          <w:sz w:val="24"/>
          <w:szCs w:val="24"/>
        </w:rPr>
        <w:lastRenderedPageBreak/>
        <w:t xml:space="preserve">Evolución del Índice Dow Jones </w:t>
      </w:r>
      <w:r>
        <w:rPr>
          <w:rFonts w:ascii="Times New Roman" w:hAnsi="Times New Roman" w:cs="Times New Roman"/>
          <w:sz w:val="24"/>
          <w:szCs w:val="24"/>
        </w:rPr>
        <w:t>1</w:t>
      </w:r>
      <w:r w:rsidRPr="001F6524">
        <w:rPr>
          <w:rFonts w:ascii="Times New Roman" w:hAnsi="Times New Roman" w:cs="Times New Roman"/>
          <w:sz w:val="24"/>
          <w:szCs w:val="24"/>
        </w:rPr>
        <w:t xml:space="preserve"> </w:t>
      </w:r>
      <w:r>
        <w:rPr>
          <w:rFonts w:ascii="Times New Roman" w:hAnsi="Times New Roman" w:cs="Times New Roman"/>
          <w:sz w:val="24"/>
          <w:szCs w:val="24"/>
        </w:rPr>
        <w:t>año (al 27/6/25)</w:t>
      </w:r>
    </w:p>
    <w:p w:rsidR="00396E74" w:rsidRPr="001F6524" w:rsidRDefault="00396E74" w:rsidP="00396E74">
      <w:pPr>
        <w:spacing w:line="240" w:lineRule="auto"/>
        <w:jc w:val="both"/>
        <w:rPr>
          <w:rFonts w:ascii="Times New Roman" w:hAnsi="Times New Roman" w:cs="Times New Roman"/>
          <w:sz w:val="24"/>
          <w:szCs w:val="24"/>
        </w:rPr>
      </w:pPr>
      <w:r w:rsidRPr="001F6524">
        <w:rPr>
          <w:rFonts w:ascii="Times New Roman" w:hAnsi="Times New Roman" w:cs="Times New Roman"/>
          <w:noProof/>
          <w:sz w:val="24"/>
          <w:szCs w:val="24"/>
          <w:lang w:eastAsia="es-ES"/>
        </w:rPr>
        <w:drawing>
          <wp:inline distT="0" distB="0" distL="0" distR="0" wp14:anchorId="1CDA70A5" wp14:editId="03203B64">
            <wp:extent cx="5731510" cy="1074046"/>
            <wp:effectExtent l="0" t="0" r="254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1074046"/>
                    </a:xfrm>
                    <a:prstGeom prst="rect">
                      <a:avLst/>
                    </a:prstGeom>
                  </pic:spPr>
                </pic:pic>
              </a:graphicData>
            </a:graphic>
          </wp:inline>
        </w:drawing>
      </w:r>
    </w:p>
    <w:p w:rsidR="00396E74" w:rsidRDefault="00396E74" w:rsidP="00396E74">
      <w:pPr>
        <w:spacing w:line="240" w:lineRule="auto"/>
        <w:jc w:val="both"/>
        <w:rPr>
          <w:rFonts w:ascii="Times New Roman" w:hAnsi="Times New Roman" w:cs="Times New Roman"/>
          <w:sz w:val="24"/>
          <w:szCs w:val="24"/>
        </w:rPr>
      </w:pPr>
      <w:r w:rsidRPr="001F6524">
        <w:rPr>
          <w:rFonts w:ascii="Times New Roman" w:hAnsi="Times New Roman" w:cs="Times New Roman"/>
          <w:sz w:val="24"/>
          <w:szCs w:val="24"/>
        </w:rPr>
        <w:t>Evolución del Índ</w:t>
      </w:r>
      <w:r>
        <w:rPr>
          <w:rFonts w:ascii="Times New Roman" w:hAnsi="Times New Roman" w:cs="Times New Roman"/>
          <w:sz w:val="24"/>
          <w:szCs w:val="24"/>
        </w:rPr>
        <w:t>ice S&amp;P 500</w:t>
      </w:r>
      <w:r w:rsidRPr="001F6524">
        <w:rPr>
          <w:rFonts w:ascii="Times New Roman" w:hAnsi="Times New Roman" w:cs="Times New Roman"/>
          <w:sz w:val="24"/>
          <w:szCs w:val="24"/>
        </w:rPr>
        <w:t xml:space="preserve"> </w:t>
      </w:r>
      <w:r>
        <w:rPr>
          <w:rFonts w:ascii="Times New Roman" w:hAnsi="Times New Roman" w:cs="Times New Roman"/>
          <w:sz w:val="24"/>
          <w:szCs w:val="24"/>
        </w:rPr>
        <w:t>1 año</w:t>
      </w:r>
      <w:r w:rsidRPr="001F6524">
        <w:rPr>
          <w:rFonts w:ascii="Times New Roman" w:hAnsi="Times New Roman" w:cs="Times New Roman"/>
          <w:sz w:val="24"/>
          <w:szCs w:val="24"/>
        </w:rPr>
        <w:t xml:space="preserve"> </w:t>
      </w:r>
      <w:r>
        <w:rPr>
          <w:rFonts w:ascii="Times New Roman" w:hAnsi="Times New Roman" w:cs="Times New Roman"/>
          <w:sz w:val="24"/>
          <w:szCs w:val="24"/>
        </w:rPr>
        <w:t>(al 27/6/25)</w:t>
      </w:r>
    </w:p>
    <w:p w:rsidR="00396E74" w:rsidRPr="001F6524" w:rsidRDefault="00396E74" w:rsidP="00396E74">
      <w:pPr>
        <w:spacing w:line="240" w:lineRule="auto"/>
        <w:jc w:val="both"/>
        <w:rPr>
          <w:rFonts w:ascii="Times New Roman" w:hAnsi="Times New Roman" w:cs="Times New Roman"/>
          <w:sz w:val="24"/>
          <w:szCs w:val="24"/>
        </w:rPr>
      </w:pPr>
      <w:r w:rsidRPr="001F6524">
        <w:rPr>
          <w:rFonts w:ascii="Times New Roman" w:hAnsi="Times New Roman" w:cs="Times New Roman"/>
          <w:noProof/>
          <w:sz w:val="24"/>
          <w:szCs w:val="24"/>
          <w:lang w:eastAsia="es-ES"/>
        </w:rPr>
        <w:drawing>
          <wp:inline distT="0" distB="0" distL="0" distR="0" wp14:anchorId="06932FD1" wp14:editId="579E1927">
            <wp:extent cx="5731510" cy="1053839"/>
            <wp:effectExtent l="0" t="0" r="254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1053839"/>
                    </a:xfrm>
                    <a:prstGeom prst="rect">
                      <a:avLst/>
                    </a:prstGeom>
                  </pic:spPr>
                </pic:pic>
              </a:graphicData>
            </a:graphic>
          </wp:inline>
        </w:drawing>
      </w:r>
    </w:p>
    <w:p w:rsidR="00396E74" w:rsidRDefault="00396E74" w:rsidP="00396E74">
      <w:pPr>
        <w:spacing w:line="240" w:lineRule="auto"/>
        <w:jc w:val="both"/>
        <w:rPr>
          <w:rFonts w:ascii="Times New Roman" w:hAnsi="Times New Roman" w:cs="Times New Roman"/>
          <w:sz w:val="24"/>
          <w:szCs w:val="24"/>
        </w:rPr>
      </w:pPr>
    </w:p>
    <w:p w:rsidR="00396E74" w:rsidRPr="001F6524" w:rsidRDefault="00396E74" w:rsidP="00396E74">
      <w:pPr>
        <w:spacing w:line="240" w:lineRule="auto"/>
        <w:jc w:val="both"/>
        <w:rPr>
          <w:rFonts w:ascii="Times New Roman" w:hAnsi="Times New Roman" w:cs="Times New Roman"/>
          <w:sz w:val="24"/>
          <w:szCs w:val="24"/>
        </w:rPr>
      </w:pPr>
      <w:r w:rsidRPr="001F6524">
        <w:rPr>
          <w:rFonts w:ascii="Times New Roman" w:hAnsi="Times New Roman" w:cs="Times New Roman"/>
          <w:sz w:val="24"/>
          <w:szCs w:val="24"/>
        </w:rPr>
        <w:t>Evolución del Índ</w:t>
      </w:r>
      <w:r>
        <w:rPr>
          <w:rFonts w:ascii="Times New Roman" w:hAnsi="Times New Roman" w:cs="Times New Roman"/>
          <w:sz w:val="24"/>
          <w:szCs w:val="24"/>
        </w:rPr>
        <w:t>ice Nikkei 225</w:t>
      </w:r>
      <w:r w:rsidRPr="001F6524">
        <w:rPr>
          <w:rFonts w:ascii="Times New Roman" w:hAnsi="Times New Roman" w:cs="Times New Roman"/>
          <w:sz w:val="24"/>
          <w:szCs w:val="24"/>
        </w:rPr>
        <w:t xml:space="preserve"> </w:t>
      </w:r>
      <w:r>
        <w:rPr>
          <w:rFonts w:ascii="Times New Roman" w:hAnsi="Times New Roman" w:cs="Times New Roman"/>
          <w:sz w:val="24"/>
          <w:szCs w:val="24"/>
        </w:rPr>
        <w:t>1 año</w:t>
      </w:r>
      <w:r w:rsidRPr="001F6524">
        <w:rPr>
          <w:rFonts w:ascii="Times New Roman" w:hAnsi="Times New Roman" w:cs="Times New Roman"/>
          <w:sz w:val="24"/>
          <w:szCs w:val="24"/>
        </w:rPr>
        <w:t xml:space="preserve"> </w:t>
      </w:r>
      <w:r>
        <w:rPr>
          <w:rFonts w:ascii="Times New Roman" w:hAnsi="Times New Roman" w:cs="Times New Roman"/>
          <w:sz w:val="24"/>
          <w:szCs w:val="24"/>
        </w:rPr>
        <w:t>(al 30/6/25)</w:t>
      </w:r>
    </w:p>
    <w:p w:rsidR="00396E74" w:rsidRDefault="00396E74" w:rsidP="00396E74">
      <w:pPr>
        <w:spacing w:line="240" w:lineRule="auto"/>
        <w:jc w:val="both"/>
        <w:rPr>
          <w:rFonts w:ascii="Times New Roman" w:hAnsi="Times New Roman" w:cs="Times New Roman"/>
          <w:sz w:val="24"/>
          <w:szCs w:val="24"/>
          <w:lang w:val="en-GB"/>
        </w:rPr>
      </w:pPr>
      <w:r w:rsidRPr="00A5500A">
        <w:rPr>
          <w:rFonts w:ascii="Times New Roman" w:hAnsi="Times New Roman" w:cs="Times New Roman"/>
          <w:noProof/>
          <w:sz w:val="24"/>
          <w:szCs w:val="24"/>
          <w:lang w:eastAsia="es-ES"/>
        </w:rPr>
        <w:drawing>
          <wp:inline distT="0" distB="0" distL="0" distR="0" wp14:anchorId="6737CECA" wp14:editId="6304FFEF">
            <wp:extent cx="5731510" cy="1096090"/>
            <wp:effectExtent l="0" t="0" r="2540" b="889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1096090"/>
                    </a:xfrm>
                    <a:prstGeom prst="rect">
                      <a:avLst/>
                    </a:prstGeom>
                  </pic:spPr>
                </pic:pic>
              </a:graphicData>
            </a:graphic>
          </wp:inline>
        </w:drawing>
      </w:r>
    </w:p>
    <w:p w:rsidR="004A7CA5" w:rsidRPr="004A7CA5" w:rsidRDefault="004A7CA5" w:rsidP="004A7CA5">
      <w:pPr>
        <w:shd w:val="clear" w:color="auto" w:fill="FFFFFF"/>
        <w:spacing w:line="240" w:lineRule="auto"/>
        <w:jc w:val="both"/>
        <w:textAlignment w:val="baseline"/>
        <w:rPr>
          <w:rFonts w:ascii="Times New Roman" w:hAnsi="Times New Roman" w:cs="Times New Roman"/>
          <w:sz w:val="24"/>
          <w:szCs w:val="24"/>
        </w:rPr>
      </w:pPr>
      <w:r w:rsidRPr="004A7CA5">
        <w:rPr>
          <w:rFonts w:ascii="Times New Roman" w:hAnsi="Times New Roman" w:cs="Times New Roman"/>
          <w:b/>
          <w:sz w:val="24"/>
          <w:szCs w:val="24"/>
        </w:rPr>
        <w:t>Nota</w:t>
      </w:r>
      <w:r w:rsidRPr="004A7CA5">
        <w:rPr>
          <w:rFonts w:ascii="Times New Roman" w:hAnsi="Times New Roman" w:cs="Times New Roman"/>
          <w:sz w:val="24"/>
          <w:szCs w:val="24"/>
        </w:rPr>
        <w:t>: de la observación de los gráficos puede concluirse que el comportamiento de los índices a un año (Dow Jones, S&amp;P 500, Nikkei 225), es bastante parecido.</w:t>
      </w:r>
    </w:p>
    <w:p w:rsidR="00396E74" w:rsidRPr="00840122" w:rsidRDefault="00396E74" w:rsidP="00396E74">
      <w:pPr>
        <w:spacing w:line="240" w:lineRule="auto"/>
        <w:jc w:val="both"/>
        <w:rPr>
          <w:rFonts w:ascii="Times New Roman" w:hAnsi="Times New Roman" w:cs="Times New Roman"/>
          <w:sz w:val="24"/>
          <w:szCs w:val="24"/>
        </w:rPr>
      </w:pPr>
      <w:r w:rsidRPr="00840122">
        <w:rPr>
          <w:rFonts w:ascii="Times New Roman" w:hAnsi="Times New Roman" w:cs="Times New Roman"/>
          <w:sz w:val="24"/>
          <w:szCs w:val="24"/>
        </w:rPr>
        <w:t>Recordemos: Tipos de correlación</w:t>
      </w:r>
    </w:p>
    <w:p w:rsidR="00396E74" w:rsidRPr="00840122" w:rsidRDefault="00396E74" w:rsidP="00396E74">
      <w:pPr>
        <w:spacing w:line="240" w:lineRule="auto"/>
        <w:jc w:val="both"/>
        <w:rPr>
          <w:rFonts w:ascii="Times New Roman" w:hAnsi="Times New Roman" w:cs="Times New Roman"/>
          <w:sz w:val="24"/>
          <w:szCs w:val="24"/>
        </w:rPr>
      </w:pPr>
      <w:r w:rsidRPr="00840122">
        <w:rPr>
          <w:rFonts w:ascii="Times New Roman" w:hAnsi="Times New Roman" w:cs="Times New Roman"/>
          <w:sz w:val="24"/>
          <w:szCs w:val="24"/>
        </w:rPr>
        <w:t>La fuerza de correlación varía de -1 a +1.</w:t>
      </w:r>
    </w:p>
    <w:p w:rsidR="00396E74" w:rsidRPr="00840122" w:rsidRDefault="00396E74" w:rsidP="00396E74">
      <w:pPr>
        <w:spacing w:line="240" w:lineRule="auto"/>
        <w:jc w:val="both"/>
        <w:rPr>
          <w:rFonts w:ascii="Times New Roman" w:hAnsi="Times New Roman" w:cs="Times New Roman"/>
          <w:sz w:val="24"/>
          <w:szCs w:val="24"/>
        </w:rPr>
      </w:pPr>
      <w:r w:rsidRPr="00840122">
        <w:rPr>
          <w:rFonts w:ascii="Times New Roman" w:hAnsi="Times New Roman" w:cs="Times New Roman"/>
          <w:sz w:val="24"/>
          <w:szCs w:val="24"/>
        </w:rPr>
        <w:t>Correlación positiva</w:t>
      </w:r>
    </w:p>
    <w:p w:rsidR="00396E74" w:rsidRPr="00840122" w:rsidRDefault="00396E74" w:rsidP="00396E74">
      <w:pPr>
        <w:spacing w:line="240" w:lineRule="auto"/>
        <w:jc w:val="both"/>
        <w:rPr>
          <w:rFonts w:ascii="Times New Roman" w:hAnsi="Times New Roman" w:cs="Times New Roman"/>
          <w:sz w:val="24"/>
          <w:szCs w:val="24"/>
        </w:rPr>
      </w:pPr>
      <w:r w:rsidRPr="00840122">
        <w:rPr>
          <w:rFonts w:ascii="Times New Roman" w:hAnsi="Times New Roman" w:cs="Times New Roman"/>
          <w:sz w:val="24"/>
          <w:szCs w:val="24"/>
        </w:rPr>
        <w:t>Una correlación de +1 indica una correlación positiva perfecta, lo que significa que ambas variables se mueven en la misma dirección. En otras palabras, +1 es la correlación positiva más fuerte que se puede encontrar.</w:t>
      </w:r>
    </w:p>
    <w:p w:rsidR="00396E74" w:rsidRPr="00840122" w:rsidRDefault="00396E74" w:rsidP="00396E74">
      <w:pPr>
        <w:spacing w:line="240" w:lineRule="auto"/>
        <w:jc w:val="both"/>
        <w:rPr>
          <w:rFonts w:ascii="Times New Roman" w:hAnsi="Times New Roman" w:cs="Times New Roman"/>
          <w:sz w:val="24"/>
          <w:szCs w:val="24"/>
        </w:rPr>
      </w:pPr>
      <w:r w:rsidRPr="00840122">
        <w:rPr>
          <w:rFonts w:ascii="Times New Roman" w:hAnsi="Times New Roman" w:cs="Times New Roman"/>
          <w:sz w:val="24"/>
          <w:szCs w:val="24"/>
        </w:rPr>
        <w:t>Correlación negativa</w:t>
      </w:r>
    </w:p>
    <w:p w:rsidR="00396E74" w:rsidRPr="00840122" w:rsidRDefault="00396E74" w:rsidP="00396E74">
      <w:pPr>
        <w:spacing w:line="240" w:lineRule="auto"/>
        <w:jc w:val="both"/>
        <w:rPr>
          <w:rFonts w:ascii="Times New Roman" w:hAnsi="Times New Roman" w:cs="Times New Roman"/>
          <w:sz w:val="24"/>
          <w:szCs w:val="24"/>
        </w:rPr>
      </w:pPr>
      <w:r w:rsidRPr="00840122">
        <w:rPr>
          <w:rFonts w:ascii="Times New Roman" w:hAnsi="Times New Roman" w:cs="Times New Roman"/>
          <w:sz w:val="24"/>
          <w:szCs w:val="24"/>
        </w:rPr>
        <w:t>Una correlación de -1 indica una correlación negativa perfecta, lo que significa que cuando una variable sube, la otra baja.</w:t>
      </w:r>
    </w:p>
    <w:p w:rsidR="00396E74" w:rsidRPr="00840122" w:rsidRDefault="00396E74" w:rsidP="00396E74">
      <w:pPr>
        <w:spacing w:line="240" w:lineRule="auto"/>
        <w:jc w:val="both"/>
        <w:rPr>
          <w:rFonts w:ascii="Times New Roman" w:hAnsi="Times New Roman" w:cs="Times New Roman"/>
          <w:sz w:val="24"/>
          <w:szCs w:val="24"/>
        </w:rPr>
      </w:pPr>
      <w:r w:rsidRPr="00840122">
        <w:rPr>
          <w:rFonts w:ascii="Times New Roman" w:hAnsi="Times New Roman" w:cs="Times New Roman"/>
          <w:sz w:val="24"/>
          <w:szCs w:val="24"/>
        </w:rPr>
        <w:t>Correlación cero</w:t>
      </w:r>
    </w:p>
    <w:p w:rsidR="00396E74" w:rsidRDefault="00396E74" w:rsidP="00396E74">
      <w:pPr>
        <w:spacing w:line="240" w:lineRule="auto"/>
        <w:jc w:val="both"/>
        <w:rPr>
          <w:rFonts w:ascii="Times New Roman" w:hAnsi="Times New Roman" w:cs="Times New Roman"/>
          <w:sz w:val="24"/>
          <w:szCs w:val="24"/>
        </w:rPr>
      </w:pPr>
      <w:r w:rsidRPr="00840122">
        <w:rPr>
          <w:rFonts w:ascii="Times New Roman" w:hAnsi="Times New Roman" w:cs="Times New Roman"/>
          <w:sz w:val="24"/>
          <w:szCs w:val="24"/>
        </w:rPr>
        <w:t>Una correlación cero sugiere que el estadístico de correlación no indica una relación entre las dos variables. Esto no significa que no exista ninguna relación, sino simplemente que no existe una relación lineal. Una correlación cero suele indicarse mediante la abreviatura r = 0.</w:t>
      </w:r>
    </w:p>
    <w:p w:rsidR="004A7CA5" w:rsidRPr="00840122" w:rsidRDefault="004A7CA5" w:rsidP="00396E74">
      <w:pPr>
        <w:spacing w:line="240" w:lineRule="auto"/>
        <w:jc w:val="both"/>
        <w:rPr>
          <w:rFonts w:ascii="Times New Roman" w:hAnsi="Times New Roman" w:cs="Times New Roman"/>
          <w:sz w:val="24"/>
          <w:szCs w:val="24"/>
        </w:rPr>
      </w:pPr>
    </w:p>
    <w:p w:rsidR="00396E74" w:rsidRPr="003F55F6" w:rsidRDefault="00396E74" w:rsidP="00396E74">
      <w:pPr>
        <w:spacing w:line="240" w:lineRule="auto"/>
        <w:jc w:val="both"/>
        <w:rPr>
          <w:rFonts w:ascii="Times New Roman" w:hAnsi="Times New Roman" w:cs="Times New Roman"/>
          <w:b/>
          <w:sz w:val="24"/>
          <w:szCs w:val="24"/>
        </w:rPr>
      </w:pPr>
      <w:r w:rsidRPr="003F55F6">
        <w:rPr>
          <w:rFonts w:ascii="Times New Roman" w:hAnsi="Times New Roman" w:cs="Times New Roman"/>
          <w:b/>
          <w:sz w:val="24"/>
          <w:szCs w:val="24"/>
        </w:rPr>
        <w:lastRenderedPageBreak/>
        <w:t>Correlaciones ilusorias</w:t>
      </w:r>
    </w:p>
    <w:p w:rsidR="00396E74" w:rsidRPr="003F55F6" w:rsidRDefault="00396E74" w:rsidP="00396E74">
      <w:pPr>
        <w:spacing w:line="240" w:lineRule="auto"/>
        <w:jc w:val="both"/>
        <w:rPr>
          <w:rFonts w:ascii="Times New Roman" w:hAnsi="Times New Roman" w:cs="Times New Roman"/>
          <w:sz w:val="24"/>
          <w:szCs w:val="24"/>
        </w:rPr>
      </w:pPr>
      <w:r w:rsidRPr="003F55F6">
        <w:rPr>
          <w:rFonts w:ascii="Times New Roman" w:hAnsi="Times New Roman" w:cs="Times New Roman"/>
          <w:sz w:val="24"/>
          <w:szCs w:val="24"/>
        </w:rPr>
        <w:t>Una correlación ilusoria es la percepción de una relación entre dos variables cuando en realidad solo existe una relación mínima o nula. Una correlación ilusoria no siempre implica inferir causalidad; también puede implicar inferir una relación entre dos variables cuando no existe ninguna.</w:t>
      </w:r>
    </w:p>
    <w:p w:rsidR="00396E74" w:rsidRPr="003F55F6" w:rsidRDefault="00396E74" w:rsidP="00396E74">
      <w:pPr>
        <w:spacing w:line="240" w:lineRule="auto"/>
        <w:jc w:val="both"/>
        <w:rPr>
          <w:rFonts w:ascii="Times New Roman" w:hAnsi="Times New Roman" w:cs="Times New Roman"/>
          <w:sz w:val="24"/>
          <w:szCs w:val="24"/>
        </w:rPr>
      </w:pPr>
      <w:r w:rsidRPr="003F55F6">
        <w:rPr>
          <w:rFonts w:ascii="Times New Roman" w:hAnsi="Times New Roman" w:cs="Times New Roman"/>
          <w:sz w:val="24"/>
          <w:szCs w:val="24"/>
        </w:rPr>
        <w:t>Por ejemplo, a veces se asume que, dado que dos eventos ocurrieron simultáneamente en un momento del pasado, uno debe ser la causa del otro. Estas correlaciones ilusorias pueden ocurrir tanto en investigaciones científicas como en situaciones del mundo real.</w:t>
      </w:r>
    </w:p>
    <w:p w:rsidR="00BA1ABC" w:rsidRDefault="00396E74" w:rsidP="00396E74">
      <w:pPr>
        <w:spacing w:line="240" w:lineRule="auto"/>
        <w:jc w:val="both"/>
        <w:rPr>
          <w:rFonts w:ascii="Times New Roman" w:hAnsi="Times New Roman" w:cs="Times New Roman"/>
          <w:sz w:val="24"/>
          <w:szCs w:val="24"/>
        </w:rPr>
      </w:pPr>
      <w:r w:rsidRPr="003F55F6">
        <w:rPr>
          <w:rFonts w:ascii="Times New Roman" w:hAnsi="Times New Roman" w:cs="Times New Roman"/>
          <w:sz w:val="24"/>
          <w:szCs w:val="24"/>
        </w:rPr>
        <w:t xml:space="preserve">Los estereotipos son un buen ejemplo de correlaciones ilusorias. Las investigaciones han demostrado que las personas tienden a asumir que ciertos grupos y rasgos se presentan juntos y con frecuencia sobreestiman la fuerza de la asociación entre ambas variables. </w:t>
      </w:r>
    </w:p>
    <w:p w:rsidR="00396E74" w:rsidRPr="00F22383" w:rsidRDefault="00396E74" w:rsidP="00396E74">
      <w:pPr>
        <w:spacing w:line="240" w:lineRule="auto"/>
        <w:jc w:val="both"/>
        <w:rPr>
          <w:rFonts w:ascii="Times New Roman" w:hAnsi="Times New Roman" w:cs="Times New Roman"/>
          <w:sz w:val="24"/>
          <w:szCs w:val="24"/>
          <w:lang w:val="en-GB"/>
        </w:rPr>
      </w:pPr>
      <w:r w:rsidRPr="00F22383">
        <w:rPr>
          <w:rFonts w:ascii="Times New Roman" w:hAnsi="Times New Roman" w:cs="Times New Roman"/>
          <w:sz w:val="24"/>
          <w:szCs w:val="24"/>
          <w:lang w:val="en-GB"/>
        </w:rPr>
        <w:t>S&amp;P 500</w:t>
      </w:r>
    </w:p>
    <w:p w:rsidR="00BA1ABC" w:rsidRPr="00F22383" w:rsidRDefault="00396E74" w:rsidP="00396E74">
      <w:pPr>
        <w:spacing w:line="240" w:lineRule="auto"/>
        <w:jc w:val="both"/>
        <w:rPr>
          <w:rFonts w:ascii="Times New Roman" w:hAnsi="Times New Roman" w:cs="Times New Roman"/>
          <w:sz w:val="24"/>
          <w:szCs w:val="24"/>
          <w:lang w:val="en-GB"/>
        </w:rPr>
      </w:pPr>
      <w:r w:rsidRPr="009A7E41">
        <w:rPr>
          <w:rFonts w:ascii="Times New Roman" w:hAnsi="Times New Roman" w:cs="Times New Roman"/>
          <w:noProof/>
          <w:sz w:val="24"/>
          <w:szCs w:val="24"/>
          <w:lang w:eastAsia="es-ES"/>
        </w:rPr>
        <w:drawing>
          <wp:inline distT="0" distB="0" distL="0" distR="0" wp14:anchorId="51DB6AE2" wp14:editId="69A051FE">
            <wp:extent cx="5731510" cy="1423080"/>
            <wp:effectExtent l="0" t="0" r="2540" b="571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1423080"/>
                    </a:xfrm>
                    <a:prstGeom prst="rect">
                      <a:avLst/>
                    </a:prstGeom>
                  </pic:spPr>
                </pic:pic>
              </a:graphicData>
            </a:graphic>
          </wp:inline>
        </w:drawing>
      </w:r>
      <w:r>
        <w:rPr>
          <w:rFonts w:ascii="Times New Roman" w:hAnsi="Times New Roman" w:cs="Times New Roman"/>
          <w:sz w:val="24"/>
          <w:szCs w:val="24"/>
          <w:lang w:val="en-GB"/>
        </w:rPr>
        <w:t xml:space="preserve">(Fuente: S&amp;P </w:t>
      </w:r>
      <w:r w:rsidRPr="009A7E41">
        <w:rPr>
          <w:rFonts w:ascii="Times New Roman" w:hAnsi="Times New Roman" w:cs="Times New Roman"/>
          <w:sz w:val="24"/>
          <w:szCs w:val="24"/>
          <w:lang w:val="en-GB"/>
        </w:rPr>
        <w:t>Dow Jones I</w:t>
      </w:r>
      <w:r>
        <w:rPr>
          <w:rFonts w:ascii="Times New Roman" w:hAnsi="Times New Roman" w:cs="Times New Roman"/>
          <w:sz w:val="24"/>
          <w:szCs w:val="24"/>
          <w:lang w:val="en-GB"/>
        </w:rPr>
        <w:t>ndi</w:t>
      </w:r>
      <w:r w:rsidR="004A7CA5">
        <w:rPr>
          <w:rFonts w:ascii="Times New Roman" w:hAnsi="Times New Roman" w:cs="Times New Roman"/>
          <w:sz w:val="24"/>
          <w:szCs w:val="24"/>
          <w:lang w:val="en-GB"/>
        </w:rPr>
        <w:t>ces - A division of S&amp;P Global)</w:t>
      </w:r>
    </w:p>
    <w:p w:rsidR="00396E74" w:rsidRPr="009A7E41" w:rsidRDefault="00396E74" w:rsidP="00396E74">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Dow Jones Industrial Average</w:t>
      </w:r>
    </w:p>
    <w:p w:rsidR="00BA1ABC" w:rsidRDefault="00396E74" w:rsidP="00396E74">
      <w:pPr>
        <w:spacing w:line="240" w:lineRule="auto"/>
        <w:jc w:val="both"/>
        <w:rPr>
          <w:rFonts w:ascii="Times New Roman" w:hAnsi="Times New Roman" w:cs="Times New Roman"/>
          <w:sz w:val="24"/>
          <w:szCs w:val="24"/>
          <w:lang w:val="en-GB"/>
        </w:rPr>
      </w:pPr>
      <w:r w:rsidRPr="00F22383">
        <w:rPr>
          <w:rFonts w:ascii="Times New Roman" w:hAnsi="Times New Roman" w:cs="Times New Roman"/>
          <w:noProof/>
          <w:color w:val="FF0000"/>
          <w:sz w:val="24"/>
          <w:szCs w:val="24"/>
          <w:lang w:eastAsia="es-ES"/>
        </w:rPr>
        <w:drawing>
          <wp:inline distT="0" distB="0" distL="0" distR="0" wp14:anchorId="46765AB5" wp14:editId="4582BF00">
            <wp:extent cx="5731510" cy="1475741"/>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1475741"/>
                    </a:xfrm>
                    <a:prstGeom prst="rect">
                      <a:avLst/>
                    </a:prstGeom>
                  </pic:spPr>
                </pic:pic>
              </a:graphicData>
            </a:graphic>
          </wp:inline>
        </w:drawing>
      </w:r>
      <w:r>
        <w:rPr>
          <w:rFonts w:ascii="Times New Roman" w:hAnsi="Times New Roman" w:cs="Times New Roman"/>
          <w:sz w:val="24"/>
          <w:szCs w:val="24"/>
          <w:lang w:val="en-GB"/>
        </w:rPr>
        <w:t xml:space="preserve">(Fuente: S&amp;P </w:t>
      </w:r>
      <w:r w:rsidRPr="009A7E41">
        <w:rPr>
          <w:rFonts w:ascii="Times New Roman" w:hAnsi="Times New Roman" w:cs="Times New Roman"/>
          <w:sz w:val="24"/>
          <w:szCs w:val="24"/>
          <w:lang w:val="en-GB"/>
        </w:rPr>
        <w:t>Dow Jones I</w:t>
      </w:r>
      <w:r>
        <w:rPr>
          <w:rFonts w:ascii="Times New Roman" w:hAnsi="Times New Roman" w:cs="Times New Roman"/>
          <w:sz w:val="24"/>
          <w:szCs w:val="24"/>
          <w:lang w:val="en-GB"/>
        </w:rPr>
        <w:t>ndi</w:t>
      </w:r>
      <w:r w:rsidR="004A7CA5">
        <w:rPr>
          <w:rFonts w:ascii="Times New Roman" w:hAnsi="Times New Roman" w:cs="Times New Roman"/>
          <w:sz w:val="24"/>
          <w:szCs w:val="24"/>
          <w:lang w:val="en-GB"/>
        </w:rPr>
        <w:t>ces - A division of S&amp;P Global)</w:t>
      </w:r>
    </w:p>
    <w:p w:rsidR="00396E74" w:rsidRDefault="00396E74" w:rsidP="00396E74">
      <w:pPr>
        <w:spacing w:line="240" w:lineRule="auto"/>
        <w:jc w:val="both"/>
        <w:rPr>
          <w:rFonts w:ascii="Times New Roman" w:hAnsi="Times New Roman" w:cs="Times New Roman"/>
          <w:sz w:val="24"/>
          <w:szCs w:val="24"/>
          <w:lang w:val="en-GB"/>
        </w:rPr>
      </w:pPr>
      <w:r w:rsidRPr="00E553B6">
        <w:rPr>
          <w:rFonts w:ascii="Times New Roman" w:hAnsi="Times New Roman" w:cs="Times New Roman"/>
          <w:sz w:val="24"/>
          <w:szCs w:val="24"/>
          <w:lang w:val="en-GB"/>
        </w:rPr>
        <w:t>Nikkei 225 Total Return Index</w:t>
      </w:r>
    </w:p>
    <w:p w:rsidR="00396E74" w:rsidRDefault="00396E74" w:rsidP="00396E74">
      <w:pPr>
        <w:spacing w:line="240" w:lineRule="auto"/>
        <w:jc w:val="both"/>
        <w:rPr>
          <w:rFonts w:ascii="Times New Roman" w:hAnsi="Times New Roman" w:cs="Times New Roman"/>
          <w:sz w:val="24"/>
          <w:szCs w:val="24"/>
          <w:lang w:val="en-GB"/>
        </w:rPr>
      </w:pPr>
      <w:r w:rsidRPr="00E553B6">
        <w:rPr>
          <w:rFonts w:ascii="Times New Roman" w:hAnsi="Times New Roman" w:cs="Times New Roman"/>
          <w:noProof/>
          <w:sz w:val="24"/>
          <w:szCs w:val="24"/>
          <w:lang w:eastAsia="es-ES"/>
        </w:rPr>
        <w:drawing>
          <wp:inline distT="0" distB="0" distL="0" distR="0" wp14:anchorId="43E63665" wp14:editId="71C1A0E6">
            <wp:extent cx="5731510" cy="969336"/>
            <wp:effectExtent l="0" t="0" r="2540" b="254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969336"/>
                    </a:xfrm>
                    <a:prstGeom prst="rect">
                      <a:avLst/>
                    </a:prstGeom>
                  </pic:spPr>
                </pic:pic>
              </a:graphicData>
            </a:graphic>
          </wp:inline>
        </w:drawing>
      </w:r>
    </w:p>
    <w:p w:rsidR="00396E74" w:rsidRPr="00840122" w:rsidRDefault="00396E74" w:rsidP="00396E74">
      <w:pPr>
        <w:spacing w:line="240" w:lineRule="auto"/>
        <w:jc w:val="both"/>
        <w:rPr>
          <w:rFonts w:ascii="Times New Roman" w:hAnsi="Times New Roman" w:cs="Times New Roman"/>
          <w:sz w:val="24"/>
          <w:szCs w:val="24"/>
        </w:rPr>
      </w:pPr>
      <w:r w:rsidRPr="00840122">
        <w:rPr>
          <w:rFonts w:ascii="Times New Roman" w:hAnsi="Times New Roman" w:cs="Times New Roman"/>
          <w:sz w:val="24"/>
          <w:szCs w:val="24"/>
        </w:rPr>
        <w:t xml:space="preserve">(Fuente: </w:t>
      </w:r>
      <w:hyperlink r:id="rId16" w:history="1">
        <w:r w:rsidRPr="00840122">
          <w:rPr>
            <w:rStyle w:val="Hipervnculo"/>
            <w:rFonts w:ascii="Times New Roman" w:hAnsi="Times New Roman" w:cs="Times New Roman"/>
            <w:color w:val="auto"/>
            <w:sz w:val="24"/>
            <w:szCs w:val="24"/>
            <w:u w:val="none"/>
          </w:rPr>
          <w:t>https://indexes.nikkei.co.jp/</w:t>
        </w:r>
      </w:hyperlink>
      <w:r w:rsidRPr="00840122">
        <w:rPr>
          <w:rFonts w:ascii="Times New Roman" w:hAnsi="Times New Roman" w:cs="Times New Roman"/>
          <w:sz w:val="24"/>
          <w:szCs w:val="24"/>
        </w:rPr>
        <w:t>)</w:t>
      </w:r>
    </w:p>
    <w:p w:rsidR="00BA1ABC" w:rsidRPr="0043706E" w:rsidRDefault="00BA1ABC" w:rsidP="00396E74">
      <w:pPr>
        <w:spacing w:line="240" w:lineRule="auto"/>
        <w:jc w:val="both"/>
        <w:rPr>
          <w:rFonts w:ascii="Times New Roman" w:hAnsi="Times New Roman" w:cs="Times New Roman"/>
          <w:sz w:val="24"/>
          <w:szCs w:val="24"/>
        </w:rPr>
      </w:pPr>
    </w:p>
    <w:p w:rsidR="004A7CA5" w:rsidRPr="00A67759" w:rsidRDefault="004A7CA5" w:rsidP="00396E74">
      <w:pPr>
        <w:spacing w:line="240" w:lineRule="auto"/>
        <w:jc w:val="both"/>
        <w:rPr>
          <w:rFonts w:ascii="Times New Roman" w:hAnsi="Times New Roman" w:cs="Times New Roman"/>
          <w:sz w:val="24"/>
          <w:szCs w:val="24"/>
        </w:rPr>
      </w:pPr>
    </w:p>
    <w:p w:rsidR="00396E74" w:rsidRPr="004341D6" w:rsidRDefault="00396E74" w:rsidP="00396E74">
      <w:pPr>
        <w:spacing w:line="240" w:lineRule="auto"/>
        <w:jc w:val="both"/>
        <w:rPr>
          <w:rFonts w:ascii="Times New Roman" w:hAnsi="Times New Roman" w:cs="Times New Roman"/>
          <w:sz w:val="24"/>
          <w:szCs w:val="24"/>
          <w:lang w:val="en-GB"/>
        </w:rPr>
      </w:pPr>
      <w:r w:rsidRPr="004341D6">
        <w:rPr>
          <w:rFonts w:ascii="Times New Roman" w:hAnsi="Times New Roman" w:cs="Times New Roman"/>
          <w:sz w:val="24"/>
          <w:szCs w:val="24"/>
          <w:lang w:val="en-GB"/>
        </w:rPr>
        <w:lastRenderedPageBreak/>
        <w:t>Listed Index Fund Nikkei 225 (Mini)</w:t>
      </w:r>
    </w:p>
    <w:p w:rsidR="00396E74" w:rsidRDefault="00396E74" w:rsidP="00396E74">
      <w:pPr>
        <w:spacing w:line="240" w:lineRule="auto"/>
        <w:jc w:val="both"/>
        <w:rPr>
          <w:rFonts w:ascii="Times New Roman" w:hAnsi="Times New Roman" w:cs="Times New Roman"/>
          <w:color w:val="FF0000"/>
          <w:sz w:val="24"/>
          <w:szCs w:val="24"/>
          <w:lang w:val="en-GB"/>
        </w:rPr>
      </w:pPr>
      <w:r w:rsidRPr="00F22383">
        <w:rPr>
          <w:rFonts w:ascii="Times New Roman" w:hAnsi="Times New Roman" w:cs="Times New Roman"/>
          <w:noProof/>
          <w:color w:val="FF0000"/>
          <w:sz w:val="24"/>
          <w:szCs w:val="24"/>
          <w:lang w:eastAsia="es-ES"/>
        </w:rPr>
        <w:drawing>
          <wp:inline distT="0" distB="0" distL="0" distR="0" wp14:anchorId="2C467A16" wp14:editId="26C67270">
            <wp:extent cx="3943901" cy="447737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943901" cy="4477375"/>
                    </a:xfrm>
                    <a:prstGeom prst="rect">
                      <a:avLst/>
                    </a:prstGeom>
                  </pic:spPr>
                </pic:pic>
              </a:graphicData>
            </a:graphic>
          </wp:inline>
        </w:drawing>
      </w:r>
    </w:p>
    <w:p w:rsidR="00396E74" w:rsidRDefault="00396E74" w:rsidP="00396E74">
      <w:pPr>
        <w:spacing w:line="240" w:lineRule="auto"/>
        <w:jc w:val="both"/>
        <w:rPr>
          <w:rFonts w:ascii="Times New Roman" w:hAnsi="Times New Roman" w:cs="Times New Roman"/>
          <w:sz w:val="24"/>
          <w:szCs w:val="24"/>
        </w:rPr>
      </w:pPr>
      <w:r w:rsidRPr="000516D8">
        <w:rPr>
          <w:rFonts w:ascii="Times New Roman" w:hAnsi="Times New Roman" w:cs="Times New Roman"/>
          <w:sz w:val="24"/>
          <w:szCs w:val="24"/>
        </w:rPr>
        <w:t>(Fuente: Yahoo finanzas)</w:t>
      </w:r>
    </w:p>
    <w:p w:rsidR="004A7CA5" w:rsidRPr="000516D8" w:rsidRDefault="004A7CA5"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Tabla comparativa de la rentabilidad total anual del Dow Jones, S&amp;P 500, y Nikkei 225</w:t>
      </w:r>
    </w:p>
    <w:tbl>
      <w:tblPr>
        <w:tblW w:w="4800" w:type="dxa"/>
        <w:tblInd w:w="55" w:type="dxa"/>
        <w:tblCellMar>
          <w:left w:w="70" w:type="dxa"/>
          <w:right w:w="70" w:type="dxa"/>
        </w:tblCellMar>
        <w:tblLook w:val="04A0" w:firstRow="1" w:lastRow="0" w:firstColumn="1" w:lastColumn="0" w:noHBand="0" w:noVBand="1"/>
      </w:tblPr>
      <w:tblGrid>
        <w:gridCol w:w="1200"/>
        <w:gridCol w:w="1200"/>
        <w:gridCol w:w="1200"/>
        <w:gridCol w:w="1200"/>
      </w:tblGrid>
      <w:tr w:rsidR="00AD1FAD" w:rsidRPr="00AD1FAD" w:rsidTr="00AD1FAD">
        <w:trPr>
          <w:trHeight w:val="315"/>
        </w:trPr>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b/>
                <w:bCs/>
                <w:color w:val="000000"/>
                <w:sz w:val="24"/>
                <w:szCs w:val="24"/>
                <w:lang w:eastAsia="es-ES"/>
              </w:rPr>
            </w:pPr>
            <w:r w:rsidRPr="00AD1FAD">
              <w:rPr>
                <w:rFonts w:ascii="Times New Roman" w:eastAsia="Times New Roman" w:hAnsi="Times New Roman" w:cs="Times New Roman"/>
                <w:b/>
                <w:bCs/>
                <w:color w:val="000000"/>
                <w:sz w:val="24"/>
                <w:szCs w:val="24"/>
                <w:lang w:eastAsia="es-ES"/>
              </w:rPr>
              <w:t>Año</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b/>
                <w:bCs/>
                <w:color w:val="000000"/>
                <w:sz w:val="24"/>
                <w:szCs w:val="24"/>
                <w:lang w:eastAsia="es-ES"/>
              </w:rPr>
            </w:pPr>
            <w:r w:rsidRPr="00AD1FAD">
              <w:rPr>
                <w:rFonts w:ascii="Times New Roman" w:eastAsia="Times New Roman" w:hAnsi="Times New Roman" w:cs="Times New Roman"/>
                <w:b/>
                <w:bCs/>
                <w:color w:val="000000"/>
                <w:sz w:val="24"/>
                <w:szCs w:val="24"/>
                <w:lang w:eastAsia="es-ES"/>
              </w:rPr>
              <w:t>Dow Jones</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b/>
                <w:bCs/>
                <w:color w:val="000000"/>
                <w:sz w:val="24"/>
                <w:szCs w:val="24"/>
                <w:lang w:eastAsia="es-ES"/>
              </w:rPr>
            </w:pPr>
            <w:r w:rsidRPr="00AD1FAD">
              <w:rPr>
                <w:rFonts w:ascii="Times New Roman" w:eastAsia="Times New Roman" w:hAnsi="Times New Roman" w:cs="Times New Roman"/>
                <w:b/>
                <w:bCs/>
                <w:color w:val="000000"/>
                <w:sz w:val="24"/>
                <w:szCs w:val="24"/>
                <w:lang w:eastAsia="es-ES"/>
              </w:rPr>
              <w:t>S&amp;P 500</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b/>
                <w:bCs/>
                <w:color w:val="000000"/>
                <w:sz w:val="24"/>
                <w:szCs w:val="24"/>
                <w:lang w:eastAsia="es-ES"/>
              </w:rPr>
            </w:pPr>
            <w:r w:rsidRPr="00AD1FAD">
              <w:rPr>
                <w:rFonts w:ascii="Times New Roman" w:eastAsia="Times New Roman" w:hAnsi="Times New Roman" w:cs="Times New Roman"/>
                <w:b/>
                <w:bCs/>
                <w:color w:val="000000"/>
                <w:sz w:val="24"/>
                <w:szCs w:val="24"/>
                <w:lang w:eastAsia="es-ES"/>
              </w:rPr>
              <w:t>Nikkei 225</w:t>
            </w:r>
          </w:p>
        </w:tc>
      </w:tr>
      <w:tr w:rsidR="00AD1FAD" w:rsidRPr="00AD1FAD" w:rsidTr="00AD1FAD">
        <w:trPr>
          <w:trHeight w:val="315"/>
        </w:trPr>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p>
        </w:tc>
      </w:tr>
      <w:tr w:rsidR="00AD1FAD" w:rsidRPr="00AD1FAD" w:rsidTr="00AD1FAD">
        <w:trPr>
          <w:trHeight w:val="315"/>
        </w:trPr>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2015</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0,21</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1,38</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10,15</w:t>
            </w:r>
          </w:p>
        </w:tc>
      </w:tr>
      <w:tr w:rsidR="00AD1FAD" w:rsidRPr="00AD1FAD" w:rsidTr="00AD1FAD">
        <w:trPr>
          <w:trHeight w:val="315"/>
        </w:trPr>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2016</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16,05</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11,98</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1,34</w:t>
            </w:r>
          </w:p>
        </w:tc>
      </w:tr>
      <w:tr w:rsidR="00AD1FAD" w:rsidRPr="00AD1FAD" w:rsidTr="00AD1FAD">
        <w:trPr>
          <w:trHeight w:val="315"/>
        </w:trPr>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2017</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28,11</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21,83</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20,98</w:t>
            </w:r>
          </w:p>
        </w:tc>
      </w:tr>
      <w:tr w:rsidR="00AD1FAD" w:rsidRPr="00AD1FAD" w:rsidTr="00AD1FAD">
        <w:trPr>
          <w:trHeight w:val="315"/>
        </w:trPr>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2018</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-3,48</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-4,38</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-10,73</w:t>
            </w:r>
          </w:p>
        </w:tc>
      </w:tr>
      <w:tr w:rsidR="00AD1FAD" w:rsidRPr="00AD1FAD" w:rsidTr="00AD1FAD">
        <w:trPr>
          <w:trHeight w:val="315"/>
        </w:trPr>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2019</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25,34</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31,49</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21,17</w:t>
            </w:r>
          </w:p>
        </w:tc>
      </w:tr>
      <w:tr w:rsidR="00AD1FAD" w:rsidRPr="00AD1FAD" w:rsidTr="00AD1FAD">
        <w:trPr>
          <w:trHeight w:val="315"/>
        </w:trPr>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2020</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9,72</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18,4</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17,98</w:t>
            </w:r>
          </w:p>
        </w:tc>
      </w:tr>
      <w:tr w:rsidR="00AD1FAD" w:rsidRPr="00AD1FAD" w:rsidTr="00AD1FAD">
        <w:trPr>
          <w:trHeight w:val="315"/>
        </w:trPr>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2021</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20,95</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28,71</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6,64</w:t>
            </w:r>
          </w:p>
        </w:tc>
      </w:tr>
      <w:tr w:rsidR="00AD1FAD" w:rsidRPr="00AD1FAD" w:rsidTr="00AD1FAD">
        <w:trPr>
          <w:trHeight w:val="315"/>
        </w:trPr>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2022</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-6,86</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-18,11</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-7,84</w:t>
            </w:r>
          </w:p>
        </w:tc>
      </w:tr>
      <w:tr w:rsidR="00AD1FAD" w:rsidRPr="00AD1FAD" w:rsidTr="00AD1FAD">
        <w:trPr>
          <w:trHeight w:val="315"/>
        </w:trPr>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2023</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16,18</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26,29</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30,42</w:t>
            </w:r>
          </w:p>
        </w:tc>
      </w:tr>
      <w:tr w:rsidR="00AD1FAD" w:rsidRPr="00AD1FAD" w:rsidTr="00AD1FAD">
        <w:trPr>
          <w:trHeight w:val="315"/>
        </w:trPr>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2024</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14,99</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25,02</w:t>
            </w:r>
          </w:p>
        </w:tc>
        <w:tc>
          <w:tcPr>
            <w:tcW w:w="1200" w:type="dxa"/>
            <w:tcBorders>
              <w:top w:val="nil"/>
              <w:left w:val="nil"/>
              <w:bottom w:val="nil"/>
              <w:right w:val="nil"/>
            </w:tcBorders>
            <w:shd w:val="clear" w:color="auto" w:fill="auto"/>
            <w:noWrap/>
            <w:vAlign w:val="bottom"/>
            <w:hideMark/>
          </w:tcPr>
          <w:p w:rsidR="00AD1FAD" w:rsidRPr="00AD1FAD" w:rsidRDefault="00AD1FAD" w:rsidP="00AD1FAD">
            <w:pPr>
              <w:spacing w:after="0" w:line="240" w:lineRule="auto"/>
              <w:jc w:val="center"/>
              <w:rPr>
                <w:rFonts w:ascii="Times New Roman" w:eastAsia="Times New Roman" w:hAnsi="Times New Roman" w:cs="Times New Roman"/>
                <w:color w:val="000000"/>
                <w:sz w:val="24"/>
                <w:szCs w:val="24"/>
                <w:lang w:eastAsia="es-ES"/>
              </w:rPr>
            </w:pPr>
            <w:r w:rsidRPr="00AD1FAD">
              <w:rPr>
                <w:rFonts w:ascii="Times New Roman" w:eastAsia="Times New Roman" w:hAnsi="Times New Roman" w:cs="Times New Roman"/>
                <w:color w:val="000000"/>
                <w:sz w:val="24"/>
                <w:szCs w:val="24"/>
                <w:lang w:eastAsia="es-ES"/>
              </w:rPr>
              <w:t>22,07</w:t>
            </w:r>
          </w:p>
        </w:tc>
      </w:tr>
    </w:tbl>
    <w:p w:rsidR="00A67759" w:rsidRDefault="00A67759"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67759">
        <w:rPr>
          <w:rFonts w:ascii="Times New Roman" w:hAnsi="Times New Roman" w:cs="Times New Roman"/>
          <w:sz w:val="24"/>
          <w:szCs w:val="24"/>
        </w:rPr>
        <w:t>Fuente</w:t>
      </w:r>
      <w:r w:rsidR="004A7CA5" w:rsidRPr="00A67759">
        <w:rPr>
          <w:rFonts w:ascii="Times New Roman" w:hAnsi="Times New Roman" w:cs="Times New Roman"/>
          <w:sz w:val="24"/>
          <w:szCs w:val="24"/>
        </w:rPr>
        <w:t>:</w:t>
      </w:r>
      <w:r w:rsidR="004A7CA5">
        <w:rPr>
          <w:rFonts w:ascii="Times New Roman" w:hAnsi="Times New Roman" w:cs="Times New Roman"/>
          <w:sz w:val="24"/>
          <w:szCs w:val="24"/>
        </w:rPr>
        <w:t xml:space="preserve"> elaboración propia</w:t>
      </w:r>
      <w:r>
        <w:rPr>
          <w:rFonts w:ascii="Times New Roman" w:hAnsi="Times New Roman" w:cs="Times New Roman"/>
          <w:sz w:val="24"/>
          <w:szCs w:val="24"/>
        </w:rPr>
        <w:t xml:space="preserve"> en base a los datos anteriores)</w:t>
      </w:r>
    </w:p>
    <w:p w:rsidR="00396E74" w:rsidRPr="000516D8" w:rsidRDefault="00A67759"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No</w:t>
      </w:r>
      <w:r w:rsidR="00BC0D33">
        <w:rPr>
          <w:rFonts w:ascii="Times New Roman" w:hAnsi="Times New Roman" w:cs="Times New Roman"/>
          <w:sz w:val="24"/>
          <w:szCs w:val="24"/>
        </w:rPr>
        <w:t>ta: en el período observado, hay 6 años con alta correlación, y 4 años con baja correlación.</w:t>
      </w:r>
      <w:r w:rsidR="004A7CA5">
        <w:rPr>
          <w:rFonts w:ascii="Times New Roman" w:hAnsi="Times New Roman" w:cs="Times New Roman"/>
          <w:sz w:val="24"/>
          <w:szCs w:val="24"/>
        </w:rPr>
        <w:t xml:space="preserve"> </w:t>
      </w:r>
    </w:p>
    <w:p w:rsidR="00AD1FAD" w:rsidRPr="00E74849" w:rsidRDefault="00E74849" w:rsidP="00396E74">
      <w:pPr>
        <w:spacing w:line="240" w:lineRule="auto"/>
        <w:jc w:val="both"/>
        <w:rPr>
          <w:rFonts w:ascii="Times New Roman" w:hAnsi="Times New Roman" w:cs="Times New Roman"/>
          <w:sz w:val="24"/>
          <w:szCs w:val="24"/>
        </w:rPr>
      </w:pPr>
      <w:r w:rsidRPr="00E74849">
        <w:rPr>
          <w:rFonts w:ascii="Times New Roman" w:hAnsi="Times New Roman" w:cs="Times New Roman"/>
          <w:sz w:val="24"/>
          <w:szCs w:val="24"/>
        </w:rPr>
        <w:t>Ahora, pasemos</w:t>
      </w:r>
      <w:r>
        <w:rPr>
          <w:rFonts w:ascii="Times New Roman" w:hAnsi="Times New Roman" w:cs="Times New Roman"/>
          <w:sz w:val="24"/>
          <w:szCs w:val="24"/>
        </w:rPr>
        <w:t xml:space="preserve"> a ver qué opinan “los que saben”, sobre la correlación entre índices.</w:t>
      </w:r>
    </w:p>
    <w:p w:rsidR="00BA1ABC" w:rsidRPr="00B218E5" w:rsidRDefault="00BA1ABC" w:rsidP="00BA1ABC">
      <w:pPr>
        <w:spacing w:line="240" w:lineRule="auto"/>
        <w:jc w:val="both"/>
        <w:rPr>
          <w:rFonts w:ascii="Times New Roman" w:hAnsi="Times New Roman" w:cs="Times New Roman"/>
          <w:b/>
          <w:sz w:val="24"/>
          <w:szCs w:val="24"/>
        </w:rPr>
      </w:pPr>
      <w:r w:rsidRPr="00B218E5">
        <w:rPr>
          <w:rFonts w:ascii="Times New Roman" w:hAnsi="Times New Roman" w:cs="Times New Roman"/>
          <w:b/>
          <w:sz w:val="24"/>
          <w:szCs w:val="24"/>
        </w:rPr>
        <w:lastRenderedPageBreak/>
        <w:t xml:space="preserve">- </w:t>
      </w:r>
      <w:r w:rsidR="00BC0D33" w:rsidRPr="00B218E5">
        <w:rPr>
          <w:rFonts w:ascii="Times New Roman" w:hAnsi="Times New Roman" w:cs="Times New Roman"/>
          <w:b/>
          <w:sz w:val="24"/>
          <w:szCs w:val="24"/>
        </w:rPr>
        <w:t>Una visita a “</w:t>
      </w:r>
      <w:r w:rsidR="00A41930" w:rsidRPr="00B218E5">
        <w:rPr>
          <w:rFonts w:ascii="Times New Roman" w:hAnsi="Times New Roman" w:cs="Times New Roman"/>
          <w:b/>
          <w:sz w:val="24"/>
          <w:szCs w:val="24"/>
        </w:rPr>
        <w:t>San Goo</w:t>
      </w:r>
      <w:r w:rsidR="00BC0D33" w:rsidRPr="00B218E5">
        <w:rPr>
          <w:rFonts w:ascii="Times New Roman" w:hAnsi="Times New Roman" w:cs="Times New Roman"/>
          <w:b/>
          <w:sz w:val="24"/>
          <w:szCs w:val="24"/>
        </w:rPr>
        <w:t>gle”</w:t>
      </w:r>
      <w:r w:rsidRPr="00B218E5">
        <w:rPr>
          <w:rFonts w:ascii="Times New Roman" w:hAnsi="Times New Roman" w:cs="Times New Roman"/>
          <w:b/>
          <w:sz w:val="24"/>
          <w:szCs w:val="24"/>
        </w:rPr>
        <w:t xml:space="preserve">, buscando la opinión de </w:t>
      </w:r>
      <w:r w:rsidR="00BC0D33" w:rsidRPr="00B218E5">
        <w:rPr>
          <w:rFonts w:ascii="Times New Roman" w:hAnsi="Times New Roman" w:cs="Times New Roman"/>
          <w:b/>
          <w:sz w:val="24"/>
          <w:szCs w:val="24"/>
        </w:rPr>
        <w:t>“</w:t>
      </w:r>
      <w:r w:rsidRPr="00B218E5">
        <w:rPr>
          <w:rFonts w:ascii="Times New Roman" w:hAnsi="Times New Roman" w:cs="Times New Roman"/>
          <w:b/>
          <w:sz w:val="24"/>
          <w:szCs w:val="24"/>
        </w:rPr>
        <w:t>los que saben</w:t>
      </w:r>
      <w:r w:rsidR="00BC0D33" w:rsidRPr="00B218E5">
        <w:rPr>
          <w:rFonts w:ascii="Times New Roman" w:hAnsi="Times New Roman" w:cs="Times New Roman"/>
          <w:b/>
          <w:sz w:val="24"/>
          <w:szCs w:val="24"/>
        </w:rPr>
        <w:t>”</w:t>
      </w:r>
      <w:r w:rsidR="00A41930" w:rsidRPr="00B218E5">
        <w:rPr>
          <w:rFonts w:ascii="Times New Roman" w:hAnsi="Times New Roman" w:cs="Times New Roman"/>
          <w:b/>
          <w:sz w:val="24"/>
          <w:szCs w:val="24"/>
        </w:rPr>
        <w:t xml:space="preserve"> (o eso se supone)</w:t>
      </w:r>
    </w:p>
    <w:p w:rsidR="00396E74" w:rsidRPr="00B218E5" w:rsidRDefault="00396E74" w:rsidP="00396E74">
      <w:pPr>
        <w:spacing w:line="240" w:lineRule="auto"/>
        <w:jc w:val="both"/>
        <w:rPr>
          <w:rFonts w:ascii="Times New Roman" w:hAnsi="Times New Roman" w:cs="Times New Roman"/>
          <w:b/>
          <w:sz w:val="24"/>
          <w:szCs w:val="24"/>
        </w:rPr>
      </w:pPr>
      <w:r w:rsidRPr="00B218E5">
        <w:rPr>
          <w:rFonts w:ascii="Times New Roman" w:hAnsi="Times New Roman" w:cs="Times New Roman"/>
          <w:b/>
          <w:sz w:val="24"/>
          <w:szCs w:val="24"/>
        </w:rPr>
        <w:t>La correlación entre el Nikkei y otros índices bursátiles importantes</w:t>
      </w:r>
    </w:p>
    <w:p w:rsidR="00396E74" w:rsidRPr="00C512B3" w:rsidRDefault="00396E74"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Faster Capital) </w:t>
      </w:r>
    </w:p>
    <w:p w:rsidR="00396E74" w:rsidRPr="00B218E5" w:rsidRDefault="00396E74" w:rsidP="00396E74">
      <w:pPr>
        <w:spacing w:line="240" w:lineRule="auto"/>
        <w:jc w:val="both"/>
        <w:rPr>
          <w:rFonts w:ascii="Times New Roman" w:hAnsi="Times New Roman" w:cs="Times New Roman"/>
          <w:sz w:val="24"/>
          <w:szCs w:val="24"/>
        </w:rPr>
      </w:pPr>
      <w:r w:rsidRPr="00B218E5">
        <w:rPr>
          <w:rFonts w:ascii="Times New Roman" w:hAnsi="Times New Roman" w:cs="Times New Roman"/>
          <w:sz w:val="24"/>
          <w:szCs w:val="24"/>
        </w:rPr>
        <w:t>El Nikkei es un índice bursátil importante en Japón que es seguido de cerca por inversores de todo el mundo. Como tal, es importante comprender cómo se correlaciona el Nikkei con otros índices bursátiles importantes para poder comprender mejor las tendencias del mercado global.</w:t>
      </w:r>
    </w:p>
    <w:p w:rsidR="00396E74" w:rsidRPr="00376DA8" w:rsidRDefault="00396E74" w:rsidP="00396E74">
      <w:pPr>
        <w:spacing w:line="240" w:lineRule="auto"/>
        <w:jc w:val="both"/>
        <w:rPr>
          <w:rFonts w:ascii="Times New Roman" w:hAnsi="Times New Roman" w:cs="Times New Roman"/>
          <w:color w:val="FF0000"/>
          <w:sz w:val="24"/>
          <w:szCs w:val="24"/>
        </w:rPr>
      </w:pPr>
      <w:r w:rsidRPr="00376DA8">
        <w:rPr>
          <w:rFonts w:ascii="Times New Roman" w:hAnsi="Times New Roman" w:cs="Times New Roman"/>
          <w:color w:val="FF0000"/>
          <w:sz w:val="24"/>
          <w:szCs w:val="24"/>
        </w:rPr>
        <w:t>1. Correlación con el S&amp;P 500</w:t>
      </w:r>
    </w:p>
    <w:p w:rsidR="00396E74" w:rsidRPr="00557E5E" w:rsidRDefault="00396E74" w:rsidP="00396E74">
      <w:pPr>
        <w:spacing w:line="240" w:lineRule="auto"/>
        <w:jc w:val="both"/>
        <w:rPr>
          <w:rFonts w:ascii="Times New Roman" w:hAnsi="Times New Roman" w:cs="Times New Roman"/>
          <w:color w:val="FF0000"/>
          <w:sz w:val="24"/>
          <w:szCs w:val="24"/>
        </w:rPr>
      </w:pPr>
      <w:r w:rsidRPr="00C512B3">
        <w:rPr>
          <w:rFonts w:ascii="Times New Roman" w:hAnsi="Times New Roman" w:cs="Times New Roman"/>
          <w:sz w:val="24"/>
          <w:szCs w:val="24"/>
        </w:rPr>
        <w:t xml:space="preserve">El S&amp;P 500 es uno de los índices bursátiles más seguidos en los Estados Unidos y, a menudo, se utiliza como punto de referencia para el desempeño del mercado de valores estadounidense. </w:t>
      </w:r>
      <w:r w:rsidRPr="00557E5E">
        <w:rPr>
          <w:rFonts w:ascii="Times New Roman" w:hAnsi="Times New Roman" w:cs="Times New Roman"/>
          <w:color w:val="FF0000"/>
          <w:sz w:val="24"/>
          <w:szCs w:val="24"/>
        </w:rPr>
        <w:t>Históricamente, el Nikkei ha tenido una baja correlación con el S&amp;P 500, lo que significa que los dos índices tienden a moverse de forma independiente el uno del otro. Sin embargo, esta correlación ha aumentado en los últimos años, a medida que los factores económicos globales se han entrelazado más. Por ejemplo, durante la pandemia de COVID-19, tanto el Nikkei como el S&amp;P 500 experimentaron caídas significativas a medida que los inversores reaccionaron al impacto económico del virus.</w:t>
      </w:r>
    </w:p>
    <w:p w:rsidR="00396E74" w:rsidRPr="00376DA8" w:rsidRDefault="00396E74" w:rsidP="00396E74">
      <w:pPr>
        <w:spacing w:line="240" w:lineRule="auto"/>
        <w:jc w:val="both"/>
        <w:rPr>
          <w:rFonts w:ascii="Times New Roman" w:hAnsi="Times New Roman" w:cs="Times New Roman"/>
          <w:color w:val="FF0000"/>
          <w:sz w:val="24"/>
          <w:szCs w:val="24"/>
        </w:rPr>
      </w:pPr>
      <w:r w:rsidRPr="00376DA8">
        <w:rPr>
          <w:rFonts w:ascii="Times New Roman" w:hAnsi="Times New Roman" w:cs="Times New Roman"/>
          <w:color w:val="FF0000"/>
          <w:sz w:val="24"/>
          <w:szCs w:val="24"/>
        </w:rPr>
        <w:t>2. Correlación con el FTSE 100</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xml:space="preserve">El FTSE 100 es el principal índice bursátil del Reino Unido y a menudo se utiliza como barómetro de la salud de la economía británica. </w:t>
      </w:r>
      <w:r w:rsidRPr="00557E5E">
        <w:rPr>
          <w:rFonts w:ascii="Times New Roman" w:hAnsi="Times New Roman" w:cs="Times New Roman"/>
          <w:color w:val="FF0000"/>
          <w:sz w:val="24"/>
          <w:szCs w:val="24"/>
        </w:rPr>
        <w:t>Históricamente, el Nikkei ha tenido una baja correlación con el FTSE 100, ya que las dos economías han tenido vínculos económicos directos limitados. Sin embargo, esta correlación ha aumentado en los últimos años, a medida que la economía global se ha vuelto más interconectada</w:t>
      </w:r>
      <w:r w:rsidRPr="00C512B3">
        <w:rPr>
          <w:rFonts w:ascii="Times New Roman" w:hAnsi="Times New Roman" w:cs="Times New Roman"/>
          <w:sz w:val="24"/>
          <w:szCs w:val="24"/>
        </w:rPr>
        <w:t>. Por ejemplo, ambos índices se vieron afectados por la votación del Brexit en 2016, cuando los inversores reaccionaron ante la incertidumbre que rodea la futura relación del Re</w:t>
      </w:r>
      <w:r>
        <w:rPr>
          <w:rFonts w:ascii="Times New Roman" w:hAnsi="Times New Roman" w:cs="Times New Roman"/>
          <w:sz w:val="24"/>
          <w:szCs w:val="24"/>
        </w:rPr>
        <w:t>ino Unido con la Unión Europea.</w:t>
      </w:r>
    </w:p>
    <w:p w:rsidR="00396E74" w:rsidRPr="00376DA8" w:rsidRDefault="00396E74" w:rsidP="00396E74">
      <w:pPr>
        <w:spacing w:line="240" w:lineRule="auto"/>
        <w:jc w:val="both"/>
        <w:rPr>
          <w:rFonts w:ascii="Times New Roman" w:hAnsi="Times New Roman" w:cs="Times New Roman"/>
          <w:color w:val="FF0000"/>
          <w:sz w:val="24"/>
          <w:szCs w:val="24"/>
        </w:rPr>
      </w:pPr>
      <w:r w:rsidRPr="00376DA8">
        <w:rPr>
          <w:rFonts w:ascii="Times New Roman" w:hAnsi="Times New Roman" w:cs="Times New Roman"/>
          <w:color w:val="FF0000"/>
          <w:sz w:val="24"/>
          <w:szCs w:val="24"/>
        </w:rPr>
        <w:t>3. Correlación con el índice Hang Seng</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xml:space="preserve">El índice Hang Seng es el principal índice bursátil de Hong Kong y a menudo se utiliza como punto de referencia para el desempeño de la economía china. </w:t>
      </w:r>
      <w:r w:rsidRPr="00557E5E">
        <w:rPr>
          <w:rFonts w:ascii="Times New Roman" w:hAnsi="Times New Roman" w:cs="Times New Roman"/>
          <w:color w:val="FF0000"/>
          <w:sz w:val="24"/>
          <w:szCs w:val="24"/>
        </w:rPr>
        <w:t xml:space="preserve">Históricamente, el Nikkei ha tenido una correlación moderada con el índice Hang Seng, ya que las dos economías tienen importantes vínculos comerciales y son actores importantes en la región de Asia y el Pacífico. </w:t>
      </w:r>
      <w:r w:rsidRPr="00C512B3">
        <w:rPr>
          <w:rFonts w:ascii="Times New Roman" w:hAnsi="Times New Roman" w:cs="Times New Roman"/>
          <w:sz w:val="24"/>
          <w:szCs w:val="24"/>
        </w:rPr>
        <w:t>Por ejemplo, ambos índices se vieron afectados por la guerra comercial entre Estados Unidos y China, cuando los inversores reaccionaron ante el posible impacto en los flujos comerciales y el crec</w:t>
      </w:r>
      <w:r>
        <w:rPr>
          <w:rFonts w:ascii="Times New Roman" w:hAnsi="Times New Roman" w:cs="Times New Roman"/>
          <w:sz w:val="24"/>
          <w:szCs w:val="24"/>
        </w:rPr>
        <w:t>imiento económico de la región.</w:t>
      </w:r>
    </w:p>
    <w:p w:rsidR="00396E74" w:rsidRPr="00376DA8" w:rsidRDefault="00396E74" w:rsidP="00396E74">
      <w:pPr>
        <w:spacing w:line="240" w:lineRule="auto"/>
        <w:jc w:val="both"/>
        <w:rPr>
          <w:rFonts w:ascii="Times New Roman" w:hAnsi="Times New Roman" w:cs="Times New Roman"/>
          <w:color w:val="FF0000"/>
          <w:sz w:val="24"/>
          <w:szCs w:val="24"/>
        </w:rPr>
      </w:pPr>
      <w:r w:rsidRPr="00376DA8">
        <w:rPr>
          <w:rFonts w:ascii="Times New Roman" w:hAnsi="Times New Roman" w:cs="Times New Roman"/>
          <w:color w:val="FF0000"/>
          <w:sz w:val="24"/>
          <w:szCs w:val="24"/>
        </w:rPr>
        <w:t>4. Correlación con otros índices bursátiles asiáticos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xml:space="preserve">El Nikkei también es seguido de cerca por los inversores de otros países asiáticos, en particular aquellos con estrechos vínculos económicos con Japón. Por ejemplo, </w:t>
      </w:r>
      <w:r w:rsidRPr="006D518A">
        <w:rPr>
          <w:rFonts w:ascii="Times New Roman" w:hAnsi="Times New Roman" w:cs="Times New Roman"/>
          <w:color w:val="FF0000"/>
          <w:sz w:val="24"/>
          <w:szCs w:val="24"/>
        </w:rPr>
        <w:t>el Nikkei tiene una alta correlación con el índice KOSPI de Corea del Sur, ya que las dos economías son importantes socios comerciales. De manera similar, el Nikkei tiene una correlación moderada con el índice TAIEX de Taiwán, ya que ambos países son actores importantes en la industria electrónica.</w:t>
      </w:r>
      <w:r w:rsidRPr="00C512B3">
        <w:rPr>
          <w:rFonts w:ascii="Times New Roman" w:hAnsi="Times New Roman" w:cs="Times New Roman"/>
          <w:sz w:val="24"/>
          <w:szCs w:val="24"/>
        </w:rPr>
        <w:t xml:space="preserve"> Comprender estas correlaciones puede resultar útil para los inversores que buscan diversificar sus carteras en</w:t>
      </w:r>
      <w:r>
        <w:rPr>
          <w:rFonts w:ascii="Times New Roman" w:hAnsi="Times New Roman" w:cs="Times New Roman"/>
          <w:sz w:val="24"/>
          <w:szCs w:val="24"/>
        </w:rPr>
        <w:t xml:space="preserve"> diferentes regiones del mundo.</w:t>
      </w:r>
    </w:p>
    <w:p w:rsidR="00396E74" w:rsidRPr="00557E5E" w:rsidRDefault="00396E74" w:rsidP="00396E74">
      <w:pPr>
        <w:spacing w:line="240" w:lineRule="auto"/>
        <w:jc w:val="both"/>
        <w:rPr>
          <w:rFonts w:ascii="Times New Roman" w:hAnsi="Times New Roman" w:cs="Times New Roman"/>
          <w:color w:val="FF0000"/>
          <w:sz w:val="24"/>
          <w:szCs w:val="24"/>
        </w:rPr>
      </w:pPr>
      <w:r w:rsidRPr="00557E5E">
        <w:rPr>
          <w:rFonts w:ascii="Times New Roman" w:hAnsi="Times New Roman" w:cs="Times New Roman"/>
          <w:color w:val="FF0000"/>
          <w:sz w:val="24"/>
          <w:szCs w:val="24"/>
        </w:rPr>
        <w:lastRenderedPageBreak/>
        <w:t>En general, la correlación entre el Nikkei y otros índices bursátiles importantes varía según una variedad de factores económicos y geopolíticos. Si bien no existe una manera perfecta de predecir cómo evolucionarán estas correlaciones con el tiempo, comprenderlas puede ser una herramienta útil para los inversores que buscan tomar decisiones informadas sobre sus carteras.</w:t>
      </w:r>
    </w:p>
    <w:p w:rsidR="00396E74" w:rsidRPr="00376DA8" w:rsidRDefault="00396E74" w:rsidP="00396E74">
      <w:pPr>
        <w:spacing w:line="240" w:lineRule="auto"/>
        <w:jc w:val="both"/>
        <w:rPr>
          <w:rFonts w:ascii="Times New Roman" w:hAnsi="Times New Roman" w:cs="Times New Roman"/>
          <w:color w:val="FF0000"/>
          <w:sz w:val="24"/>
          <w:szCs w:val="24"/>
        </w:rPr>
      </w:pPr>
      <w:r w:rsidRPr="00376DA8">
        <w:rPr>
          <w:rFonts w:ascii="Times New Roman" w:hAnsi="Times New Roman" w:cs="Times New Roman"/>
          <w:color w:val="FF0000"/>
          <w:sz w:val="24"/>
          <w:szCs w:val="24"/>
        </w:rPr>
        <w:t>2.</w:t>
      </w:r>
      <w:r>
        <w:rPr>
          <w:rFonts w:ascii="Times New Roman" w:hAnsi="Times New Roman" w:cs="Times New Roman"/>
          <w:color w:val="FF0000"/>
          <w:sz w:val="24"/>
          <w:szCs w:val="24"/>
        </w:rPr>
        <w:t xml:space="preserve"> </w:t>
      </w:r>
      <w:r w:rsidRPr="00376DA8">
        <w:rPr>
          <w:rFonts w:ascii="Times New Roman" w:hAnsi="Times New Roman" w:cs="Times New Roman"/>
          <w:color w:val="FF0000"/>
          <w:sz w:val="24"/>
          <w:szCs w:val="24"/>
        </w:rPr>
        <w:t>Comparación del Nikkei 225 con otros índices bur</w:t>
      </w:r>
      <w:r>
        <w:rPr>
          <w:rFonts w:ascii="Times New Roman" w:hAnsi="Times New Roman" w:cs="Times New Roman"/>
          <w:color w:val="FF0000"/>
          <w:sz w:val="24"/>
          <w:szCs w:val="24"/>
        </w:rPr>
        <w:t>sátiles mundiales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El Nikkei 225 es el principal índice bursátil de Japón, pero ¿cómo se compara con otros índices bursátiles mundiales? En esta sección, exploraremos las similitudes y diferencias entre el Nikkei 225 y otros índic</w:t>
      </w:r>
      <w:r>
        <w:rPr>
          <w:rFonts w:ascii="Times New Roman" w:hAnsi="Times New Roman" w:cs="Times New Roman"/>
          <w:sz w:val="24"/>
          <w:szCs w:val="24"/>
        </w:rPr>
        <w:t>es destacados de todo el mundo.</w:t>
      </w:r>
    </w:p>
    <w:p w:rsidR="00396E74" w:rsidRPr="00B218E5" w:rsidRDefault="00396E74" w:rsidP="00396E74">
      <w:pPr>
        <w:spacing w:line="240" w:lineRule="auto"/>
        <w:jc w:val="both"/>
        <w:rPr>
          <w:rFonts w:ascii="Times New Roman" w:hAnsi="Times New Roman" w:cs="Times New Roman"/>
          <w:color w:val="FF0000"/>
          <w:sz w:val="24"/>
          <w:szCs w:val="24"/>
        </w:rPr>
      </w:pPr>
      <w:r w:rsidRPr="00B218E5">
        <w:rPr>
          <w:rFonts w:ascii="Times New Roman" w:hAnsi="Times New Roman" w:cs="Times New Roman"/>
          <w:color w:val="FF0000"/>
          <w:sz w:val="24"/>
          <w:szCs w:val="24"/>
        </w:rPr>
        <w:t>1. S&amp;P 500</w:t>
      </w:r>
    </w:p>
    <w:p w:rsidR="00396E74" w:rsidRPr="006D518A" w:rsidRDefault="00396E74" w:rsidP="00396E74">
      <w:pPr>
        <w:spacing w:line="240" w:lineRule="auto"/>
        <w:jc w:val="both"/>
        <w:rPr>
          <w:rFonts w:ascii="Times New Roman" w:hAnsi="Times New Roman" w:cs="Times New Roman"/>
          <w:color w:val="FF0000"/>
          <w:sz w:val="24"/>
          <w:szCs w:val="24"/>
        </w:rPr>
      </w:pPr>
      <w:r w:rsidRPr="006D518A">
        <w:rPr>
          <w:rFonts w:ascii="Times New Roman" w:hAnsi="Times New Roman" w:cs="Times New Roman"/>
          <w:color w:val="FF0000"/>
          <w:sz w:val="24"/>
          <w:szCs w:val="24"/>
        </w:rPr>
        <w:t>El S&amp;P 500 es uno de los índices bursátiles más seguidos del mundo y comprende 500 empresas de gran capitalización que cotizan en las bolsas de valores de Estados Unidos. Si bien el Nikkei 225 y el S&amp;P 500 son índices de base amplia que siguen el desempeño de sus respectivos mercados, existen algunas diferencias clave entre los dos. El S&amp;P 500 tiene un número mucho mayor de empresas en su índice, lo que lo hace más diversificado que el Nikkei 225. Además, el S&amp;P 500 está fuertemente inclinado hacia las empresas de tecnología, que han estado impulsando el mercado de valores estadounidense en los últimos años. En cambio, el Nikkei 225 está más equilibrado entre sectores, con una mayor representación de los sectores manufacturero y financiero.</w:t>
      </w:r>
    </w:p>
    <w:p w:rsidR="00396E74" w:rsidRPr="00B218E5" w:rsidRDefault="00396E74" w:rsidP="00396E74">
      <w:pPr>
        <w:spacing w:line="240" w:lineRule="auto"/>
        <w:jc w:val="both"/>
        <w:rPr>
          <w:rFonts w:ascii="Times New Roman" w:hAnsi="Times New Roman" w:cs="Times New Roman"/>
          <w:color w:val="FF0000"/>
          <w:sz w:val="24"/>
          <w:szCs w:val="24"/>
        </w:rPr>
      </w:pPr>
      <w:r w:rsidRPr="00B218E5">
        <w:rPr>
          <w:rFonts w:ascii="Times New Roman" w:hAnsi="Times New Roman" w:cs="Times New Roman"/>
          <w:color w:val="FF0000"/>
          <w:sz w:val="24"/>
          <w:szCs w:val="24"/>
        </w:rPr>
        <w:t>2. FTSE 100</w:t>
      </w:r>
    </w:p>
    <w:p w:rsidR="00396E74" w:rsidRPr="006D518A" w:rsidRDefault="00396E74" w:rsidP="00396E74">
      <w:pPr>
        <w:spacing w:line="240" w:lineRule="auto"/>
        <w:jc w:val="both"/>
        <w:rPr>
          <w:rFonts w:ascii="Times New Roman" w:hAnsi="Times New Roman" w:cs="Times New Roman"/>
          <w:sz w:val="24"/>
          <w:szCs w:val="24"/>
        </w:rPr>
      </w:pPr>
      <w:r w:rsidRPr="006D518A">
        <w:rPr>
          <w:rFonts w:ascii="Times New Roman" w:hAnsi="Times New Roman" w:cs="Times New Roman"/>
          <w:sz w:val="24"/>
          <w:szCs w:val="24"/>
        </w:rPr>
        <w:t>El FTSE 100 es el principal índice bursátil del Reino Unido y comprende las 100 empresas más grandes que cot</w:t>
      </w:r>
      <w:r w:rsidR="006D518A" w:rsidRPr="006D518A">
        <w:rPr>
          <w:rFonts w:ascii="Times New Roman" w:hAnsi="Times New Roman" w:cs="Times New Roman"/>
          <w:sz w:val="24"/>
          <w:szCs w:val="24"/>
        </w:rPr>
        <w:t>izan en la bolsa de Valores de L</w:t>
      </w:r>
      <w:r w:rsidRPr="006D518A">
        <w:rPr>
          <w:rFonts w:ascii="Times New Roman" w:hAnsi="Times New Roman" w:cs="Times New Roman"/>
          <w:sz w:val="24"/>
          <w:szCs w:val="24"/>
        </w:rPr>
        <w:t>ondres. Al igual que el Nikkei 225, el FTSE 100 está fuertemente influenciado por el desempeño de su economía y moneda nacionales. Sin embargo, existen algunas diferencias notables entre los dos índices. El FTSE 100 está más inclinado hacia los sectores de energía y minería, debido al gran número de empresas de recursos naturales que cotizan en la Bolsa de Valores de Londres. Por el contrario, el Nikkei 225 tiene una mayor representación de empresas tecnológicas, que han estado impulsando la economía japonesa en los últimos años.</w:t>
      </w:r>
    </w:p>
    <w:p w:rsidR="00396E74" w:rsidRPr="00B218E5" w:rsidRDefault="00396E74" w:rsidP="00396E74">
      <w:pPr>
        <w:spacing w:line="240" w:lineRule="auto"/>
        <w:jc w:val="both"/>
        <w:rPr>
          <w:rFonts w:ascii="Times New Roman" w:hAnsi="Times New Roman" w:cs="Times New Roman"/>
          <w:color w:val="FF0000"/>
          <w:sz w:val="24"/>
          <w:szCs w:val="24"/>
        </w:rPr>
      </w:pPr>
      <w:r w:rsidRPr="00B218E5">
        <w:rPr>
          <w:rFonts w:ascii="Times New Roman" w:hAnsi="Times New Roman" w:cs="Times New Roman"/>
          <w:color w:val="FF0000"/>
          <w:sz w:val="24"/>
          <w:szCs w:val="24"/>
        </w:rPr>
        <w:t>3. DAX</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El DAX es el principal índice bursátil de Alemania y comprende las 30 empresas más grandes que cotizan en la Bolsa de Frankfurt. Al igual que el Nikkei 225, el DAX está fuertemente influenciado por el desempeño de su economía y moneda nacionales. Sin embargo, existen algunas diferencias notables entre los dos índices. El DAX está fuertemente inclinado hacia los sectores manufacturero y automotriz, debido al gran número de empresas alemanas que producen automóviles y maquinaria industrial. Por el contrario, el Nikkei 225 tiene una mayor representación de empresas financieras, lo que refleja la importancia del sector ba</w:t>
      </w:r>
      <w:r>
        <w:rPr>
          <w:rFonts w:ascii="Times New Roman" w:hAnsi="Times New Roman" w:cs="Times New Roman"/>
          <w:sz w:val="24"/>
          <w:szCs w:val="24"/>
        </w:rPr>
        <w:t>ncario en la economía japonesa.</w:t>
      </w:r>
    </w:p>
    <w:p w:rsidR="00396E74" w:rsidRPr="00B218E5" w:rsidRDefault="00396E74" w:rsidP="00396E74">
      <w:pPr>
        <w:spacing w:line="240" w:lineRule="auto"/>
        <w:jc w:val="both"/>
        <w:rPr>
          <w:rFonts w:ascii="Times New Roman" w:hAnsi="Times New Roman" w:cs="Times New Roman"/>
          <w:color w:val="FF0000"/>
          <w:sz w:val="24"/>
          <w:szCs w:val="24"/>
        </w:rPr>
      </w:pPr>
      <w:r w:rsidRPr="00B218E5">
        <w:rPr>
          <w:rFonts w:ascii="Times New Roman" w:hAnsi="Times New Roman" w:cs="Times New Roman"/>
          <w:color w:val="FF0000"/>
          <w:sz w:val="24"/>
          <w:szCs w:val="24"/>
        </w:rPr>
        <w:t>4. CSI 300</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xml:space="preserve">El CSI 300 es el principal índice bursátil de China y comprende las 300 empresas más grandes que cotizan en las bolsas de valores de </w:t>
      </w:r>
      <w:r w:rsidR="00C44162" w:rsidRPr="00C512B3">
        <w:rPr>
          <w:rFonts w:ascii="Times New Roman" w:hAnsi="Times New Roman" w:cs="Times New Roman"/>
          <w:sz w:val="24"/>
          <w:szCs w:val="24"/>
        </w:rPr>
        <w:t>Shanghái</w:t>
      </w:r>
      <w:r w:rsidRPr="00C512B3">
        <w:rPr>
          <w:rFonts w:ascii="Times New Roman" w:hAnsi="Times New Roman" w:cs="Times New Roman"/>
          <w:sz w:val="24"/>
          <w:szCs w:val="24"/>
        </w:rPr>
        <w:t xml:space="preserve"> y Shenzhen. Al igual que el Nikkei 225, el CSI 300 está fuertemente influenciado por el desempeño de su economía y moneda nacionales. Sin embargo, existen algunas diferencias notables entre los dos índices. El CSI 300 está fuertemente inclinado hacia los sectores financiero e inmobiliario, lo que refleja la </w:t>
      </w:r>
      <w:r w:rsidRPr="00C512B3">
        <w:rPr>
          <w:rFonts w:ascii="Times New Roman" w:hAnsi="Times New Roman" w:cs="Times New Roman"/>
          <w:sz w:val="24"/>
          <w:szCs w:val="24"/>
        </w:rPr>
        <w:lastRenderedPageBreak/>
        <w:t>importancia de estas industrias en la economía de China. Por el contrario, el Nikkei 225 tiene una mayor representación de empresas manufactureras y tecnológicas, lo que refleja la importancia de estas indu</w:t>
      </w:r>
      <w:r>
        <w:rPr>
          <w:rFonts w:ascii="Times New Roman" w:hAnsi="Times New Roman" w:cs="Times New Roman"/>
          <w:sz w:val="24"/>
          <w:szCs w:val="24"/>
        </w:rPr>
        <w:t>strias en la economía japonesa.</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Si bien existen algunas similitudes entre el Nikkei 225 y otros índices bursátiles mundiales, también existen algunas diferencias notables que reflejan las características únicas de cada mercado. Los inversores deben considerar cuidadosamente estos factores al decidir en qué mercados invertir y qué índices utilizar como puntos de referencia para sus carteras</w:t>
      </w:r>
      <w:r w:rsidR="00BA1ABC">
        <w:rPr>
          <w:rFonts w:ascii="Times New Roman" w:hAnsi="Times New Roman" w:cs="Times New Roman"/>
          <w:sz w:val="24"/>
          <w:szCs w:val="24"/>
        </w:rPr>
        <w:t>…</w:t>
      </w:r>
    </w:p>
    <w:p w:rsidR="00396E74" w:rsidRPr="00557E5E" w:rsidRDefault="00396E74" w:rsidP="00396E74">
      <w:pPr>
        <w:spacing w:line="240" w:lineRule="auto"/>
        <w:jc w:val="both"/>
        <w:rPr>
          <w:rFonts w:ascii="Times New Roman" w:hAnsi="Times New Roman" w:cs="Times New Roman"/>
          <w:color w:val="FF0000"/>
          <w:sz w:val="24"/>
          <w:szCs w:val="24"/>
        </w:rPr>
      </w:pPr>
      <w:r w:rsidRPr="00557E5E">
        <w:rPr>
          <w:rFonts w:ascii="Times New Roman" w:hAnsi="Times New Roman" w:cs="Times New Roman"/>
          <w:color w:val="FF0000"/>
          <w:sz w:val="24"/>
          <w:szCs w:val="24"/>
        </w:rPr>
        <w:t>8.</w:t>
      </w:r>
      <w:r>
        <w:rPr>
          <w:rFonts w:ascii="Times New Roman" w:hAnsi="Times New Roman" w:cs="Times New Roman"/>
          <w:color w:val="FF0000"/>
          <w:sz w:val="24"/>
          <w:szCs w:val="24"/>
        </w:rPr>
        <w:t xml:space="preserve"> </w:t>
      </w:r>
      <w:r w:rsidRPr="00557E5E">
        <w:rPr>
          <w:rFonts w:ascii="Times New Roman" w:hAnsi="Times New Roman" w:cs="Times New Roman"/>
          <w:color w:val="FF0000"/>
          <w:sz w:val="24"/>
          <w:szCs w:val="24"/>
        </w:rPr>
        <w:t>¿Qué son los índices bursátiles y por qué</w:t>
      </w:r>
      <w:r>
        <w:rPr>
          <w:rFonts w:ascii="Times New Roman" w:hAnsi="Times New Roman" w:cs="Times New Roman"/>
          <w:color w:val="FF0000"/>
          <w:sz w:val="24"/>
          <w:szCs w:val="24"/>
        </w:rPr>
        <w:t xml:space="preserve"> son importantes?</w:t>
      </w:r>
    </w:p>
    <w:p w:rsidR="00396E74" w:rsidRPr="00557E5E" w:rsidRDefault="00396E74" w:rsidP="00396E74">
      <w:pPr>
        <w:spacing w:line="240" w:lineRule="auto"/>
        <w:jc w:val="both"/>
        <w:rPr>
          <w:rFonts w:ascii="Times New Roman" w:hAnsi="Times New Roman" w:cs="Times New Roman"/>
          <w:color w:val="FF0000"/>
          <w:sz w:val="24"/>
          <w:szCs w:val="24"/>
        </w:rPr>
      </w:pPr>
      <w:r w:rsidRPr="00557E5E">
        <w:rPr>
          <w:rFonts w:ascii="Times New Roman" w:hAnsi="Times New Roman" w:cs="Times New Roman"/>
          <w:color w:val="FF0000"/>
          <w:sz w:val="24"/>
          <w:szCs w:val="24"/>
        </w:rPr>
        <w:t>Los índices bursátiles desempeñan un papel crucial en el mundo de las finanzas, ya que brindan a los inversores una instantánea del desempeño general de un mercado o sector específico. Estos índices están diseñados para medir el desempeño de un grupo de acciones, que representan un mercado o sector en particular, y se utilizan para rastrear y analizar tendencias en el mercado de valores. Comprender los índices bursátiles es esencial para los inversores, ya que proporcionan información valiosa sobre la salud general y la dirección del mercado. En este apartado profundizaremos en qué son los índices bursátiles y por qué son importantes.</w:t>
      </w:r>
    </w:p>
    <w:p w:rsidR="00396E74" w:rsidRPr="00557E5E" w:rsidRDefault="00396E74" w:rsidP="00396E74">
      <w:pPr>
        <w:spacing w:line="240" w:lineRule="auto"/>
        <w:jc w:val="both"/>
        <w:rPr>
          <w:rFonts w:ascii="Times New Roman" w:hAnsi="Times New Roman" w:cs="Times New Roman"/>
          <w:color w:val="FF0000"/>
          <w:sz w:val="24"/>
          <w:szCs w:val="24"/>
        </w:rPr>
      </w:pPr>
      <w:r w:rsidRPr="00557E5E">
        <w:rPr>
          <w:rFonts w:ascii="Times New Roman" w:hAnsi="Times New Roman" w:cs="Times New Roman"/>
          <w:color w:val="FF0000"/>
          <w:sz w:val="24"/>
          <w:szCs w:val="24"/>
        </w:rPr>
        <w:t>1. Definición y cálculo: Los índices bursátiles son representaciones numéricas del desempeño de un grupo de acciones. Se calculan utilizando un promedio ponderado de los precios o capitalizaciones de mercado de las acciones que</w:t>
      </w:r>
      <w:r w:rsidR="00C44162">
        <w:rPr>
          <w:rFonts w:ascii="Times New Roman" w:hAnsi="Times New Roman" w:cs="Times New Roman"/>
          <w:color w:val="FF0000"/>
          <w:sz w:val="24"/>
          <w:szCs w:val="24"/>
        </w:rPr>
        <w:t xml:space="preserve"> los componen. Por ejemplo, el D</w:t>
      </w:r>
      <w:r w:rsidRPr="00557E5E">
        <w:rPr>
          <w:rFonts w:ascii="Times New Roman" w:hAnsi="Times New Roman" w:cs="Times New Roman"/>
          <w:color w:val="FF0000"/>
          <w:sz w:val="24"/>
          <w:szCs w:val="24"/>
        </w:rPr>
        <w:t>ow Jones Industrial average (DJIA) se calcula dividiendo la suma de los precios de las 30 acciones que lo componen por un divisor. El divisor se ajusta periódicamente para tener en cuenta divisiones de acciones, dividendos y otras acciones corporativas.</w:t>
      </w:r>
    </w:p>
    <w:p w:rsidR="00396E74" w:rsidRPr="00557E5E" w:rsidRDefault="00396E74" w:rsidP="00396E74">
      <w:pPr>
        <w:spacing w:line="240" w:lineRule="auto"/>
        <w:jc w:val="both"/>
        <w:rPr>
          <w:rFonts w:ascii="Times New Roman" w:hAnsi="Times New Roman" w:cs="Times New Roman"/>
          <w:color w:val="FF0000"/>
          <w:sz w:val="24"/>
          <w:szCs w:val="24"/>
        </w:rPr>
      </w:pPr>
      <w:r w:rsidRPr="00557E5E">
        <w:rPr>
          <w:rFonts w:ascii="Times New Roman" w:hAnsi="Times New Roman" w:cs="Times New Roman"/>
          <w:color w:val="FF0000"/>
          <w:sz w:val="24"/>
          <w:szCs w:val="24"/>
        </w:rPr>
        <w:t>2. Evaluación comparativa: los índices bursátiles sirven como puntos de referencia con los que se puede medir el desempeño de acciones, fondos mutuos o carteras individuales. Los inversores suelen comparar sus inversiones con el rendimiento de un índice relevante para evaluar qué tan bien les ha ido. Si la cartera de un inversor tiene un rendimiento constantemente inferior al índice, puede indicar la necesidad de realizar ajustes o un cambio en la estrategia de inversión.</w:t>
      </w:r>
    </w:p>
    <w:p w:rsidR="00396E74" w:rsidRPr="00557E5E" w:rsidRDefault="006D518A" w:rsidP="00396E74">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3. S</w:t>
      </w:r>
      <w:r w:rsidR="00396E74" w:rsidRPr="00557E5E">
        <w:rPr>
          <w:rFonts w:ascii="Times New Roman" w:hAnsi="Times New Roman" w:cs="Times New Roman"/>
          <w:color w:val="FF0000"/>
          <w:sz w:val="24"/>
          <w:szCs w:val="24"/>
        </w:rPr>
        <w:t>eguimiento de las tendencias del mercado: los índices bursátiles brindan una visión integral del mercado general o de un sector específico. Al analizar los movimientos de los índices a lo largo del tiempo, los inversores pueden identificar tendencias y patrones que pueden ayudar a tomar decisiones de inversión informadas. Por ejemplo, si un índice muestra constantemente una tendencia ascendente, puede indicar un mercado alcista, mientras que una tendencia a la baja puede sugerir un mercado bajista.</w:t>
      </w:r>
    </w:p>
    <w:p w:rsidR="00396E74" w:rsidRPr="00557E5E" w:rsidRDefault="00396E74" w:rsidP="00396E74">
      <w:pPr>
        <w:spacing w:line="240" w:lineRule="auto"/>
        <w:jc w:val="both"/>
        <w:rPr>
          <w:rFonts w:ascii="Times New Roman" w:hAnsi="Times New Roman" w:cs="Times New Roman"/>
          <w:color w:val="FF0000"/>
          <w:sz w:val="24"/>
          <w:szCs w:val="24"/>
        </w:rPr>
      </w:pPr>
      <w:r w:rsidRPr="00557E5E">
        <w:rPr>
          <w:rFonts w:ascii="Times New Roman" w:hAnsi="Times New Roman" w:cs="Times New Roman"/>
          <w:color w:val="FF0000"/>
          <w:sz w:val="24"/>
          <w:szCs w:val="24"/>
        </w:rPr>
        <w:t>4. Análisis sectorial: los índices pueden ser específicos de un sector en particular, como tecnología, atención médica o energía. Estos índices sectoriales ayudan a los inversores a rastrear el desempeño de las empresas dentro de ese sector y evaluar la salud general de la industria. Al monitorear los índices sectoriales, los inversores pueden identificar posibles oportunidades o riesgos de inversión dentro de un sector en particular.</w:t>
      </w:r>
    </w:p>
    <w:p w:rsidR="00396E74" w:rsidRPr="00557E5E" w:rsidRDefault="00396E74" w:rsidP="00396E74">
      <w:pPr>
        <w:spacing w:line="240" w:lineRule="auto"/>
        <w:jc w:val="both"/>
        <w:rPr>
          <w:rFonts w:ascii="Times New Roman" w:hAnsi="Times New Roman" w:cs="Times New Roman"/>
          <w:color w:val="FF0000"/>
          <w:sz w:val="24"/>
          <w:szCs w:val="24"/>
        </w:rPr>
      </w:pPr>
      <w:r w:rsidRPr="00557E5E">
        <w:rPr>
          <w:rFonts w:ascii="Times New Roman" w:hAnsi="Times New Roman" w:cs="Times New Roman"/>
          <w:color w:val="FF0000"/>
          <w:sz w:val="24"/>
          <w:szCs w:val="24"/>
        </w:rPr>
        <w:t xml:space="preserve">5. Perspectiva global: Los índices bursátiles brindan una perspectiva global sobre el desempeño de varios mercados en todo el mundo. Por ejemplo, el Dow Jones Euro Stoxx 50 sigue el desempeño de 50 empresas europeas líderes, brindando a los inversores información sobre el mercado europeo. Al comparar diferentes índices de diferentes regiones, los </w:t>
      </w:r>
      <w:r w:rsidRPr="00557E5E">
        <w:rPr>
          <w:rFonts w:ascii="Times New Roman" w:hAnsi="Times New Roman" w:cs="Times New Roman"/>
          <w:color w:val="FF0000"/>
          <w:sz w:val="24"/>
          <w:szCs w:val="24"/>
        </w:rPr>
        <w:lastRenderedPageBreak/>
        <w:t>inversores pueden obtener una comprensión más amplia de las tendencias del mercado global y diversificar sus carteras de inversión en consecuencia.</w:t>
      </w:r>
    </w:p>
    <w:p w:rsidR="00396E74" w:rsidRPr="00557E5E" w:rsidRDefault="00396E74" w:rsidP="00396E74">
      <w:pPr>
        <w:spacing w:line="240" w:lineRule="auto"/>
        <w:jc w:val="both"/>
        <w:rPr>
          <w:rFonts w:ascii="Times New Roman" w:hAnsi="Times New Roman" w:cs="Times New Roman"/>
          <w:color w:val="FF0000"/>
          <w:sz w:val="24"/>
          <w:szCs w:val="24"/>
        </w:rPr>
      </w:pPr>
      <w:r w:rsidRPr="00557E5E">
        <w:rPr>
          <w:rFonts w:ascii="Times New Roman" w:hAnsi="Times New Roman" w:cs="Times New Roman"/>
          <w:color w:val="FF0000"/>
          <w:sz w:val="24"/>
          <w:szCs w:val="24"/>
        </w:rPr>
        <w:t>Los índices bursátiles son herramientas esenciales para que los inversores midan el desempeño general de un mercado o sector. Proporcionan puntos de referencia para evaluar inversiones individuales, ayudan a identificar tendencias y patrones y ofrecen una perspectiva global sobre el desempeño del mercado. Al comprender y analizar los índices bursátiles, los inversores pueden tomar decisiones más informadas y navegar por el complejo mundo de las finanzas con mayor confianza</w:t>
      </w:r>
      <w:r w:rsidR="00BA1ABC">
        <w:rPr>
          <w:rFonts w:ascii="Times New Roman" w:hAnsi="Times New Roman" w:cs="Times New Roman"/>
          <w:color w:val="FF0000"/>
          <w:sz w:val="24"/>
          <w:szCs w:val="24"/>
        </w:rPr>
        <w:t>…</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10.</w:t>
      </w:r>
      <w:r>
        <w:rPr>
          <w:rFonts w:ascii="Times New Roman" w:hAnsi="Times New Roman" w:cs="Times New Roman"/>
          <w:sz w:val="24"/>
          <w:szCs w:val="24"/>
        </w:rPr>
        <w:t xml:space="preserve"> </w:t>
      </w:r>
      <w:r w:rsidRPr="00C512B3">
        <w:rPr>
          <w:rFonts w:ascii="Times New Roman" w:hAnsi="Times New Roman" w:cs="Times New Roman"/>
          <w:sz w:val="24"/>
          <w:szCs w:val="24"/>
        </w:rPr>
        <w:t xml:space="preserve">Comprender la correlación entre el Nikkei y los precios de las </w:t>
      </w:r>
      <w:r>
        <w:rPr>
          <w:rFonts w:ascii="Times New Roman" w:hAnsi="Times New Roman" w:cs="Times New Roman"/>
          <w:sz w:val="24"/>
          <w:szCs w:val="24"/>
        </w:rPr>
        <w:t>acciones globales</w:t>
      </w:r>
    </w:p>
    <w:p w:rsidR="00396E74" w:rsidRPr="00557E5E" w:rsidRDefault="00396E74" w:rsidP="00396E74">
      <w:pPr>
        <w:spacing w:line="240" w:lineRule="auto"/>
        <w:jc w:val="both"/>
        <w:rPr>
          <w:rFonts w:ascii="Times New Roman" w:hAnsi="Times New Roman" w:cs="Times New Roman"/>
          <w:color w:val="FF0000"/>
          <w:sz w:val="24"/>
          <w:szCs w:val="24"/>
        </w:rPr>
      </w:pPr>
      <w:r w:rsidRPr="00557E5E">
        <w:rPr>
          <w:rFonts w:ascii="Times New Roman" w:hAnsi="Times New Roman" w:cs="Times New Roman"/>
          <w:color w:val="FF0000"/>
          <w:sz w:val="24"/>
          <w:szCs w:val="24"/>
        </w:rPr>
        <w:t>El mundo de los mercados de valores es una red compleja e interconectada, donde varios factores influyen en el aumento y la caída de los precios de las acciones. Uno de esos factores que ejerce una influencia significativa sobre los precios bursátiles mundiales es el Nikkei, el principal índice bursátil de Japón. El Nikkei, también conocido como Nikkei 225, comprende 225 de las empresas que cotizan en bolsa más grandes de Japón y a menudo se considera un barómetro de la salud general de la economía japonesa. Sin embargo, su influencia se extiende mucho más allá de las fronteras de Japón y afecta a los mercados bursátiles de todo el mundo.</w:t>
      </w:r>
    </w:p>
    <w:p w:rsidR="00396E74" w:rsidRPr="00C512B3" w:rsidRDefault="00396E74"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1. El Nikkei como indicador:</w:t>
      </w:r>
    </w:p>
    <w:p w:rsidR="00396E74" w:rsidRPr="001973D9" w:rsidRDefault="00396E74" w:rsidP="00396E74">
      <w:pPr>
        <w:spacing w:line="240" w:lineRule="auto"/>
        <w:jc w:val="both"/>
        <w:rPr>
          <w:rFonts w:ascii="Times New Roman" w:hAnsi="Times New Roman" w:cs="Times New Roman"/>
          <w:color w:val="FF0000"/>
          <w:sz w:val="24"/>
          <w:szCs w:val="24"/>
        </w:rPr>
      </w:pPr>
      <w:r w:rsidRPr="001973D9">
        <w:rPr>
          <w:rFonts w:ascii="Times New Roman" w:hAnsi="Times New Roman" w:cs="Times New Roman"/>
          <w:color w:val="FF0000"/>
          <w:sz w:val="24"/>
          <w:szCs w:val="24"/>
        </w:rPr>
        <w:t>El Nikkei ha sido considerado durante mucho tiempo como un indicador importante de las tendencias económicas globales debido a la posición de Japón como una de las economías más grandes del mundo. Cuando el Nikkei experimenta ganancias o pérdidas significativas, a menudo indica una tendencia más amplia que puede afectar a otros mercados bursátiles importantes. Por ejemplo, durante la crisis financiera asiática de finales de los años 1990, cuando el Nikkei se desplomó más del 60%, provocó ondas de choque en todos los mercados mundiales, lo que provocó una caída generalizada de los precios de las acciones.</w:t>
      </w:r>
    </w:p>
    <w:p w:rsidR="00396E74" w:rsidRPr="00C512B3" w:rsidRDefault="00396E74"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2. Interdependencia Económica:</w:t>
      </w:r>
    </w:p>
    <w:p w:rsidR="00396E74" w:rsidRPr="001973D9" w:rsidRDefault="00396E74" w:rsidP="00396E74">
      <w:pPr>
        <w:spacing w:line="240" w:lineRule="auto"/>
        <w:jc w:val="both"/>
        <w:rPr>
          <w:rFonts w:ascii="Times New Roman" w:hAnsi="Times New Roman" w:cs="Times New Roman"/>
          <w:color w:val="FF0000"/>
          <w:sz w:val="24"/>
          <w:szCs w:val="24"/>
        </w:rPr>
      </w:pPr>
      <w:r w:rsidRPr="001973D9">
        <w:rPr>
          <w:rFonts w:ascii="Times New Roman" w:hAnsi="Times New Roman" w:cs="Times New Roman"/>
          <w:color w:val="FF0000"/>
          <w:sz w:val="24"/>
          <w:szCs w:val="24"/>
        </w:rPr>
        <w:t>La correlación entre el Nikkei y los precios bursátiles mundiales puede atribuirse a la creciente interdependencia de las economías en todo el mundo. En el mundo interconectado de hoy, los acontecimientos económicos en un país pueden tener efectos en cadena a través de las fronteras. Como Japón es un importante exportador y hogar de varias corporaciones multinacionales, cualquier fluctuación en su mercado de valores puede afectar las cadenas de suministro y las operaciones comerciales a nivel mundial. Por ejemplo, si el Nikkei experimenta una fuerte caída debido a datos económicos débiles o tensiones geopolíticas, esto puede provocar una disminución de la confianza de los inversores y posteriores ventas masivas en otros mercados.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3. Perspectiva de</w:t>
      </w:r>
      <w:r>
        <w:rPr>
          <w:rFonts w:ascii="Times New Roman" w:hAnsi="Times New Roman" w:cs="Times New Roman"/>
          <w:sz w:val="24"/>
          <w:szCs w:val="24"/>
        </w:rPr>
        <w:t xml:space="preserve"> las Instituciones Financieras: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Las instituciones financieras desempeñan un papel crucial en la comprensión y el análi</w:t>
      </w:r>
      <w:r w:rsidR="00BA1ABC">
        <w:rPr>
          <w:rFonts w:ascii="Times New Roman" w:hAnsi="Times New Roman" w:cs="Times New Roman"/>
          <w:sz w:val="24"/>
          <w:szCs w:val="24"/>
        </w:rPr>
        <w:t>sis de la correlación entre el N</w:t>
      </w:r>
      <w:r w:rsidRPr="00C512B3">
        <w:rPr>
          <w:rFonts w:ascii="Times New Roman" w:hAnsi="Times New Roman" w:cs="Times New Roman"/>
          <w:sz w:val="24"/>
          <w:szCs w:val="24"/>
        </w:rPr>
        <w:t>ikkei y los precios de las acciones mundiales. Supervisan de cerca los movimientos del mercado y emplean modelos sofisticados para identificar patrones y relaciones entre diferentes índices. Estas instituciones suelen utilizar el Nikkei como punto de referencia para evaluar el rendimiento de sus inversiones y tomar decisiones informadas. Cuando el Nikkei experimenta movimientos significativos, incita a las instituciones financieras a reevaluar sus carteras y ajustar s</w:t>
      </w:r>
      <w:r>
        <w:rPr>
          <w:rFonts w:ascii="Times New Roman" w:hAnsi="Times New Roman" w:cs="Times New Roman"/>
          <w:sz w:val="24"/>
          <w:szCs w:val="24"/>
        </w:rPr>
        <w:t>us estrategias en consecuencia.</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lastRenderedPageBreak/>
        <w:t>4. Sentimiento de los inve</w:t>
      </w:r>
      <w:r>
        <w:rPr>
          <w:rFonts w:ascii="Times New Roman" w:hAnsi="Times New Roman" w:cs="Times New Roman"/>
          <w:sz w:val="24"/>
          <w:szCs w:val="24"/>
        </w:rPr>
        <w:t>rsores y apetito por el riesgo: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El sentimiento de los inversores y el apetito por el riesgo también contribuyen a la correlación entre el Nikkei y los precios de las acciones mundiales. En tiempos de incertidumbre económica o volatilidad del mercado, los inversores tienden a buscar activos de refugio o adoptar un</w:t>
      </w:r>
      <w:r>
        <w:rPr>
          <w:rFonts w:ascii="Times New Roman" w:hAnsi="Times New Roman" w:cs="Times New Roman"/>
          <w:sz w:val="24"/>
          <w:szCs w:val="24"/>
        </w:rPr>
        <w:t xml:space="preserve"> enfoque de aversión al riesgo</w:t>
      </w:r>
      <w:r w:rsidR="00BA1ABC">
        <w:rPr>
          <w:rFonts w:ascii="Times New Roman" w:hAnsi="Times New Roman" w:cs="Times New Roman"/>
          <w:sz w:val="24"/>
          <w:szCs w:val="24"/>
        </w:rPr>
        <w:t>…</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13.</w:t>
      </w:r>
      <w:r>
        <w:rPr>
          <w:rFonts w:ascii="Times New Roman" w:hAnsi="Times New Roman" w:cs="Times New Roman"/>
          <w:sz w:val="24"/>
          <w:szCs w:val="24"/>
        </w:rPr>
        <w:t xml:space="preserve"> </w:t>
      </w:r>
      <w:r w:rsidRPr="00C512B3">
        <w:rPr>
          <w:rFonts w:ascii="Times New Roman" w:hAnsi="Times New Roman" w:cs="Times New Roman"/>
          <w:sz w:val="24"/>
          <w:szCs w:val="24"/>
        </w:rPr>
        <w:t>Introducción a los í</w:t>
      </w:r>
      <w:r>
        <w:rPr>
          <w:rFonts w:ascii="Times New Roman" w:hAnsi="Times New Roman" w:cs="Times New Roman"/>
          <w:sz w:val="24"/>
          <w:szCs w:val="24"/>
        </w:rPr>
        <w:t>ndices bursátiles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xml:space="preserve">Los índices bursátiles son una forma de medir el desempeño de un grupo de acciones o de un sector específico del mercado. Son una herramienta importante para que los inversores realicen un seguimiento del desempeño general del mercado y tomen decisiones de inversión informadas. Existen varios tipos de índices bursátiles, cada uno con su </w:t>
      </w:r>
      <w:r>
        <w:rPr>
          <w:rFonts w:ascii="Times New Roman" w:hAnsi="Times New Roman" w:cs="Times New Roman"/>
          <w:sz w:val="24"/>
          <w:szCs w:val="24"/>
        </w:rPr>
        <w:t>propia metodología y propósito.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1. Índices ponderado</w:t>
      </w:r>
      <w:r>
        <w:rPr>
          <w:rFonts w:ascii="Times New Roman" w:hAnsi="Times New Roman" w:cs="Times New Roman"/>
          <w:sz w:val="24"/>
          <w:szCs w:val="24"/>
        </w:rPr>
        <w:t>s por capitalización de mercado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Los índices ponderados por capitalización de mercado son el tipo más común de índice bursátil. Se calculan sumando la capitalización de mercado de todas las acciones del índice y dividiéndola por un divisor. El número resultante es el valor del índice. Cuanto mayor es la capitalización de mercado de una acción, más peso tiene en el índice. Esto significa que el desempeño de las empresas más grandes tiene un mayor impacto en el índice que el de las empresas más pequeñas. Ejemplos de índices ponderados por capitalización de mercado incluyen el</w:t>
      </w:r>
      <w:r>
        <w:rPr>
          <w:rFonts w:ascii="Times New Roman" w:hAnsi="Times New Roman" w:cs="Times New Roman"/>
          <w:sz w:val="24"/>
          <w:szCs w:val="24"/>
        </w:rPr>
        <w:t xml:space="preserve"> S&amp;P 500 y el NASDAQ Composite.</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2</w:t>
      </w:r>
      <w:r>
        <w:rPr>
          <w:rFonts w:ascii="Times New Roman" w:hAnsi="Times New Roman" w:cs="Times New Roman"/>
          <w:sz w:val="24"/>
          <w:szCs w:val="24"/>
        </w:rPr>
        <w:t>. Índices ponderados por precio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xml:space="preserve">Los índices ponderados por precio se calculan sumando los precios de todas las acciones del índice y dividiéndolos por un divisor. El número resultante es el valor del índice. A diferencia de los índices ponderados por capitalización de mercado, el precio de una acción determina su peso en el índice. Esto significa que el rendimiento de las acciones de mayor precio tiene un mayor impacto en el índice que el de las acciones de menor precio. </w:t>
      </w:r>
      <w:r w:rsidR="006D518A">
        <w:rPr>
          <w:rFonts w:ascii="Times New Roman" w:hAnsi="Times New Roman" w:cs="Times New Roman"/>
          <w:sz w:val="24"/>
          <w:szCs w:val="24"/>
        </w:rPr>
        <w:t>El D</w:t>
      </w:r>
      <w:r w:rsidRPr="00C512B3">
        <w:rPr>
          <w:rFonts w:ascii="Times New Roman" w:hAnsi="Times New Roman" w:cs="Times New Roman"/>
          <w:sz w:val="24"/>
          <w:szCs w:val="24"/>
        </w:rPr>
        <w:t>ow Jones Industrial average es un ejemplo de índice ponderado po</w:t>
      </w:r>
      <w:r>
        <w:rPr>
          <w:rFonts w:ascii="Times New Roman" w:hAnsi="Times New Roman" w:cs="Times New Roman"/>
          <w:sz w:val="24"/>
          <w:szCs w:val="24"/>
        </w:rPr>
        <w:t>r precios.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3</w:t>
      </w:r>
      <w:r>
        <w:rPr>
          <w:rFonts w:ascii="Times New Roman" w:hAnsi="Times New Roman" w:cs="Times New Roman"/>
          <w:sz w:val="24"/>
          <w:szCs w:val="24"/>
        </w:rPr>
        <w:t>. Índices igualmente ponderados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xml:space="preserve">Los índices con igual ponderación se calculan dando a cada acción del índice la misma ponderación. Esto significa que el rendimiento de cada acción tiene el mismo impacto en el índice. Este tipo de índice es útil para inversores que desean realizar un seguimiento del desempeño de empresas más pequeñas que pueden no tener un impacto significativo en la capitalización de mercado o en los índices ponderados por precios. Ejemplos de índices de igual ponderación incluyen el Russell </w:t>
      </w:r>
      <w:r>
        <w:rPr>
          <w:rFonts w:ascii="Times New Roman" w:hAnsi="Times New Roman" w:cs="Times New Roman"/>
          <w:sz w:val="24"/>
          <w:szCs w:val="24"/>
        </w:rPr>
        <w:t>2000 y el S&amp;P 500 Equal Weight.</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4. Índices ponderados por sectores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Los índices ponderados por sector se calculan centrándose en un sector específico del mercado. Son útiles para inversores que desean realizar un seguimiento del desempeño de una industria o sector en particular. Ejemplos de índices ponderados por sector incluyen el Dow Jones Transportation Av</w:t>
      </w:r>
      <w:r>
        <w:rPr>
          <w:rFonts w:ascii="Times New Roman" w:hAnsi="Times New Roman" w:cs="Times New Roman"/>
          <w:sz w:val="24"/>
          <w:szCs w:val="24"/>
        </w:rPr>
        <w:t>erage y el S&amp;P 500 Health Care.</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xml:space="preserve">Al elegir un índice para seguir, los inversores deben considerar sus objetivos de inversión y su tolerancia al riesgo. Los índices ponderados por capitalización de mercado son una buena opción para los inversores que desean realizar un seguimiento del desempeño general del </w:t>
      </w:r>
      <w:r w:rsidRPr="00C512B3">
        <w:rPr>
          <w:rFonts w:ascii="Times New Roman" w:hAnsi="Times New Roman" w:cs="Times New Roman"/>
          <w:sz w:val="24"/>
          <w:szCs w:val="24"/>
        </w:rPr>
        <w:lastRenderedPageBreak/>
        <w:t>mercado. Los índices ponderados por precio son útiles para los inversores que desean realizar un seguimiento del rendimiento de las acciones de alto precio. Los índices ponderados equitativamente son una buena opción para los inversores que desean seguir el desempeño de empresas más pequeñas. Los índices ponderados por sectores son útiles para los inversores que desean realizar un seguimiento del desempeño de una</w:t>
      </w:r>
      <w:r>
        <w:rPr>
          <w:rFonts w:ascii="Times New Roman" w:hAnsi="Times New Roman" w:cs="Times New Roman"/>
          <w:sz w:val="24"/>
          <w:szCs w:val="24"/>
        </w:rPr>
        <w:t xml:space="preserve"> industria o sector específico.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Los índices bursátiles son una herramienta importante para que los inversores realicen un seguimiento del desempeño general del mercado y tomen decisiones de inversión informadas. Existen varios tipos de índices bursátiles, cada uno con su propia metodología y propósito. Al elegir un índice para seguir, los inversores deben considerar sus objetivos de inversión y su tolerancia al riesgo.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14.</w:t>
      </w:r>
      <w:r>
        <w:rPr>
          <w:rFonts w:ascii="Times New Roman" w:hAnsi="Times New Roman" w:cs="Times New Roman"/>
          <w:sz w:val="24"/>
          <w:szCs w:val="24"/>
        </w:rPr>
        <w:t xml:space="preserve"> </w:t>
      </w:r>
      <w:r w:rsidRPr="00C512B3">
        <w:rPr>
          <w:rFonts w:ascii="Times New Roman" w:hAnsi="Times New Roman" w:cs="Times New Roman"/>
          <w:sz w:val="24"/>
          <w:szCs w:val="24"/>
        </w:rPr>
        <w:t>Introducción a los í</w:t>
      </w:r>
      <w:r>
        <w:rPr>
          <w:rFonts w:ascii="Times New Roman" w:hAnsi="Times New Roman" w:cs="Times New Roman"/>
          <w:sz w:val="24"/>
          <w:szCs w:val="24"/>
        </w:rPr>
        <w:t>ndices bursátiles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1. Índices de acci</w:t>
      </w:r>
      <w:r>
        <w:rPr>
          <w:rFonts w:ascii="Times New Roman" w:hAnsi="Times New Roman" w:cs="Times New Roman"/>
          <w:sz w:val="24"/>
          <w:szCs w:val="24"/>
        </w:rPr>
        <w:t>ones: una introducción completa</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Los índices bursátiles, también conocidos como índices bursátiles, desempeñan un papel crucial en el mundo de las finanzas. Estos índices sirven como barómetro del desempeño general de un grupo específico de acciones o de todo el mercado de valores. Los inversores, analistas e instituciones financieras confían en estos índices para medir las tendencias del mercado, evaluar oportunidades de inversión y tomar decisiones informadas. En esta sección, profundizaremos en los fundamentos de los índices de acciones, explorando su propósito, métodos de construcción y los pros y contras asociad</w:t>
      </w:r>
      <w:r>
        <w:rPr>
          <w:rFonts w:ascii="Times New Roman" w:hAnsi="Times New Roman" w:cs="Times New Roman"/>
          <w:sz w:val="24"/>
          <w:szCs w:val="24"/>
        </w:rPr>
        <w:t>os con los diferentes enfoques.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xml:space="preserve">2. Índices ponderados por </w:t>
      </w:r>
      <w:r>
        <w:rPr>
          <w:rFonts w:ascii="Times New Roman" w:hAnsi="Times New Roman" w:cs="Times New Roman"/>
          <w:sz w:val="24"/>
          <w:szCs w:val="24"/>
        </w:rPr>
        <w:t>precios: un enfoque tradicional</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Los índices ponderados por precios son uno de los métodos más utilizados para construir índices de acciones. En este enfoque, el valor del índice se determina en función de los precios de las acciones que lo componen. Cuanto mayor sea el precio de una acción, mayor será su influencia en el valor del índice. El ejemplo más conocido de índi</w:t>
      </w:r>
      <w:r w:rsidR="006D518A">
        <w:rPr>
          <w:rFonts w:ascii="Times New Roman" w:hAnsi="Times New Roman" w:cs="Times New Roman"/>
          <w:sz w:val="24"/>
          <w:szCs w:val="24"/>
        </w:rPr>
        <w:t>ce ponderado por precios es el D</w:t>
      </w:r>
      <w:r w:rsidRPr="00C512B3">
        <w:rPr>
          <w:rFonts w:ascii="Times New Roman" w:hAnsi="Times New Roman" w:cs="Times New Roman"/>
          <w:sz w:val="24"/>
          <w:szCs w:val="24"/>
        </w:rPr>
        <w:t>ow J</w:t>
      </w:r>
      <w:r w:rsidR="006D518A">
        <w:rPr>
          <w:rFonts w:ascii="Times New Roman" w:hAnsi="Times New Roman" w:cs="Times New Roman"/>
          <w:sz w:val="24"/>
          <w:szCs w:val="24"/>
        </w:rPr>
        <w:t>ones Industrial A</w:t>
      </w:r>
      <w:r>
        <w:rPr>
          <w:rFonts w:ascii="Times New Roman" w:hAnsi="Times New Roman" w:cs="Times New Roman"/>
          <w:sz w:val="24"/>
          <w:szCs w:val="24"/>
        </w:rPr>
        <w:t>verage (DJIA).</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Ventajas de los</w:t>
      </w:r>
      <w:r>
        <w:rPr>
          <w:rFonts w:ascii="Times New Roman" w:hAnsi="Times New Roman" w:cs="Times New Roman"/>
          <w:sz w:val="24"/>
          <w:szCs w:val="24"/>
        </w:rPr>
        <w:t xml:space="preserve"> índices ponderados por precio: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Simplicidad: El cálculo de los índices ponderados por precios es relativamente sencillo, lo que los hace fác</w:t>
      </w:r>
      <w:r>
        <w:rPr>
          <w:rFonts w:ascii="Times New Roman" w:hAnsi="Times New Roman" w:cs="Times New Roman"/>
          <w:sz w:val="24"/>
          <w:szCs w:val="24"/>
        </w:rPr>
        <w:t>iles de entender e interpretar.</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Reflejo de acciones de alto precio: los índices ponderados por precio dan un peso significativo a las acciones de alto precio, asegurando que su impacto en el índice represente con precisión su valor de mercado.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Contras de los</w:t>
      </w:r>
      <w:r>
        <w:rPr>
          <w:rFonts w:ascii="Times New Roman" w:hAnsi="Times New Roman" w:cs="Times New Roman"/>
          <w:sz w:val="24"/>
          <w:szCs w:val="24"/>
        </w:rPr>
        <w:t xml:space="preserve"> índices ponderados por precio: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Representación sesgada: dado que los índices ponderados por precio dan más peso a las acciones de alto precio, el desempeño de las acciones de menor precio puede verse eclipsado, lo que lleva a una representación sesgada de las te</w:t>
      </w:r>
      <w:r>
        <w:rPr>
          <w:rFonts w:ascii="Times New Roman" w:hAnsi="Times New Roman" w:cs="Times New Roman"/>
          <w:sz w:val="24"/>
          <w:szCs w:val="24"/>
        </w:rPr>
        <w:t>ndencias generales del mercado.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Divisiones y ajustes de acciones: cuando una acción sufre una división o un cambio significativo de precio, es necesario realizar ajustes para mantener la continuidad del índice, lo que puede a</w:t>
      </w:r>
      <w:r>
        <w:rPr>
          <w:rFonts w:ascii="Times New Roman" w:hAnsi="Times New Roman" w:cs="Times New Roman"/>
          <w:sz w:val="24"/>
          <w:szCs w:val="24"/>
        </w:rPr>
        <w:t>fectar la precisión del índice.</w:t>
      </w:r>
    </w:p>
    <w:p w:rsidR="00BA1ABC"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3. Índices ponderados por capitalización d</w:t>
      </w:r>
      <w:r>
        <w:rPr>
          <w:rFonts w:ascii="Times New Roman" w:hAnsi="Times New Roman" w:cs="Times New Roman"/>
          <w:sz w:val="24"/>
          <w:szCs w:val="24"/>
        </w:rPr>
        <w:t>e mercado: el enfoque dominante</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lastRenderedPageBreak/>
        <w:t>Los índices ponderados por capitalización de mercado, también conocidos como índices ponderados por capitalización, se han convertido en el método más popular y utilizado para construir índices de acciones. En este enfoque, el valor del índice se determina en función de la capitalización de mercado de las acciones que lo componen. La capitalización de mercado se calcula multiplicando el precio de las acciones por el núm</w:t>
      </w:r>
      <w:r>
        <w:rPr>
          <w:rFonts w:ascii="Times New Roman" w:hAnsi="Times New Roman" w:cs="Times New Roman"/>
          <w:sz w:val="24"/>
          <w:szCs w:val="24"/>
        </w:rPr>
        <w:t>ero de acciones en circulación.</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Ventajas de los índices ponderados</w:t>
      </w:r>
      <w:r>
        <w:rPr>
          <w:rFonts w:ascii="Times New Roman" w:hAnsi="Times New Roman" w:cs="Times New Roman"/>
          <w:sz w:val="24"/>
          <w:szCs w:val="24"/>
        </w:rPr>
        <w:t xml:space="preserve"> por capitalización de mercado: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Reflejo del valor de mercado: los índices ponderados por capitalización reflejan con precisión el valor de mercado de cada acción, dando mayor peso a las empresas más grandes y proporcionando u</w:t>
      </w:r>
      <w:r>
        <w:rPr>
          <w:rFonts w:ascii="Times New Roman" w:hAnsi="Times New Roman" w:cs="Times New Roman"/>
          <w:sz w:val="24"/>
          <w:szCs w:val="24"/>
        </w:rPr>
        <w:t>na visión integral del mercado.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Baja rotación: La construcción de índices ponderados por capitalización requiere ajustes mínimos, lo que resulta en una menor rotación y c</w:t>
      </w:r>
      <w:r>
        <w:rPr>
          <w:rFonts w:ascii="Times New Roman" w:hAnsi="Times New Roman" w:cs="Times New Roman"/>
          <w:sz w:val="24"/>
          <w:szCs w:val="24"/>
        </w:rPr>
        <w:t>ostos de transacción reducidos.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Desventajas de los índices ponderados</w:t>
      </w:r>
      <w:r>
        <w:rPr>
          <w:rFonts w:ascii="Times New Roman" w:hAnsi="Times New Roman" w:cs="Times New Roman"/>
          <w:sz w:val="24"/>
          <w:szCs w:val="24"/>
        </w:rPr>
        <w:t xml:space="preserve"> por capitalización de mercado: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Exceso de énfasis en acciones sobrevaluadas: los índices ponderados por capitalización pueden otorgar una ponderación excesiva a las acciones sobrevaluadas, lo que podría llevar a una representación inflada d</w:t>
      </w:r>
      <w:r>
        <w:rPr>
          <w:rFonts w:ascii="Times New Roman" w:hAnsi="Times New Roman" w:cs="Times New Roman"/>
          <w:sz w:val="24"/>
          <w:szCs w:val="24"/>
        </w:rPr>
        <w:t>e su importancia en el mercado.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 xml:space="preserve">- Riesgo de </w:t>
      </w:r>
      <w:r>
        <w:rPr>
          <w:rFonts w:ascii="Times New Roman" w:hAnsi="Times New Roman" w:cs="Times New Roman"/>
          <w:sz w:val="24"/>
          <w:szCs w:val="24"/>
        </w:rPr>
        <w:t>concentración: Desde el mercado</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15.</w:t>
      </w:r>
      <w:r>
        <w:rPr>
          <w:rFonts w:ascii="Times New Roman" w:hAnsi="Times New Roman" w:cs="Times New Roman"/>
          <w:sz w:val="24"/>
          <w:szCs w:val="24"/>
        </w:rPr>
        <w:t xml:space="preserve"> </w:t>
      </w:r>
      <w:r w:rsidRPr="00C512B3">
        <w:rPr>
          <w:rFonts w:ascii="Times New Roman" w:hAnsi="Times New Roman" w:cs="Times New Roman"/>
          <w:sz w:val="24"/>
          <w:szCs w:val="24"/>
        </w:rPr>
        <w:t>Introducción a los í</w:t>
      </w:r>
      <w:r>
        <w:rPr>
          <w:rFonts w:ascii="Times New Roman" w:hAnsi="Times New Roman" w:cs="Times New Roman"/>
          <w:sz w:val="24"/>
          <w:szCs w:val="24"/>
        </w:rPr>
        <w:t>ndices bursátiles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Los índices bursátiles se pueden definir como un grupo de acciones o valores que representan un sector o mercado en particular. Estos índices pueden ayudar a los inversores a seguir el desempeño general de un mercado o sector en particular y a tomar decisiones de inversión informadas. En esta sección, le presentaremos los conceptos básicos de los índic</w:t>
      </w:r>
      <w:r>
        <w:rPr>
          <w:rFonts w:ascii="Times New Roman" w:hAnsi="Times New Roman" w:cs="Times New Roman"/>
          <w:sz w:val="24"/>
          <w:szCs w:val="24"/>
        </w:rPr>
        <w:t>es bursátiles y cómo funcionan.</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1. ¿</w:t>
      </w:r>
      <w:r>
        <w:rPr>
          <w:rFonts w:ascii="Times New Roman" w:hAnsi="Times New Roman" w:cs="Times New Roman"/>
          <w:sz w:val="24"/>
          <w:szCs w:val="24"/>
        </w:rPr>
        <w:t>Qué son los índices bursátiles?</w:t>
      </w:r>
    </w:p>
    <w:p w:rsidR="00396E74"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Los índices bursátiles son una medida estadística de un mercado o sector en particular. Representan un grupo de acciones o valores que se seleccionan en función de ciertos criterios, como capitalización de mercado, sector o industria. Estos índices se utilizan para proporcionar a los inversores una imagen general del desempeño del mercado de un sector o mercado en particular.</w:t>
      </w:r>
    </w:p>
    <w:p w:rsidR="00396E74" w:rsidRPr="00C512B3" w:rsidRDefault="00396E74" w:rsidP="00396E74">
      <w:pPr>
        <w:spacing w:line="240" w:lineRule="auto"/>
        <w:jc w:val="both"/>
        <w:rPr>
          <w:rFonts w:ascii="Times New Roman" w:hAnsi="Times New Roman" w:cs="Times New Roman"/>
          <w:sz w:val="24"/>
          <w:szCs w:val="24"/>
        </w:rPr>
      </w:pPr>
      <w:r w:rsidRPr="00373C60">
        <w:rPr>
          <w:rFonts w:ascii="Times New Roman" w:hAnsi="Times New Roman" w:cs="Times New Roman"/>
          <w:noProof/>
          <w:sz w:val="24"/>
          <w:szCs w:val="24"/>
          <w:lang w:eastAsia="es-ES"/>
        </w:rPr>
        <w:drawing>
          <wp:inline distT="0" distB="0" distL="0" distR="0" wp14:anchorId="21A5912B" wp14:editId="67BEEC05">
            <wp:extent cx="5734048" cy="2533650"/>
            <wp:effectExtent l="0" t="0" r="63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4048" cy="2533650"/>
                    </a:xfrm>
                    <a:prstGeom prst="rect">
                      <a:avLst/>
                    </a:prstGeom>
                  </pic:spPr>
                </pic:pic>
              </a:graphicData>
            </a:graphic>
          </wp:inline>
        </w:drawing>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lastRenderedPageBreak/>
        <w:t>2. ¿Cómo fu</w:t>
      </w:r>
      <w:r>
        <w:rPr>
          <w:rFonts w:ascii="Times New Roman" w:hAnsi="Times New Roman" w:cs="Times New Roman"/>
          <w:sz w:val="24"/>
          <w:szCs w:val="24"/>
        </w:rPr>
        <w:t>ncionan los índices bursátiles?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Los índices bursátiles se calculan utilizando un promedio ponderado de los precios de las acciones o valores que se incluyen en el índice. El peso de cada acción o valor está determinado por su capitalización de mercado u otros facto</w:t>
      </w:r>
      <w:r>
        <w:rPr>
          <w:rFonts w:ascii="Times New Roman" w:hAnsi="Times New Roman" w:cs="Times New Roman"/>
          <w:sz w:val="24"/>
          <w:szCs w:val="24"/>
        </w:rPr>
        <w:t>res, como ingresos o ganancias.</w:t>
      </w:r>
    </w:p>
    <w:p w:rsidR="00396E74" w:rsidRPr="00C512B3" w:rsidRDefault="00396E74"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3. Tipos de índices bursátiles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Existen varios tipos de índices bursátiles, incluidos índices de mercado amplios, índices sectoriales e índices regionales. Los índices de mercado amplios, como el S&amp;P 500, representan el desempeño general de todo el mercado. Los índices sectoriales, como el índice del sector tecnológico, representan el desempeño de un sector en particular. Los índices regionales, como el índice bursátil europeo, representan el desempe</w:t>
      </w:r>
      <w:r>
        <w:rPr>
          <w:rFonts w:ascii="Times New Roman" w:hAnsi="Times New Roman" w:cs="Times New Roman"/>
          <w:sz w:val="24"/>
          <w:szCs w:val="24"/>
        </w:rPr>
        <w:t>ño de una región en particular.</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4. Benef</w:t>
      </w:r>
      <w:r>
        <w:rPr>
          <w:rFonts w:ascii="Times New Roman" w:hAnsi="Times New Roman" w:cs="Times New Roman"/>
          <w:sz w:val="24"/>
          <w:szCs w:val="24"/>
        </w:rPr>
        <w:t>icios de los índices bursátiles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Los índices bursátiles ofrecen varios beneficios a los inversores. Proporcionan una visión general amplia del desempeño del mercado de un sector o mercado en particular, lo que puede ayudar a los inversores a tomar decisiones de inversión informadas. También proporcionan un punto de referencia con el que los inversores pueden comparar el rendimie</w:t>
      </w:r>
      <w:r>
        <w:rPr>
          <w:rFonts w:ascii="Times New Roman" w:hAnsi="Times New Roman" w:cs="Times New Roman"/>
          <w:sz w:val="24"/>
          <w:szCs w:val="24"/>
        </w:rPr>
        <w:t>nto de sus propias inversiones.</w:t>
      </w:r>
    </w:p>
    <w:p w:rsidR="00396E74" w:rsidRPr="00C512B3"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5.</w:t>
      </w:r>
      <w:r>
        <w:rPr>
          <w:rFonts w:ascii="Times New Roman" w:hAnsi="Times New Roman" w:cs="Times New Roman"/>
          <w:sz w:val="24"/>
          <w:szCs w:val="24"/>
        </w:rPr>
        <w:t xml:space="preserve"> Invertir en índices bursátiles</w:t>
      </w:r>
    </w:p>
    <w:p w:rsidR="00396E74"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Los inversores pueden invertir en índices bursátiles a través de fondos cotizados en bolsa (ETF) o fondos indexados. Los ETF se negocian en bolsas de valores y se pueden comprar y vender como acciones. Los fondos indexados son fondos mutuos que rastrean el desemp</w:t>
      </w:r>
      <w:r>
        <w:rPr>
          <w:rFonts w:ascii="Times New Roman" w:hAnsi="Times New Roman" w:cs="Times New Roman"/>
          <w:sz w:val="24"/>
          <w:szCs w:val="24"/>
        </w:rPr>
        <w:t>eño de un índice en particular.</w:t>
      </w:r>
    </w:p>
    <w:p w:rsidR="00396E74" w:rsidRPr="00C512B3" w:rsidRDefault="00396E74" w:rsidP="00396E74">
      <w:pPr>
        <w:spacing w:line="240" w:lineRule="auto"/>
        <w:jc w:val="both"/>
        <w:rPr>
          <w:rFonts w:ascii="Times New Roman" w:hAnsi="Times New Roman" w:cs="Times New Roman"/>
          <w:sz w:val="24"/>
          <w:szCs w:val="24"/>
        </w:rPr>
      </w:pPr>
      <w:r>
        <w:rPr>
          <w:rFonts w:ascii="Times New Roman" w:hAnsi="Times New Roman" w:cs="Times New Roman"/>
          <w:sz w:val="24"/>
          <w:szCs w:val="24"/>
        </w:rPr>
        <w:t>6. Conclusión</w:t>
      </w:r>
    </w:p>
    <w:p w:rsidR="00396E74" w:rsidRDefault="00396E74" w:rsidP="00396E74">
      <w:pPr>
        <w:spacing w:line="240" w:lineRule="auto"/>
        <w:jc w:val="both"/>
        <w:rPr>
          <w:rFonts w:ascii="Times New Roman" w:hAnsi="Times New Roman" w:cs="Times New Roman"/>
          <w:sz w:val="24"/>
          <w:szCs w:val="24"/>
        </w:rPr>
      </w:pPr>
      <w:r w:rsidRPr="00C512B3">
        <w:rPr>
          <w:rFonts w:ascii="Times New Roman" w:hAnsi="Times New Roman" w:cs="Times New Roman"/>
          <w:sz w:val="24"/>
          <w:szCs w:val="24"/>
        </w:rPr>
        <w:t>Los índices bursátiles son una herramienta importante para los inversores que desean realizar un seguimiento del desempeño general de un mercado o sector en particular. Proporcionan una visión general amplia del desempeño del mercado, que puede ayudar a los inversores a tomar decisiones de inversión informadas. Los inversores pueden invertir en índices bursátiles a través de ETF o fondos indexados.</w:t>
      </w:r>
    </w:p>
    <w:p w:rsidR="00396E74" w:rsidRDefault="00396E74" w:rsidP="00396E74">
      <w:pPr>
        <w:spacing w:line="240" w:lineRule="auto"/>
        <w:jc w:val="both"/>
        <w:rPr>
          <w:rFonts w:ascii="Times New Roman" w:hAnsi="Times New Roman" w:cs="Times New Roman"/>
          <w:b/>
          <w:sz w:val="24"/>
          <w:szCs w:val="24"/>
        </w:rPr>
      </w:pPr>
      <w:r w:rsidRPr="001973D9">
        <w:rPr>
          <w:rFonts w:ascii="Times New Roman" w:hAnsi="Times New Roman" w:cs="Times New Roman"/>
          <w:noProof/>
          <w:sz w:val="24"/>
          <w:szCs w:val="24"/>
          <w:lang w:eastAsia="es-ES"/>
        </w:rPr>
        <w:drawing>
          <wp:inline distT="0" distB="0" distL="0" distR="0" wp14:anchorId="22716E02" wp14:editId="749615AB">
            <wp:extent cx="5727700" cy="2470150"/>
            <wp:effectExtent l="0" t="0" r="6350"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2471793"/>
                    </a:xfrm>
                    <a:prstGeom prst="rect">
                      <a:avLst/>
                    </a:prstGeom>
                  </pic:spPr>
                </pic:pic>
              </a:graphicData>
            </a:graphic>
          </wp:inline>
        </w:drawing>
      </w:r>
    </w:p>
    <w:p w:rsidR="00BA1ABC" w:rsidRPr="00765388" w:rsidRDefault="00BA1ABC" w:rsidP="00BA1ABC">
      <w:pPr>
        <w:spacing w:line="240" w:lineRule="auto"/>
        <w:jc w:val="both"/>
        <w:rPr>
          <w:rFonts w:ascii="Times New Roman" w:hAnsi="Times New Roman" w:cs="Times New Roman"/>
          <w:b/>
          <w:sz w:val="24"/>
          <w:szCs w:val="24"/>
        </w:rPr>
      </w:pPr>
      <w:r w:rsidRPr="00765388">
        <w:rPr>
          <w:rFonts w:ascii="Times New Roman" w:hAnsi="Times New Roman" w:cs="Times New Roman"/>
          <w:b/>
          <w:sz w:val="24"/>
          <w:szCs w:val="24"/>
        </w:rPr>
        <w:lastRenderedPageBreak/>
        <w:t>Análisis de correlación:</w:t>
      </w:r>
    </w:p>
    <w:p w:rsidR="00BA1ABC" w:rsidRPr="00765388" w:rsidRDefault="00BA1ABC" w:rsidP="00BA1ABC">
      <w:pPr>
        <w:spacing w:line="240" w:lineRule="auto"/>
        <w:jc w:val="both"/>
        <w:rPr>
          <w:rFonts w:ascii="Times New Roman" w:hAnsi="Times New Roman" w:cs="Times New Roman"/>
          <w:sz w:val="24"/>
          <w:szCs w:val="24"/>
        </w:rPr>
      </w:pPr>
      <w:r w:rsidRPr="00765388">
        <w:rPr>
          <w:rFonts w:ascii="Times New Roman" w:hAnsi="Times New Roman" w:cs="Times New Roman"/>
          <w:sz w:val="24"/>
          <w:szCs w:val="24"/>
        </w:rPr>
        <w:t xml:space="preserve">Para determinar la correlación específica en un período determinado, se puede utilizar el coeficiente de correlación de Pearson. Este coeficiente varía entre -1 y +1, donde: </w:t>
      </w:r>
    </w:p>
    <w:p w:rsidR="00BA1ABC" w:rsidRPr="00765388" w:rsidRDefault="00BA1ABC" w:rsidP="00BA1ABC">
      <w:pPr>
        <w:spacing w:line="240" w:lineRule="auto"/>
        <w:jc w:val="both"/>
        <w:rPr>
          <w:rFonts w:ascii="Times New Roman" w:hAnsi="Times New Roman" w:cs="Times New Roman"/>
          <w:sz w:val="24"/>
          <w:szCs w:val="24"/>
        </w:rPr>
      </w:pPr>
      <w:r w:rsidRPr="00765388">
        <w:rPr>
          <w:rFonts w:ascii="Times New Roman" w:hAnsi="Times New Roman" w:cs="Times New Roman"/>
          <w:sz w:val="24"/>
          <w:szCs w:val="24"/>
        </w:rPr>
        <w:t>+1 indica una correlación positiva perfecta (se mueven exactamente igual).</w:t>
      </w:r>
    </w:p>
    <w:p w:rsidR="00BA1ABC" w:rsidRPr="00765388" w:rsidRDefault="00BA1ABC" w:rsidP="00BA1ABC">
      <w:pPr>
        <w:spacing w:line="240" w:lineRule="auto"/>
        <w:jc w:val="both"/>
        <w:rPr>
          <w:rFonts w:ascii="Times New Roman" w:hAnsi="Times New Roman" w:cs="Times New Roman"/>
          <w:sz w:val="24"/>
          <w:szCs w:val="24"/>
        </w:rPr>
      </w:pPr>
      <w:r w:rsidRPr="00765388">
        <w:rPr>
          <w:rFonts w:ascii="Times New Roman" w:hAnsi="Times New Roman" w:cs="Times New Roman"/>
          <w:sz w:val="24"/>
          <w:szCs w:val="24"/>
        </w:rPr>
        <w:t>-1 indica una correlación negativa perfecta (se mueven en direcciones opuestas).</w:t>
      </w:r>
    </w:p>
    <w:p w:rsidR="00BA1ABC" w:rsidRDefault="00BA1ABC" w:rsidP="00BA1ABC">
      <w:pPr>
        <w:spacing w:line="240" w:lineRule="auto"/>
        <w:jc w:val="both"/>
        <w:rPr>
          <w:rFonts w:ascii="Times New Roman" w:hAnsi="Times New Roman" w:cs="Times New Roman"/>
          <w:sz w:val="24"/>
          <w:szCs w:val="24"/>
        </w:rPr>
      </w:pPr>
      <w:r w:rsidRPr="00765388">
        <w:rPr>
          <w:rFonts w:ascii="Times New Roman" w:hAnsi="Times New Roman" w:cs="Times New Roman"/>
          <w:sz w:val="24"/>
          <w:szCs w:val="24"/>
        </w:rPr>
        <w:t>0 indica ausencia de correlación.</w:t>
      </w:r>
    </w:p>
    <w:p w:rsidR="00BA1ABC" w:rsidRPr="001973D9" w:rsidRDefault="00BA1ABC" w:rsidP="00BA1ABC">
      <w:pPr>
        <w:spacing w:line="240" w:lineRule="auto"/>
        <w:jc w:val="both"/>
        <w:rPr>
          <w:rFonts w:ascii="Times New Roman" w:hAnsi="Times New Roman" w:cs="Times New Roman"/>
          <w:sz w:val="24"/>
          <w:szCs w:val="24"/>
        </w:rPr>
      </w:pPr>
      <w:r w:rsidRPr="001973D9">
        <w:rPr>
          <w:rFonts w:ascii="Times New Roman" w:hAnsi="Times New Roman" w:cs="Times New Roman"/>
          <w:sz w:val="24"/>
          <w:szCs w:val="24"/>
        </w:rPr>
        <w:t>Principales índices mundiales</w:t>
      </w:r>
    </w:p>
    <w:p w:rsidR="00BA1ABC" w:rsidRPr="001973D9" w:rsidRDefault="00BA1ABC" w:rsidP="00BA1ABC">
      <w:pPr>
        <w:spacing w:line="240" w:lineRule="auto"/>
        <w:jc w:val="both"/>
        <w:rPr>
          <w:rFonts w:ascii="Times New Roman" w:hAnsi="Times New Roman" w:cs="Times New Roman"/>
          <w:sz w:val="24"/>
          <w:szCs w:val="24"/>
        </w:rPr>
      </w:pPr>
      <w:r w:rsidRPr="001973D9">
        <w:rPr>
          <w:rFonts w:ascii="Times New Roman" w:hAnsi="Times New Roman" w:cs="Times New Roman"/>
          <w:sz w:val="24"/>
          <w:szCs w:val="24"/>
        </w:rPr>
        <w:t>Echemos un vistazo a los principales índices mundiales que nos interesan. Como observará, muchos de ellos están correlaciona</w:t>
      </w:r>
      <w:r>
        <w:rPr>
          <w:rFonts w:ascii="Times New Roman" w:hAnsi="Times New Roman" w:cs="Times New Roman"/>
          <w:sz w:val="24"/>
          <w:szCs w:val="24"/>
        </w:rPr>
        <w:t>dos y se complementan entre sí.</w:t>
      </w:r>
    </w:p>
    <w:p w:rsidR="00BA1ABC" w:rsidRPr="001973D9" w:rsidRDefault="00BA1ABC" w:rsidP="00BA1ABC">
      <w:pPr>
        <w:spacing w:line="240" w:lineRule="auto"/>
        <w:jc w:val="both"/>
        <w:rPr>
          <w:rFonts w:ascii="Times New Roman" w:hAnsi="Times New Roman" w:cs="Times New Roman"/>
          <w:sz w:val="24"/>
          <w:szCs w:val="24"/>
        </w:rPr>
      </w:pPr>
      <w:r w:rsidRPr="001973D9">
        <w:rPr>
          <w:rFonts w:ascii="Times New Roman" w:hAnsi="Times New Roman" w:cs="Times New Roman"/>
          <w:sz w:val="24"/>
          <w:szCs w:val="24"/>
        </w:rPr>
        <w:t>Índice Dow Jones</w:t>
      </w:r>
    </w:p>
    <w:p w:rsidR="00BA1ABC" w:rsidRPr="001973D9" w:rsidRDefault="00BA1ABC" w:rsidP="00BA1ABC">
      <w:pPr>
        <w:spacing w:line="240" w:lineRule="auto"/>
        <w:jc w:val="both"/>
        <w:rPr>
          <w:rFonts w:ascii="Times New Roman" w:hAnsi="Times New Roman" w:cs="Times New Roman"/>
          <w:sz w:val="24"/>
          <w:szCs w:val="24"/>
        </w:rPr>
      </w:pPr>
      <w:r w:rsidRPr="001973D9">
        <w:rPr>
          <w:rFonts w:ascii="Times New Roman" w:hAnsi="Times New Roman" w:cs="Times New Roman"/>
          <w:sz w:val="24"/>
          <w:szCs w:val="24"/>
        </w:rPr>
        <w:t>El índice más antiguo y famoso del mundo. En realidad hay varios, pero el más popular se llama Dow Jones Industrial Average (DJIA).</w:t>
      </w:r>
    </w:p>
    <w:p w:rsidR="00BA1ABC" w:rsidRPr="001973D9" w:rsidRDefault="00BA1ABC" w:rsidP="00BA1ABC">
      <w:pPr>
        <w:spacing w:line="240" w:lineRule="auto"/>
        <w:jc w:val="both"/>
        <w:rPr>
          <w:rFonts w:ascii="Times New Roman" w:hAnsi="Times New Roman" w:cs="Times New Roman"/>
          <w:sz w:val="24"/>
          <w:szCs w:val="24"/>
        </w:rPr>
      </w:pPr>
      <w:r w:rsidRPr="001973D9">
        <w:rPr>
          <w:rFonts w:ascii="Times New Roman" w:hAnsi="Times New Roman" w:cs="Times New Roman"/>
          <w:sz w:val="24"/>
          <w:szCs w:val="24"/>
        </w:rPr>
        <w:t>Es el índice bursátil clave de Estados Unidos, que reúne a 30 empresas con acciones disponibles al público. Por cierto, a pesar del nombre, estas empresas no están especialmente relacionadas con la industria, porque ahora no está de moda. Son simplemente 30 de las mayores empresas de Estados Unidos.</w:t>
      </w:r>
    </w:p>
    <w:p w:rsidR="00BA1ABC" w:rsidRDefault="00BA1ABC" w:rsidP="00BA1ABC">
      <w:pPr>
        <w:spacing w:line="240" w:lineRule="auto"/>
        <w:jc w:val="both"/>
        <w:rPr>
          <w:rFonts w:ascii="Times New Roman" w:hAnsi="Times New Roman" w:cs="Times New Roman"/>
          <w:sz w:val="24"/>
          <w:szCs w:val="24"/>
        </w:rPr>
      </w:pPr>
      <w:r w:rsidRPr="001973D9">
        <w:rPr>
          <w:rFonts w:ascii="Times New Roman" w:hAnsi="Times New Roman" w:cs="Times New Roman"/>
          <w:sz w:val="24"/>
          <w:szCs w:val="24"/>
        </w:rPr>
        <w:t>Este índice es seguido de cerca por los inversores de todo el mundo. Es un gran indicador de todo el estado de la economía estadounidense, reaccionando a los acontecimientos económicos y políticos locales y extranjeros. El índice sigue a empresas increíblemente ricas, has oído hablar de la mayoría de ellas. McDon</w:t>
      </w:r>
      <w:r>
        <w:rPr>
          <w:rFonts w:ascii="Times New Roman" w:hAnsi="Times New Roman" w:cs="Times New Roman"/>
          <w:sz w:val="24"/>
          <w:szCs w:val="24"/>
        </w:rPr>
        <w:t>ald's, Intel y Apple están ahí.</w:t>
      </w:r>
    </w:p>
    <w:p w:rsidR="00BA1ABC" w:rsidRPr="001973D9" w:rsidRDefault="00BA1ABC" w:rsidP="00BA1ABC">
      <w:pPr>
        <w:spacing w:line="240" w:lineRule="auto"/>
        <w:jc w:val="both"/>
        <w:rPr>
          <w:rFonts w:ascii="Times New Roman" w:hAnsi="Times New Roman" w:cs="Times New Roman"/>
          <w:sz w:val="24"/>
          <w:szCs w:val="24"/>
        </w:rPr>
      </w:pPr>
      <w:r w:rsidRPr="001973D9">
        <w:rPr>
          <w:rFonts w:ascii="Times New Roman" w:hAnsi="Times New Roman" w:cs="Times New Roman"/>
          <w:sz w:val="24"/>
          <w:szCs w:val="24"/>
        </w:rPr>
        <w:t>S&amp;P 500</w:t>
      </w:r>
    </w:p>
    <w:p w:rsidR="00BA1ABC" w:rsidRPr="001973D9" w:rsidRDefault="00BA1ABC" w:rsidP="00BA1ABC">
      <w:pPr>
        <w:spacing w:line="240" w:lineRule="auto"/>
        <w:jc w:val="both"/>
        <w:rPr>
          <w:rFonts w:ascii="Times New Roman" w:hAnsi="Times New Roman" w:cs="Times New Roman"/>
          <w:sz w:val="24"/>
          <w:szCs w:val="24"/>
        </w:rPr>
      </w:pPr>
      <w:r w:rsidRPr="001973D9">
        <w:rPr>
          <w:rFonts w:ascii="Times New Roman" w:hAnsi="Times New Roman" w:cs="Times New Roman"/>
          <w:sz w:val="24"/>
          <w:szCs w:val="24"/>
        </w:rPr>
        <w:t>El índice Standard &amp; Poor 500, también conocido como S&amp;P 500, es uno de los índices más conocidos del planeta. Se trata de un índice de precios medio ponderado de las 500 mayores empresas de Estados Unidos.</w:t>
      </w:r>
    </w:p>
    <w:p w:rsidR="00BA1ABC" w:rsidRPr="001973D9" w:rsidRDefault="00BA1ABC" w:rsidP="00BA1ABC">
      <w:pPr>
        <w:spacing w:line="240" w:lineRule="auto"/>
        <w:jc w:val="both"/>
        <w:rPr>
          <w:rFonts w:ascii="Times New Roman" w:hAnsi="Times New Roman" w:cs="Times New Roman"/>
          <w:sz w:val="24"/>
          <w:szCs w:val="24"/>
        </w:rPr>
      </w:pPr>
      <w:r w:rsidRPr="001973D9">
        <w:rPr>
          <w:rFonts w:ascii="Times New Roman" w:hAnsi="Times New Roman" w:cs="Times New Roman"/>
          <w:sz w:val="24"/>
          <w:szCs w:val="24"/>
        </w:rPr>
        <w:t>De hecho, es un indicador clave de toda la economía estadounidense y se utiliza para juzgar su rendimiento. El índice S&amp;P 500 (SPX) es el más negociado del mundo después de</w:t>
      </w:r>
      <w:r>
        <w:rPr>
          <w:rFonts w:ascii="Times New Roman" w:hAnsi="Times New Roman" w:cs="Times New Roman"/>
          <w:sz w:val="24"/>
          <w:szCs w:val="24"/>
        </w:rPr>
        <w:t>l Dow Jones Industrial Average.</w:t>
      </w:r>
    </w:p>
    <w:p w:rsidR="00BA1ABC" w:rsidRPr="001973D9" w:rsidRDefault="00BA1ABC" w:rsidP="00BA1ABC">
      <w:pPr>
        <w:spacing w:line="240" w:lineRule="auto"/>
        <w:jc w:val="both"/>
        <w:rPr>
          <w:rFonts w:ascii="Times New Roman" w:hAnsi="Times New Roman" w:cs="Times New Roman"/>
          <w:sz w:val="24"/>
          <w:szCs w:val="24"/>
        </w:rPr>
      </w:pPr>
      <w:r w:rsidRPr="001973D9">
        <w:rPr>
          <w:rFonts w:ascii="Times New Roman" w:hAnsi="Times New Roman" w:cs="Times New Roman"/>
          <w:sz w:val="24"/>
          <w:szCs w:val="24"/>
        </w:rPr>
        <w:t>Nikkei</w:t>
      </w:r>
    </w:p>
    <w:p w:rsidR="00BA1ABC" w:rsidRDefault="00BA1ABC" w:rsidP="00BA1ABC">
      <w:pPr>
        <w:spacing w:line="240" w:lineRule="auto"/>
        <w:jc w:val="both"/>
        <w:rPr>
          <w:rFonts w:ascii="Times New Roman" w:hAnsi="Times New Roman" w:cs="Times New Roman"/>
          <w:sz w:val="24"/>
          <w:szCs w:val="24"/>
        </w:rPr>
      </w:pPr>
      <w:r w:rsidRPr="001973D9">
        <w:rPr>
          <w:rFonts w:ascii="Times New Roman" w:hAnsi="Times New Roman" w:cs="Times New Roman"/>
          <w:sz w:val="24"/>
          <w:szCs w:val="24"/>
        </w:rPr>
        <w:t>El índice Nikkei es como el Dow Jones Industrial Average, pero para los japoneses. Promedia el rendimiento de las 225 mayores empresas del mercado de valores japonés. Los representantes típicos del Nikkei son Toyota, Mitsubishi, Fuji y otros.</w:t>
      </w:r>
    </w:p>
    <w:p w:rsidR="00BA1ABC" w:rsidRDefault="00BA1ABC" w:rsidP="00BA1ABC">
      <w:pPr>
        <w:spacing w:line="240" w:lineRule="auto"/>
        <w:jc w:val="both"/>
        <w:rPr>
          <w:rFonts w:ascii="Times New Roman" w:hAnsi="Times New Roman" w:cs="Times New Roman"/>
          <w:sz w:val="24"/>
          <w:szCs w:val="24"/>
        </w:rPr>
      </w:pPr>
      <w:r w:rsidRPr="00930C09">
        <w:rPr>
          <w:rFonts w:ascii="Times New Roman" w:hAnsi="Times New Roman" w:cs="Times New Roman"/>
          <w:sz w:val="24"/>
          <w:szCs w:val="24"/>
        </w:rPr>
        <w:t>Veamos cómo interactúa el Promedio Ind</w:t>
      </w:r>
      <w:r w:rsidR="00A41930">
        <w:rPr>
          <w:rFonts w:ascii="Times New Roman" w:hAnsi="Times New Roman" w:cs="Times New Roman"/>
          <w:sz w:val="24"/>
          <w:szCs w:val="24"/>
        </w:rPr>
        <w:t>ustrial Dow Jones con el Nikkei:</w:t>
      </w:r>
    </w:p>
    <w:p w:rsidR="00BA1ABC" w:rsidRDefault="00BA1ABC" w:rsidP="00BA1ABC">
      <w:pPr>
        <w:spacing w:line="240" w:lineRule="auto"/>
        <w:jc w:val="both"/>
        <w:rPr>
          <w:rFonts w:ascii="Times New Roman" w:hAnsi="Times New Roman" w:cs="Times New Roman"/>
          <w:sz w:val="24"/>
          <w:szCs w:val="24"/>
        </w:rPr>
      </w:pPr>
      <w:r w:rsidRPr="001973D9">
        <w:rPr>
          <w:rFonts w:ascii="Times New Roman" w:hAnsi="Times New Roman" w:cs="Times New Roman"/>
          <w:noProof/>
          <w:sz w:val="24"/>
          <w:szCs w:val="24"/>
          <w:lang w:eastAsia="es-ES"/>
        </w:rPr>
        <w:lastRenderedPageBreak/>
        <w:drawing>
          <wp:inline distT="0" distB="0" distL="0" distR="0" wp14:anchorId="661F1A66" wp14:editId="5244B749">
            <wp:extent cx="5723467" cy="257175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2575364"/>
                    </a:xfrm>
                    <a:prstGeom prst="rect">
                      <a:avLst/>
                    </a:prstGeom>
                  </pic:spPr>
                </pic:pic>
              </a:graphicData>
            </a:graphic>
          </wp:inline>
        </w:drawing>
      </w:r>
    </w:p>
    <w:p w:rsidR="00BA1ABC" w:rsidRPr="00DD1C5F" w:rsidRDefault="00A54C83" w:rsidP="00BA1ABC">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Como puede observarse</w:t>
      </w:r>
      <w:r w:rsidR="00BA1ABC" w:rsidRPr="00DD1C5F">
        <w:rPr>
          <w:rFonts w:ascii="Times New Roman" w:hAnsi="Times New Roman" w:cs="Times New Roman"/>
          <w:color w:val="FF0000"/>
          <w:sz w:val="24"/>
          <w:szCs w:val="24"/>
        </w:rPr>
        <w:t>, el DJIA y el Nikkei 225 se siguen mutuamente. Además, a veces el movimiento de un índice anticipa el del otro, lo que permite utilizar esta máquina del tiempo en miniatura para hacer predicciones.</w:t>
      </w:r>
    </w:p>
    <w:p w:rsidR="00BA1ABC" w:rsidRPr="0008631D" w:rsidRDefault="00BA1ABC" w:rsidP="00BA1ABC">
      <w:pPr>
        <w:spacing w:line="240" w:lineRule="auto"/>
        <w:jc w:val="both"/>
        <w:rPr>
          <w:rFonts w:ascii="Times New Roman" w:hAnsi="Times New Roman" w:cs="Times New Roman"/>
          <w:sz w:val="24"/>
          <w:szCs w:val="24"/>
        </w:rPr>
      </w:pPr>
      <w:r w:rsidRPr="0008631D">
        <w:rPr>
          <w:rFonts w:ascii="Times New Roman" w:hAnsi="Times New Roman" w:cs="Times New Roman"/>
          <w:sz w:val="24"/>
          <w:szCs w:val="24"/>
        </w:rPr>
        <w:t xml:space="preserve">(Fuente: </w:t>
      </w:r>
      <w:hyperlink r:id="rId21" w:history="1">
        <w:r w:rsidRPr="0008631D">
          <w:rPr>
            <w:rStyle w:val="Hipervnculo"/>
            <w:rFonts w:ascii="Times New Roman" w:hAnsi="Times New Roman" w:cs="Times New Roman"/>
            <w:color w:val="auto"/>
            <w:sz w:val="24"/>
            <w:szCs w:val="24"/>
            <w:u w:val="none"/>
          </w:rPr>
          <w:t>https://es.tradingview.com/</w:t>
        </w:r>
      </w:hyperlink>
      <w:r w:rsidRPr="0008631D">
        <w:rPr>
          <w:rFonts w:ascii="Times New Roman" w:hAnsi="Times New Roman" w:cs="Times New Roman"/>
          <w:sz w:val="24"/>
          <w:szCs w:val="24"/>
        </w:rPr>
        <w:t>)</w:t>
      </w:r>
    </w:p>
    <w:p w:rsidR="00BA1ABC" w:rsidRPr="00930C09" w:rsidRDefault="00BA1ABC" w:rsidP="00BA1ABC">
      <w:pPr>
        <w:spacing w:line="240" w:lineRule="auto"/>
        <w:jc w:val="both"/>
        <w:rPr>
          <w:rFonts w:ascii="Times New Roman" w:hAnsi="Times New Roman" w:cs="Times New Roman"/>
          <w:sz w:val="24"/>
          <w:szCs w:val="24"/>
        </w:rPr>
      </w:pPr>
      <w:r w:rsidRPr="00930C09">
        <w:rPr>
          <w:rFonts w:ascii="Times New Roman" w:hAnsi="Times New Roman" w:cs="Times New Roman"/>
          <w:sz w:val="24"/>
          <w:szCs w:val="24"/>
        </w:rPr>
        <w:t>Correlación Bolsa estadounidense y otras Bolsas</w:t>
      </w:r>
    </w:p>
    <w:p w:rsidR="00BA1ABC" w:rsidRPr="00DD1C5F" w:rsidRDefault="00BA1ABC" w:rsidP="00BA1ABC">
      <w:pPr>
        <w:spacing w:line="240" w:lineRule="auto"/>
        <w:jc w:val="both"/>
        <w:rPr>
          <w:rFonts w:ascii="Times New Roman" w:hAnsi="Times New Roman" w:cs="Times New Roman"/>
          <w:color w:val="FF0000"/>
          <w:sz w:val="24"/>
          <w:szCs w:val="24"/>
        </w:rPr>
      </w:pPr>
      <w:r w:rsidRPr="00DD1C5F">
        <w:rPr>
          <w:rFonts w:ascii="Times New Roman" w:hAnsi="Times New Roman" w:cs="Times New Roman"/>
          <w:color w:val="FF0000"/>
          <w:sz w:val="24"/>
          <w:szCs w:val="24"/>
        </w:rPr>
        <w:t>A pesar de que existen otros mercados con un volumen considerable, lo cierto es que existe una estrecha correlación entre las Bolsas norteamericanas y otras. Cuando la tendencia es alcista en Estados Unidos, el resto de los mercados bursátiles mundiales suele acompañarlas, y cuando es bajista, lo mismo.</w:t>
      </w:r>
    </w:p>
    <w:p w:rsidR="00BA1ABC" w:rsidRPr="00DD1C5F" w:rsidRDefault="00BA1ABC" w:rsidP="00BA1ABC">
      <w:pPr>
        <w:spacing w:line="240" w:lineRule="auto"/>
        <w:jc w:val="both"/>
        <w:rPr>
          <w:rFonts w:ascii="Times New Roman" w:hAnsi="Times New Roman" w:cs="Times New Roman"/>
          <w:color w:val="FF0000"/>
          <w:sz w:val="24"/>
          <w:szCs w:val="24"/>
        </w:rPr>
      </w:pPr>
      <w:r w:rsidRPr="00DD1C5F">
        <w:rPr>
          <w:rFonts w:ascii="Times New Roman" w:hAnsi="Times New Roman" w:cs="Times New Roman"/>
          <w:color w:val="FF0000"/>
          <w:sz w:val="24"/>
          <w:szCs w:val="24"/>
        </w:rPr>
        <w:t>Como es evidente, hay diferencias de rendimiento, y unas se moverán más que otras, pero la dirección del movimiento será normalmente en el mismo sentido, y de manera habitual, las Bolsas norteamericanas ejercen de “motor” para las otras.</w:t>
      </w:r>
    </w:p>
    <w:p w:rsidR="00BA1ABC" w:rsidRDefault="00BA1ABC" w:rsidP="00BA1ABC">
      <w:pPr>
        <w:spacing w:line="240" w:lineRule="auto"/>
        <w:jc w:val="both"/>
        <w:rPr>
          <w:rFonts w:ascii="Times New Roman" w:hAnsi="Times New Roman" w:cs="Times New Roman"/>
          <w:sz w:val="24"/>
          <w:szCs w:val="24"/>
        </w:rPr>
      </w:pPr>
      <w:r w:rsidRPr="00930C09">
        <w:rPr>
          <w:rFonts w:ascii="Times New Roman" w:hAnsi="Times New Roman" w:cs="Times New Roman"/>
          <w:noProof/>
          <w:sz w:val="24"/>
          <w:szCs w:val="24"/>
          <w:lang w:eastAsia="es-ES"/>
        </w:rPr>
        <w:drawing>
          <wp:inline distT="0" distB="0" distL="0" distR="0" wp14:anchorId="31384B81" wp14:editId="57B5617D">
            <wp:extent cx="5726966" cy="3016250"/>
            <wp:effectExtent l="0" t="0" r="762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3018643"/>
                    </a:xfrm>
                    <a:prstGeom prst="rect">
                      <a:avLst/>
                    </a:prstGeom>
                  </pic:spPr>
                </pic:pic>
              </a:graphicData>
            </a:graphic>
          </wp:inline>
        </w:drawing>
      </w:r>
    </w:p>
    <w:p w:rsidR="00BA1ABC" w:rsidRDefault="00BA1ABC" w:rsidP="00BA1ABC">
      <w:pPr>
        <w:spacing w:line="240" w:lineRule="auto"/>
        <w:jc w:val="both"/>
        <w:rPr>
          <w:rFonts w:ascii="Times New Roman" w:hAnsi="Times New Roman" w:cs="Times New Roman"/>
          <w:sz w:val="24"/>
          <w:szCs w:val="24"/>
        </w:rPr>
      </w:pPr>
      <w:r w:rsidRPr="004D12E7">
        <w:rPr>
          <w:rFonts w:ascii="Times New Roman" w:hAnsi="Times New Roman" w:cs="Times New Roman"/>
          <w:noProof/>
          <w:sz w:val="24"/>
          <w:szCs w:val="24"/>
          <w:lang w:eastAsia="es-ES"/>
        </w:rPr>
        <w:lastRenderedPageBreak/>
        <w:drawing>
          <wp:inline distT="0" distB="0" distL="0" distR="0" wp14:anchorId="6469D924" wp14:editId="4BBC2706">
            <wp:extent cx="5727700" cy="2508250"/>
            <wp:effectExtent l="0" t="0" r="635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2509918"/>
                    </a:xfrm>
                    <a:prstGeom prst="rect">
                      <a:avLst/>
                    </a:prstGeom>
                  </pic:spPr>
                </pic:pic>
              </a:graphicData>
            </a:graphic>
          </wp:inline>
        </w:drawing>
      </w:r>
    </w:p>
    <w:p w:rsidR="00BA1ABC" w:rsidRDefault="00BA1ABC" w:rsidP="00BA1ABC">
      <w:pPr>
        <w:spacing w:line="240" w:lineRule="auto"/>
        <w:jc w:val="both"/>
        <w:rPr>
          <w:rFonts w:ascii="Times New Roman" w:hAnsi="Times New Roman" w:cs="Times New Roman"/>
          <w:sz w:val="24"/>
          <w:szCs w:val="24"/>
        </w:rPr>
      </w:pPr>
      <w:r w:rsidRPr="00E75546">
        <w:rPr>
          <w:rFonts w:ascii="Times New Roman" w:hAnsi="Times New Roman" w:cs="Times New Roman"/>
          <w:noProof/>
          <w:sz w:val="24"/>
          <w:szCs w:val="24"/>
          <w:lang w:eastAsia="es-ES"/>
        </w:rPr>
        <w:drawing>
          <wp:inline distT="0" distB="0" distL="0" distR="0" wp14:anchorId="0C31EF11" wp14:editId="72AD2980">
            <wp:extent cx="5734050" cy="25781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576958"/>
                    </a:xfrm>
                    <a:prstGeom prst="rect">
                      <a:avLst/>
                    </a:prstGeom>
                  </pic:spPr>
                </pic:pic>
              </a:graphicData>
            </a:graphic>
          </wp:inline>
        </w:drawing>
      </w:r>
    </w:p>
    <w:p w:rsidR="00656D9D" w:rsidRDefault="00656D9D" w:rsidP="00BA1ABC">
      <w:pPr>
        <w:spacing w:line="240" w:lineRule="auto"/>
        <w:jc w:val="both"/>
        <w:rPr>
          <w:rFonts w:ascii="Times New Roman" w:hAnsi="Times New Roman" w:cs="Times New Roman"/>
          <w:sz w:val="24"/>
          <w:szCs w:val="24"/>
        </w:rPr>
      </w:pPr>
    </w:p>
    <w:p w:rsidR="00656D9D" w:rsidRDefault="00BA1ABC" w:rsidP="00BA1ABC">
      <w:pPr>
        <w:spacing w:line="240" w:lineRule="auto"/>
        <w:jc w:val="both"/>
        <w:rPr>
          <w:rFonts w:ascii="Times New Roman" w:hAnsi="Times New Roman" w:cs="Times New Roman"/>
          <w:sz w:val="24"/>
          <w:szCs w:val="24"/>
        </w:rPr>
      </w:pPr>
      <w:r w:rsidRPr="00E75546">
        <w:rPr>
          <w:rFonts w:ascii="Times New Roman" w:hAnsi="Times New Roman" w:cs="Times New Roman"/>
          <w:noProof/>
          <w:sz w:val="24"/>
          <w:szCs w:val="24"/>
          <w:lang w:eastAsia="es-ES"/>
        </w:rPr>
        <w:drawing>
          <wp:inline distT="0" distB="0" distL="0" distR="0" wp14:anchorId="781E1AE4" wp14:editId="35FAA5B9">
            <wp:extent cx="5048249" cy="3098800"/>
            <wp:effectExtent l="0" t="0" r="635"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048955" cy="3099233"/>
                    </a:xfrm>
                    <a:prstGeom prst="rect">
                      <a:avLst/>
                    </a:prstGeom>
                  </pic:spPr>
                </pic:pic>
              </a:graphicData>
            </a:graphic>
          </wp:inline>
        </w:drawing>
      </w:r>
    </w:p>
    <w:p w:rsidR="00BA1ABC" w:rsidRDefault="00BA1ABC" w:rsidP="00BA1ABC">
      <w:pPr>
        <w:spacing w:line="240" w:lineRule="auto"/>
        <w:jc w:val="both"/>
        <w:rPr>
          <w:rFonts w:ascii="Times New Roman" w:hAnsi="Times New Roman" w:cs="Times New Roman"/>
          <w:sz w:val="24"/>
          <w:szCs w:val="24"/>
        </w:rPr>
      </w:pPr>
      <w:r w:rsidRPr="00E75546">
        <w:rPr>
          <w:rFonts w:ascii="Times New Roman" w:hAnsi="Times New Roman" w:cs="Times New Roman"/>
          <w:sz w:val="24"/>
          <w:szCs w:val="24"/>
        </w:rPr>
        <w:lastRenderedPageBreak/>
        <w:t>El Nikkei 225 mide el rendimiento de 225 empresas japonesas de alta capitalización y liquidez, que cotizan en bolsa y pertenecen a una am</w:t>
      </w:r>
      <w:r w:rsidR="00DD1C5F">
        <w:rPr>
          <w:rFonts w:ascii="Times New Roman" w:hAnsi="Times New Roman" w:cs="Times New Roman"/>
          <w:sz w:val="24"/>
          <w:szCs w:val="24"/>
        </w:rPr>
        <w:t>plia gama de sectores</w:t>
      </w:r>
      <w:r w:rsidRPr="00E75546">
        <w:rPr>
          <w:rFonts w:ascii="Times New Roman" w:hAnsi="Times New Roman" w:cs="Times New Roman"/>
          <w:sz w:val="24"/>
          <w:szCs w:val="24"/>
        </w:rPr>
        <w:t>. Desde 2017, el índice se calcula cada cinco segundos.</w:t>
      </w:r>
    </w:p>
    <w:p w:rsidR="00BA1ABC" w:rsidRDefault="00BA1ABC" w:rsidP="00BA1ABC">
      <w:pPr>
        <w:spacing w:line="240" w:lineRule="auto"/>
        <w:jc w:val="both"/>
        <w:rPr>
          <w:rFonts w:ascii="Times New Roman" w:hAnsi="Times New Roman" w:cs="Times New Roman"/>
          <w:sz w:val="24"/>
          <w:szCs w:val="24"/>
        </w:rPr>
      </w:pPr>
      <w:r w:rsidRPr="00E75546">
        <w:rPr>
          <w:rFonts w:ascii="Times New Roman" w:hAnsi="Times New Roman" w:cs="Times New Roman"/>
          <w:noProof/>
          <w:sz w:val="24"/>
          <w:szCs w:val="24"/>
          <w:lang w:eastAsia="es-ES"/>
        </w:rPr>
        <w:drawing>
          <wp:inline distT="0" distB="0" distL="0" distR="0" wp14:anchorId="6BB47EA6" wp14:editId="066B9B59">
            <wp:extent cx="5727700" cy="3810000"/>
            <wp:effectExtent l="0" t="0" r="635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3812534"/>
                    </a:xfrm>
                    <a:prstGeom prst="rect">
                      <a:avLst/>
                    </a:prstGeom>
                  </pic:spPr>
                </pic:pic>
              </a:graphicData>
            </a:graphic>
          </wp:inline>
        </w:drawing>
      </w:r>
    </w:p>
    <w:p w:rsidR="00BA1ABC" w:rsidRDefault="00BA1ABC" w:rsidP="005A60DF">
      <w:pPr>
        <w:spacing w:line="240" w:lineRule="auto"/>
        <w:ind w:left="360"/>
        <w:jc w:val="both"/>
        <w:rPr>
          <w:rFonts w:ascii="Times New Roman" w:hAnsi="Times New Roman" w:cs="Times New Roman"/>
          <w:sz w:val="24"/>
          <w:szCs w:val="24"/>
        </w:rPr>
      </w:pPr>
      <w:r w:rsidRPr="00484773">
        <w:rPr>
          <w:rFonts w:ascii="Times New Roman" w:hAnsi="Times New Roman" w:cs="Times New Roman"/>
          <w:noProof/>
          <w:sz w:val="24"/>
          <w:szCs w:val="24"/>
          <w:lang w:eastAsia="es-ES"/>
        </w:rPr>
        <w:drawing>
          <wp:inline distT="0" distB="0" distL="0" distR="0" wp14:anchorId="7943BFAD" wp14:editId="371D4FAD">
            <wp:extent cx="5251450" cy="4057650"/>
            <wp:effectExtent l="0" t="0" r="635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49008" cy="4055763"/>
                    </a:xfrm>
                    <a:prstGeom prst="rect">
                      <a:avLst/>
                    </a:prstGeom>
                  </pic:spPr>
                </pic:pic>
              </a:graphicData>
            </a:graphic>
          </wp:inline>
        </w:drawing>
      </w:r>
      <w:r w:rsidR="005A60DF">
        <w:rPr>
          <w:rFonts w:ascii="Times New Roman" w:hAnsi="Times New Roman" w:cs="Times New Roman"/>
          <w:sz w:val="24"/>
          <w:szCs w:val="24"/>
        </w:rPr>
        <w:t xml:space="preserve">  </w:t>
      </w:r>
      <w:r>
        <w:rPr>
          <w:rFonts w:ascii="Times New Roman" w:hAnsi="Times New Roman" w:cs="Times New Roman"/>
          <w:sz w:val="24"/>
          <w:szCs w:val="24"/>
        </w:rPr>
        <w:t>(Fuente: Expansión)</w:t>
      </w:r>
    </w:p>
    <w:p w:rsidR="00BA1ABC" w:rsidRPr="00DD1C5F" w:rsidRDefault="00BA1ABC" w:rsidP="00BA1ABC">
      <w:pPr>
        <w:spacing w:line="240" w:lineRule="auto"/>
        <w:jc w:val="both"/>
        <w:rPr>
          <w:rFonts w:ascii="Times New Roman" w:hAnsi="Times New Roman" w:cs="Times New Roman"/>
          <w:sz w:val="24"/>
          <w:szCs w:val="24"/>
        </w:rPr>
      </w:pPr>
      <w:r w:rsidRPr="00DD1C5F">
        <w:rPr>
          <w:rFonts w:ascii="Times New Roman" w:hAnsi="Times New Roman" w:cs="Times New Roman"/>
          <w:sz w:val="24"/>
          <w:szCs w:val="24"/>
        </w:rPr>
        <w:lastRenderedPageBreak/>
        <w:t>Dow Jones - Historical Chart</w:t>
      </w:r>
    </w:p>
    <w:p w:rsidR="00BA1ABC" w:rsidRDefault="00BA1ABC" w:rsidP="00BA1ABC">
      <w:pPr>
        <w:spacing w:line="240" w:lineRule="auto"/>
        <w:jc w:val="both"/>
        <w:rPr>
          <w:rFonts w:ascii="Times New Roman" w:hAnsi="Times New Roman" w:cs="Times New Roman"/>
          <w:sz w:val="24"/>
          <w:szCs w:val="24"/>
        </w:rPr>
      </w:pPr>
      <w:r w:rsidRPr="00A95BD0">
        <w:rPr>
          <w:rFonts w:ascii="Times New Roman" w:hAnsi="Times New Roman" w:cs="Times New Roman"/>
          <w:noProof/>
          <w:sz w:val="24"/>
          <w:szCs w:val="24"/>
          <w:lang w:eastAsia="es-ES"/>
        </w:rPr>
        <w:drawing>
          <wp:inline distT="0" distB="0" distL="0" distR="0" wp14:anchorId="56A531B5" wp14:editId="1A70D355">
            <wp:extent cx="5731510" cy="3476871"/>
            <wp:effectExtent l="0" t="0" r="254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3476871"/>
                    </a:xfrm>
                    <a:prstGeom prst="rect">
                      <a:avLst/>
                    </a:prstGeom>
                  </pic:spPr>
                </pic:pic>
              </a:graphicData>
            </a:graphic>
          </wp:inline>
        </w:drawing>
      </w:r>
    </w:p>
    <w:p w:rsidR="00BA1ABC" w:rsidRDefault="00BA1ABC" w:rsidP="00BA1ABC">
      <w:pPr>
        <w:spacing w:line="240" w:lineRule="auto"/>
        <w:jc w:val="both"/>
        <w:rPr>
          <w:rFonts w:ascii="Times New Roman" w:hAnsi="Times New Roman" w:cs="Times New Roman"/>
          <w:sz w:val="24"/>
          <w:szCs w:val="24"/>
        </w:rPr>
      </w:pPr>
      <w:r w:rsidRPr="00A95BD0">
        <w:rPr>
          <w:rFonts w:ascii="Times New Roman" w:hAnsi="Times New Roman" w:cs="Times New Roman"/>
          <w:noProof/>
          <w:sz w:val="24"/>
          <w:szCs w:val="24"/>
          <w:lang w:eastAsia="es-ES"/>
        </w:rPr>
        <w:drawing>
          <wp:inline distT="0" distB="0" distL="0" distR="0" wp14:anchorId="756830E7" wp14:editId="392903A2">
            <wp:extent cx="5731510" cy="2911681"/>
            <wp:effectExtent l="0" t="0" r="2540" b="317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2911681"/>
                    </a:xfrm>
                    <a:prstGeom prst="rect">
                      <a:avLst/>
                    </a:prstGeom>
                  </pic:spPr>
                </pic:pic>
              </a:graphicData>
            </a:graphic>
          </wp:inline>
        </w:drawing>
      </w:r>
    </w:p>
    <w:p w:rsidR="00BA1ABC" w:rsidRDefault="00BA1ABC" w:rsidP="00BA1ABC">
      <w:pPr>
        <w:spacing w:line="240" w:lineRule="auto"/>
        <w:jc w:val="both"/>
        <w:rPr>
          <w:rFonts w:ascii="Times New Roman" w:hAnsi="Times New Roman" w:cs="Times New Roman"/>
          <w:sz w:val="24"/>
          <w:szCs w:val="24"/>
        </w:rPr>
      </w:pPr>
      <w:r w:rsidRPr="00484773">
        <w:rPr>
          <w:rFonts w:ascii="Times New Roman" w:hAnsi="Times New Roman" w:cs="Times New Roman"/>
          <w:sz w:val="24"/>
          <w:szCs w:val="24"/>
        </w:rPr>
        <w:t>Dow Jones Industrial Average: el índice más conocido de la historia Aunque hoy en día el índice Dow Jones Industrial Average (usaremos la abreviatura Dow 30) ya no es tan popular entre los operadores, este sigue siendo el más conocido índice bursátil de la historia, y uno de los más antiguos. Al principio fue calculado por el editor del periódico Wall Street Journal Charles Dow y su socio, el analista de estadísticas Edward Jones, en el año 1896. De acuerdo a la idea inicial, el índice contaba con 12 de las mayores c</w:t>
      </w:r>
      <w:r w:rsidR="00DD1C5F">
        <w:rPr>
          <w:rFonts w:ascii="Times New Roman" w:hAnsi="Times New Roman" w:cs="Times New Roman"/>
          <w:sz w:val="24"/>
          <w:szCs w:val="24"/>
        </w:rPr>
        <w:t>ompañías industriales de los EE</w:t>
      </w:r>
      <w:r w:rsidRPr="00484773">
        <w:rPr>
          <w:rFonts w:ascii="Times New Roman" w:hAnsi="Times New Roman" w:cs="Times New Roman"/>
          <w:sz w:val="24"/>
          <w:szCs w:val="24"/>
        </w:rPr>
        <w:t xml:space="preserve"> UU. Hoy, la palabra Industrial se ha conservado en el nombre, solo por tradición. El número de compañías se ha extendido hasta 30, y todas estas son de las mayores emp</w:t>
      </w:r>
      <w:r w:rsidR="00DD1C5F">
        <w:rPr>
          <w:rFonts w:ascii="Times New Roman" w:hAnsi="Times New Roman" w:cs="Times New Roman"/>
          <w:sz w:val="24"/>
          <w:szCs w:val="24"/>
        </w:rPr>
        <w:t>resas públicas norteamericanas -</w:t>
      </w:r>
      <w:r w:rsidRPr="00484773">
        <w:rPr>
          <w:rFonts w:ascii="Times New Roman" w:hAnsi="Times New Roman" w:cs="Times New Roman"/>
          <w:sz w:val="24"/>
          <w:szCs w:val="24"/>
        </w:rPr>
        <w:t xml:space="preserve"> no solo industriales, sino también financieras, por ejemplo. </w:t>
      </w:r>
    </w:p>
    <w:p w:rsidR="00BA1ABC" w:rsidRDefault="00BA1ABC" w:rsidP="00BA1ABC">
      <w:pPr>
        <w:spacing w:line="240" w:lineRule="auto"/>
        <w:jc w:val="both"/>
        <w:rPr>
          <w:rFonts w:ascii="Times New Roman" w:hAnsi="Times New Roman" w:cs="Times New Roman"/>
          <w:sz w:val="24"/>
          <w:szCs w:val="24"/>
        </w:rPr>
      </w:pPr>
      <w:r w:rsidRPr="00484773">
        <w:rPr>
          <w:rFonts w:ascii="Times New Roman" w:hAnsi="Times New Roman" w:cs="Times New Roman"/>
          <w:sz w:val="24"/>
          <w:szCs w:val="24"/>
        </w:rPr>
        <w:lastRenderedPageBreak/>
        <w:t>Desde tiempos antiguos, el índice conserva a General Electric (Milan Stock Exchange: Gefran [GE]). Entre otras están: Boeing (LSE: BAE Systems [BA]), Coca-Cola (NYSE: Coca-Cola Company [KO]), IBM (NYSE: International Business Machines [IBM]), Apple (NASDAQ: Apple [AAPL]), Visa (NYSE: Visa [V]), McDonald's (NYSE: McDonald's [MCD]). La palabra Average, en el nombre del índice, refleja el método de cálculo del mismo: este es proporcional al precio promedio de las acciones que incluye, es decir, las compañías están ponderadas por precio. El problema principal de este índice es su débil diversificación. Muchos operadores modernos lo consideran demasiado elitista. Las compañías que lo componen son supergigantes. Muchas de ellas están estrechamente ligadas al estado y a menudo se comportan de forma monopolista. El índice solo tiene 30 compañías, pero en rea</w:t>
      </w:r>
      <w:r w:rsidR="00DD1C5F">
        <w:rPr>
          <w:rFonts w:ascii="Times New Roman" w:hAnsi="Times New Roman" w:cs="Times New Roman"/>
          <w:sz w:val="24"/>
          <w:szCs w:val="24"/>
        </w:rPr>
        <w:t>lidad solo lo definen de 10-15 -</w:t>
      </w:r>
      <w:r w:rsidRPr="00484773">
        <w:rPr>
          <w:rFonts w:ascii="Times New Roman" w:hAnsi="Times New Roman" w:cs="Times New Roman"/>
          <w:sz w:val="24"/>
          <w:szCs w:val="24"/>
        </w:rPr>
        <w:t xml:space="preserve"> las que poseen las acciones más caras. Po</w:t>
      </w:r>
      <w:r w:rsidR="00DD1C5F">
        <w:rPr>
          <w:rFonts w:ascii="Times New Roman" w:hAnsi="Times New Roman" w:cs="Times New Roman"/>
          <w:sz w:val="24"/>
          <w:szCs w:val="24"/>
        </w:rPr>
        <w:t>r otra parte, el elitismo y la “poca comerciabilidad”</w:t>
      </w:r>
      <w:r w:rsidRPr="00484773">
        <w:rPr>
          <w:rFonts w:ascii="Times New Roman" w:hAnsi="Times New Roman" w:cs="Times New Roman"/>
          <w:sz w:val="24"/>
          <w:szCs w:val="24"/>
        </w:rPr>
        <w:t xml:space="preserve"> del índice le dan su ventaja. Sus compañías no son solo jugadores de m</w:t>
      </w:r>
      <w:r w:rsidR="00DD1C5F">
        <w:rPr>
          <w:rFonts w:ascii="Times New Roman" w:hAnsi="Times New Roman" w:cs="Times New Roman"/>
          <w:sz w:val="24"/>
          <w:szCs w:val="24"/>
        </w:rPr>
        <w:t>ercado, son símbolos de los EE</w:t>
      </w:r>
      <w:r w:rsidRPr="00484773">
        <w:rPr>
          <w:rFonts w:ascii="Times New Roman" w:hAnsi="Times New Roman" w:cs="Times New Roman"/>
          <w:sz w:val="24"/>
          <w:szCs w:val="24"/>
        </w:rPr>
        <w:t xml:space="preserve">UU. Mantenerlos a flote es un asunto de prestigio nacional. Por eso, la quiebra, incluso de una de las firmas del índice, es muy poco probable. A pesar de la débil diversificación, el Dow 30 es </w:t>
      </w:r>
      <w:r w:rsidR="00DD1C5F" w:rsidRPr="00484773">
        <w:rPr>
          <w:rFonts w:ascii="Times New Roman" w:hAnsi="Times New Roman" w:cs="Times New Roman"/>
          <w:sz w:val="24"/>
          <w:szCs w:val="24"/>
        </w:rPr>
        <w:t>súper</w:t>
      </w:r>
      <w:r w:rsidRPr="00484773">
        <w:rPr>
          <w:rFonts w:ascii="Times New Roman" w:hAnsi="Times New Roman" w:cs="Times New Roman"/>
          <w:sz w:val="24"/>
          <w:szCs w:val="24"/>
        </w:rPr>
        <w:t xml:space="preserve"> seguro. </w:t>
      </w:r>
    </w:p>
    <w:p w:rsidR="00BA1ABC" w:rsidRDefault="00BA1ABC" w:rsidP="00BA1ABC">
      <w:pPr>
        <w:spacing w:line="240" w:lineRule="auto"/>
        <w:jc w:val="both"/>
        <w:rPr>
          <w:rFonts w:ascii="Times New Roman" w:hAnsi="Times New Roman" w:cs="Times New Roman"/>
          <w:sz w:val="24"/>
          <w:szCs w:val="24"/>
        </w:rPr>
      </w:pPr>
      <w:r w:rsidRPr="00484773">
        <w:rPr>
          <w:rFonts w:ascii="Times New Roman" w:hAnsi="Times New Roman" w:cs="Times New Roman"/>
          <w:noProof/>
          <w:sz w:val="24"/>
          <w:szCs w:val="24"/>
          <w:lang w:eastAsia="es-ES"/>
        </w:rPr>
        <w:drawing>
          <wp:inline distT="0" distB="0" distL="0" distR="0" wp14:anchorId="757D1F1C" wp14:editId="5C1F7D64">
            <wp:extent cx="5734050" cy="2698750"/>
            <wp:effectExtent l="0" t="0" r="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2697555"/>
                    </a:xfrm>
                    <a:prstGeom prst="rect">
                      <a:avLst/>
                    </a:prstGeom>
                  </pic:spPr>
                </pic:pic>
              </a:graphicData>
            </a:graphic>
          </wp:inline>
        </w:drawing>
      </w:r>
    </w:p>
    <w:p w:rsidR="00BA1ABC" w:rsidRDefault="00BA1ABC" w:rsidP="00BA1ABC">
      <w:pPr>
        <w:spacing w:line="240" w:lineRule="auto"/>
        <w:jc w:val="both"/>
        <w:rPr>
          <w:rFonts w:ascii="Times New Roman" w:hAnsi="Times New Roman" w:cs="Times New Roman"/>
          <w:sz w:val="24"/>
          <w:szCs w:val="24"/>
        </w:rPr>
      </w:pPr>
      <w:r w:rsidRPr="00DD1C5F">
        <w:rPr>
          <w:rFonts w:ascii="Times New Roman" w:hAnsi="Times New Roman" w:cs="Times New Roman"/>
          <w:sz w:val="24"/>
          <w:szCs w:val="24"/>
          <w:u w:val="single"/>
        </w:rPr>
        <w:t>El gráfico muestra la dinámica del Dow 30 durante 40 años. Este recuerda la dinámica del S&amp;P 500, pero tiene sus diferencias. Por ejemplo, en el Dow 30 se nota poco la caída del 2001-2002. En lo que respecta a la crisis del año 2008, ambos índices reaccionaron de manera similar y hasta el día de hoy han superado con creces los niveles anteriores a la crisis. En 30 años, desde 1985, el índice ha crecido incluso más que el S&amp;P 500: 15 veces. Esto se corresponde con la rentabilidad media anual de aproximadamente un 10%</w:t>
      </w:r>
      <w:r w:rsidRPr="00484773">
        <w:rPr>
          <w:rFonts w:ascii="Times New Roman" w:hAnsi="Times New Roman" w:cs="Times New Roman"/>
          <w:sz w:val="24"/>
          <w:szCs w:val="24"/>
        </w:rPr>
        <w:t>. Para hacer dinero con el índice Dow 30, es necesario obtener uno de sus ETF, los cuales dan seguimiento a su dinámica. El más popular de todos es el SPDR Dow Jones Industrial Average (abreviatura y ticker de Bolsa: DIA).</w:t>
      </w:r>
    </w:p>
    <w:p w:rsidR="00BA1ABC" w:rsidRDefault="00DD1C5F" w:rsidP="00BA1ABC">
      <w:pPr>
        <w:spacing w:line="240" w:lineRule="auto"/>
        <w:jc w:val="both"/>
        <w:rPr>
          <w:rFonts w:ascii="Times New Roman" w:hAnsi="Times New Roman" w:cs="Times New Roman"/>
          <w:sz w:val="24"/>
          <w:szCs w:val="24"/>
        </w:rPr>
      </w:pPr>
      <w:r>
        <w:rPr>
          <w:rFonts w:ascii="Times New Roman" w:hAnsi="Times New Roman" w:cs="Times New Roman"/>
          <w:sz w:val="24"/>
          <w:szCs w:val="24"/>
        </w:rPr>
        <w:t>S&amp;P 500 -</w:t>
      </w:r>
      <w:r w:rsidR="00BA1ABC" w:rsidRPr="00484773">
        <w:rPr>
          <w:rFonts w:ascii="Times New Roman" w:hAnsi="Times New Roman" w:cs="Times New Roman"/>
          <w:sz w:val="24"/>
          <w:szCs w:val="24"/>
        </w:rPr>
        <w:t xml:space="preserve"> el índice más comercializado de hoy El índice S&amp;P 500 es el índice bursátil más popular de nuestro tiempo, y vamos a discutir con más detalles concretamente su dinámica y rentabilidad. En primer lugar, fue calculado en el año 1957 por la firma Standards &amp; Poor´s. Su cesta contiene 500 de las mayores empresas públicas</w:t>
      </w:r>
      <w:r>
        <w:rPr>
          <w:rFonts w:ascii="Times New Roman" w:hAnsi="Times New Roman" w:cs="Times New Roman"/>
          <w:sz w:val="24"/>
          <w:szCs w:val="24"/>
        </w:rPr>
        <w:t xml:space="preserve"> de N</w:t>
      </w:r>
      <w:r w:rsidR="00BA1ABC" w:rsidRPr="00484773">
        <w:rPr>
          <w:rFonts w:ascii="Times New Roman" w:hAnsi="Times New Roman" w:cs="Times New Roman"/>
          <w:sz w:val="24"/>
          <w:szCs w:val="24"/>
        </w:rPr>
        <w:t>orteamérica que operan en diferentes mercados. Las compañías de este índice están ponderadas por capitalización, por eso, el papel principal lo juegan las mayores compañías del grupo. Sin embargo, el número general es suficientemente grande para repre</w:t>
      </w:r>
      <w:r>
        <w:rPr>
          <w:rFonts w:ascii="Times New Roman" w:hAnsi="Times New Roman" w:cs="Times New Roman"/>
          <w:sz w:val="24"/>
          <w:szCs w:val="24"/>
        </w:rPr>
        <w:t>sentar el mercado de los EEUU</w:t>
      </w:r>
      <w:r w:rsidR="00BA1ABC" w:rsidRPr="00484773">
        <w:rPr>
          <w:rFonts w:ascii="Times New Roman" w:hAnsi="Times New Roman" w:cs="Times New Roman"/>
          <w:sz w:val="24"/>
          <w:szCs w:val="24"/>
        </w:rPr>
        <w:t xml:space="preserve">: el índice cubre un 75% de la suma de la capitalización de todas las compañías norteamericanas. </w:t>
      </w:r>
    </w:p>
    <w:p w:rsidR="00BA1ABC" w:rsidRDefault="00BA1ABC" w:rsidP="00BA1ABC">
      <w:pPr>
        <w:spacing w:line="240" w:lineRule="auto"/>
        <w:jc w:val="both"/>
        <w:rPr>
          <w:rFonts w:ascii="Times New Roman" w:hAnsi="Times New Roman" w:cs="Times New Roman"/>
          <w:sz w:val="24"/>
          <w:szCs w:val="24"/>
        </w:rPr>
      </w:pPr>
      <w:r w:rsidRPr="00484773">
        <w:rPr>
          <w:rFonts w:ascii="Times New Roman" w:hAnsi="Times New Roman" w:cs="Times New Roman"/>
          <w:noProof/>
          <w:sz w:val="24"/>
          <w:szCs w:val="24"/>
          <w:lang w:eastAsia="es-ES"/>
        </w:rPr>
        <w:lastRenderedPageBreak/>
        <w:drawing>
          <wp:inline distT="0" distB="0" distL="0" distR="0" wp14:anchorId="3F1A47DC" wp14:editId="6E43974A">
            <wp:extent cx="5727700" cy="2501900"/>
            <wp:effectExtent l="0" t="0" r="635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2503564"/>
                    </a:xfrm>
                    <a:prstGeom prst="rect">
                      <a:avLst/>
                    </a:prstGeom>
                  </pic:spPr>
                </pic:pic>
              </a:graphicData>
            </a:graphic>
          </wp:inline>
        </w:drawing>
      </w:r>
    </w:p>
    <w:p w:rsidR="00BA1ABC" w:rsidRPr="00DD1C5F" w:rsidRDefault="00BA1ABC" w:rsidP="00BA1ABC">
      <w:pPr>
        <w:spacing w:line="240" w:lineRule="auto"/>
        <w:jc w:val="both"/>
        <w:rPr>
          <w:rFonts w:ascii="Times New Roman" w:hAnsi="Times New Roman" w:cs="Times New Roman"/>
          <w:sz w:val="24"/>
          <w:szCs w:val="24"/>
          <w:u w:val="single"/>
        </w:rPr>
      </w:pPr>
      <w:r w:rsidRPr="00DD1C5F">
        <w:rPr>
          <w:rFonts w:ascii="Times New Roman" w:hAnsi="Times New Roman" w:cs="Times New Roman"/>
          <w:sz w:val="24"/>
          <w:szCs w:val="24"/>
          <w:u w:val="single"/>
        </w:rPr>
        <w:t>El gráfico de 40 años del S&amp;P 500 muestra su crecimiento estable, especialmente entre las décadas de 1980-1990. La década del 2000 fue marc</w:t>
      </w:r>
      <w:r w:rsidR="00DD1C5F" w:rsidRPr="00DD1C5F">
        <w:rPr>
          <w:rFonts w:ascii="Times New Roman" w:hAnsi="Times New Roman" w:cs="Times New Roman"/>
          <w:sz w:val="24"/>
          <w:szCs w:val="24"/>
          <w:u w:val="single"/>
        </w:rPr>
        <w:t>ada por dos crisis. La primera -</w:t>
      </w:r>
      <w:r w:rsidR="00A54C83">
        <w:rPr>
          <w:rFonts w:ascii="Times New Roman" w:hAnsi="Times New Roman" w:cs="Times New Roman"/>
          <w:sz w:val="24"/>
          <w:szCs w:val="24"/>
          <w:u w:val="single"/>
        </w:rPr>
        <w:t xml:space="preserve"> </w:t>
      </w:r>
      <w:r w:rsidRPr="00DD1C5F">
        <w:rPr>
          <w:rFonts w:ascii="Times New Roman" w:hAnsi="Times New Roman" w:cs="Times New Roman"/>
          <w:sz w:val="24"/>
          <w:szCs w:val="24"/>
          <w:u w:val="single"/>
        </w:rPr>
        <w:t>la explosión de la burbuja de las pun</w:t>
      </w:r>
      <w:r w:rsidR="00A54C83">
        <w:rPr>
          <w:rFonts w:ascii="Times New Roman" w:hAnsi="Times New Roman" w:cs="Times New Roman"/>
          <w:sz w:val="24"/>
          <w:szCs w:val="24"/>
          <w:u w:val="single"/>
        </w:rPr>
        <w:t xml:space="preserve">tocom en 2000-2002, la segunda </w:t>
      </w:r>
      <w:r w:rsidR="00DD1C5F" w:rsidRPr="00DD1C5F">
        <w:rPr>
          <w:rFonts w:ascii="Times New Roman" w:hAnsi="Times New Roman" w:cs="Times New Roman"/>
          <w:sz w:val="24"/>
          <w:szCs w:val="24"/>
          <w:u w:val="single"/>
        </w:rPr>
        <w:t>-</w:t>
      </w:r>
      <w:r w:rsidRPr="00DD1C5F">
        <w:rPr>
          <w:rFonts w:ascii="Times New Roman" w:hAnsi="Times New Roman" w:cs="Times New Roman"/>
          <w:sz w:val="24"/>
          <w:szCs w:val="24"/>
          <w:u w:val="single"/>
        </w:rPr>
        <w:t xml:space="preserve"> la crisis del 2008. Sin embargo, en la década del 2010, el índice ha recuperado su posición, y nuevamente presenta un buen crecimiento. En 30 años, desde el año 1985, el índice ha crecido en 12 veces.</w:t>
      </w:r>
    </w:p>
    <w:p w:rsidR="00BA1ABC" w:rsidRPr="00DD1C5F" w:rsidRDefault="00BA1ABC" w:rsidP="00BA1ABC">
      <w:pPr>
        <w:spacing w:line="240" w:lineRule="auto"/>
        <w:jc w:val="both"/>
        <w:rPr>
          <w:rFonts w:ascii="Times New Roman" w:hAnsi="Times New Roman" w:cs="Times New Roman"/>
          <w:sz w:val="24"/>
          <w:szCs w:val="24"/>
          <w:u w:val="single"/>
        </w:rPr>
      </w:pPr>
      <w:r w:rsidRPr="00DD1C5F">
        <w:rPr>
          <w:rFonts w:ascii="Times New Roman" w:hAnsi="Times New Roman" w:cs="Times New Roman"/>
          <w:sz w:val="24"/>
          <w:szCs w:val="24"/>
          <w:u w:val="single"/>
        </w:rPr>
        <w:t>Japón: Nikkei 225 Este es un índice relativamente viejo, fundado en el año 1950. Incluye 225 de las más populares acciones de la Bolsa de valores de Tokio. Por ejemplo, compañías como Yamaha (TYO: 7951), Nikon (TYO: 7731), Toyota (TYO: 7203), Mazda (TYO: 7261), Mitsubishi (TYO: 8058), Ricoh (TYO: 7752), Sony (TYO: 6758), Sharp (TYO: 6753). Las acciones del índice se ponderan por precio. La historia de este índice es dramática. Durante varias décadas, desde el momento de su creación, este crecía excelentemente. Pero con el tiempo, en los ciclos de ondas de toros, su crecimiento dejó de corresponderse con la realidad económica y se hizo puramente especulativa. Y a diferencia de otras burbujas de la historia económica mundial, que solo estallan (quebrando a unos jugadores y enriqueciendo a otros), la burbuja financiera japonesa representó un pesado efecto para l</w:t>
      </w:r>
      <w:r w:rsidR="00DD1C5F" w:rsidRPr="00DD1C5F">
        <w:rPr>
          <w:rFonts w:ascii="Times New Roman" w:hAnsi="Times New Roman" w:cs="Times New Roman"/>
          <w:sz w:val="24"/>
          <w:szCs w:val="24"/>
          <w:u w:val="single"/>
        </w:rPr>
        <w:t>a economía de todo el país. Su “explosión”</w:t>
      </w:r>
      <w:r w:rsidRPr="00DD1C5F">
        <w:rPr>
          <w:rFonts w:ascii="Times New Roman" w:hAnsi="Times New Roman" w:cs="Times New Roman"/>
          <w:sz w:val="24"/>
          <w:szCs w:val="24"/>
          <w:u w:val="single"/>
        </w:rPr>
        <w:t xml:space="preserve"> comenzó en el año 1990 y resultó lenta y dolorosa</w:t>
      </w:r>
      <w:r w:rsidR="00DD1C5F" w:rsidRPr="00DD1C5F">
        <w:rPr>
          <w:rFonts w:ascii="Times New Roman" w:hAnsi="Times New Roman" w:cs="Times New Roman"/>
          <w:sz w:val="24"/>
          <w:szCs w:val="24"/>
          <w:u w:val="single"/>
        </w:rPr>
        <w:t>. Los 90 son llamados en Japón “la década perdida”</w:t>
      </w:r>
      <w:r w:rsidRPr="00DD1C5F">
        <w:rPr>
          <w:rFonts w:ascii="Times New Roman" w:hAnsi="Times New Roman" w:cs="Times New Roman"/>
          <w:sz w:val="24"/>
          <w:szCs w:val="24"/>
          <w:u w:val="single"/>
        </w:rPr>
        <w:t xml:space="preserve">. La caída se redujo solo en la década del 2000, pero incluso esto no llevó a la economía japonesa a un nuevo crecimiento estable. </w:t>
      </w:r>
    </w:p>
    <w:p w:rsidR="00BA1ABC" w:rsidRDefault="00BA1ABC" w:rsidP="00BA1ABC">
      <w:pPr>
        <w:spacing w:line="240" w:lineRule="auto"/>
        <w:jc w:val="both"/>
        <w:rPr>
          <w:rFonts w:ascii="Times New Roman" w:hAnsi="Times New Roman" w:cs="Times New Roman"/>
          <w:sz w:val="24"/>
          <w:szCs w:val="24"/>
        </w:rPr>
      </w:pPr>
      <w:r w:rsidRPr="007B7400">
        <w:rPr>
          <w:rFonts w:ascii="Times New Roman" w:hAnsi="Times New Roman" w:cs="Times New Roman"/>
          <w:noProof/>
          <w:sz w:val="24"/>
          <w:szCs w:val="24"/>
          <w:lang w:eastAsia="es-ES"/>
        </w:rPr>
        <w:drawing>
          <wp:inline distT="0" distB="0" distL="0" distR="0" wp14:anchorId="320FDFF4" wp14:editId="260F670A">
            <wp:extent cx="5734050" cy="211455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2113613"/>
                    </a:xfrm>
                    <a:prstGeom prst="rect">
                      <a:avLst/>
                    </a:prstGeom>
                  </pic:spPr>
                </pic:pic>
              </a:graphicData>
            </a:graphic>
          </wp:inline>
        </w:drawing>
      </w:r>
    </w:p>
    <w:p w:rsidR="00BA1ABC" w:rsidRPr="00DD1C5F" w:rsidRDefault="00BA1ABC" w:rsidP="00BA1ABC">
      <w:pPr>
        <w:spacing w:line="240" w:lineRule="auto"/>
        <w:jc w:val="both"/>
        <w:rPr>
          <w:rFonts w:ascii="Times New Roman" w:hAnsi="Times New Roman" w:cs="Times New Roman"/>
          <w:sz w:val="24"/>
          <w:szCs w:val="24"/>
          <w:u w:val="single"/>
        </w:rPr>
      </w:pPr>
      <w:r w:rsidRPr="00DD1C5F">
        <w:rPr>
          <w:rFonts w:ascii="Times New Roman" w:hAnsi="Times New Roman" w:cs="Times New Roman"/>
          <w:sz w:val="24"/>
          <w:szCs w:val="24"/>
          <w:u w:val="single"/>
        </w:rPr>
        <w:t>El gráfic</w:t>
      </w:r>
      <w:r w:rsidR="00C44162">
        <w:rPr>
          <w:rFonts w:ascii="Times New Roman" w:hAnsi="Times New Roman" w:cs="Times New Roman"/>
          <w:sz w:val="24"/>
          <w:szCs w:val="24"/>
          <w:u w:val="single"/>
        </w:rPr>
        <w:t>o muestra la dinámica del Nikkei</w:t>
      </w:r>
      <w:r w:rsidRPr="00DD1C5F">
        <w:rPr>
          <w:rFonts w:ascii="Times New Roman" w:hAnsi="Times New Roman" w:cs="Times New Roman"/>
          <w:sz w:val="24"/>
          <w:szCs w:val="24"/>
          <w:u w:val="single"/>
        </w:rPr>
        <w:t xml:space="preserve"> 225 desde el año 1999. En este periodo no está la clara tendencia negativa, pero la situación económica general de Japón sigue siendo negativa.</w:t>
      </w:r>
      <w:r w:rsidRPr="007B7400">
        <w:rPr>
          <w:rFonts w:ascii="Times New Roman" w:hAnsi="Times New Roman" w:cs="Times New Roman"/>
          <w:sz w:val="24"/>
          <w:szCs w:val="24"/>
        </w:rPr>
        <w:t xml:space="preserve"> </w:t>
      </w:r>
      <w:r w:rsidRPr="00DD1C5F">
        <w:rPr>
          <w:rFonts w:ascii="Times New Roman" w:hAnsi="Times New Roman" w:cs="Times New Roman"/>
          <w:color w:val="FF0000"/>
          <w:sz w:val="24"/>
          <w:szCs w:val="24"/>
          <w:u w:val="single"/>
        </w:rPr>
        <w:t>Las caídas y alzas d</w:t>
      </w:r>
      <w:r w:rsidR="00C44162">
        <w:rPr>
          <w:rFonts w:ascii="Times New Roman" w:hAnsi="Times New Roman" w:cs="Times New Roman"/>
          <w:color w:val="FF0000"/>
          <w:sz w:val="24"/>
          <w:szCs w:val="24"/>
          <w:u w:val="single"/>
        </w:rPr>
        <w:t>el gráfico del Nikkei</w:t>
      </w:r>
      <w:r w:rsidRPr="00DD1C5F">
        <w:rPr>
          <w:rFonts w:ascii="Times New Roman" w:hAnsi="Times New Roman" w:cs="Times New Roman"/>
          <w:color w:val="FF0000"/>
          <w:sz w:val="24"/>
          <w:szCs w:val="24"/>
          <w:u w:val="single"/>
        </w:rPr>
        <w:t xml:space="preserve"> 225 se correlacionan con las caídas y alzas de los </w:t>
      </w:r>
      <w:r w:rsidRPr="00DD1C5F">
        <w:rPr>
          <w:rFonts w:ascii="Times New Roman" w:hAnsi="Times New Roman" w:cs="Times New Roman"/>
          <w:color w:val="FF0000"/>
          <w:sz w:val="24"/>
          <w:szCs w:val="24"/>
          <w:u w:val="single"/>
        </w:rPr>
        <w:lastRenderedPageBreak/>
        <w:t>gráficos de los índices norteamericanos, pero aquí las caídas son más duraderas. Ahora, la economía japonesa ya se ha recuperado después de la crisis del 2008, y se encuentra en un buen estado, pero si se convertirá en un una ten</w:t>
      </w:r>
      <w:r w:rsidR="00DD1C5F" w:rsidRPr="00DD1C5F">
        <w:rPr>
          <w:rFonts w:ascii="Times New Roman" w:hAnsi="Times New Roman" w:cs="Times New Roman"/>
          <w:color w:val="FF0000"/>
          <w:sz w:val="24"/>
          <w:szCs w:val="24"/>
          <w:u w:val="single"/>
        </w:rPr>
        <w:t>dencia positiva de largo plazo -</w:t>
      </w:r>
      <w:r w:rsidRPr="00DD1C5F">
        <w:rPr>
          <w:rFonts w:ascii="Times New Roman" w:hAnsi="Times New Roman" w:cs="Times New Roman"/>
          <w:color w:val="FF0000"/>
          <w:sz w:val="24"/>
          <w:szCs w:val="24"/>
          <w:u w:val="single"/>
        </w:rPr>
        <w:t xml:space="preserve"> es difícil predecirlo</w:t>
      </w:r>
      <w:r w:rsidRPr="00DD1C5F">
        <w:rPr>
          <w:rFonts w:ascii="Times New Roman" w:hAnsi="Times New Roman" w:cs="Times New Roman"/>
          <w:sz w:val="24"/>
          <w:szCs w:val="24"/>
          <w:u w:val="single"/>
        </w:rPr>
        <w:t>. Invertir en el índice Nikkei 225 es posible obteniendo uno de los EFT que dan seguimiento a su dinámica. Por ejemplo, MAXIS Nikkei 225 o iShares Nikkei 225.</w:t>
      </w:r>
    </w:p>
    <w:p w:rsidR="00BA1ABC" w:rsidRDefault="00BA1ABC" w:rsidP="00BA1ABC">
      <w:pPr>
        <w:spacing w:line="240" w:lineRule="auto"/>
        <w:jc w:val="both"/>
        <w:rPr>
          <w:rFonts w:ascii="Times New Roman" w:hAnsi="Times New Roman" w:cs="Times New Roman"/>
          <w:sz w:val="24"/>
          <w:szCs w:val="24"/>
        </w:rPr>
      </w:pPr>
      <w:r w:rsidRPr="007B7400">
        <w:rPr>
          <w:rFonts w:ascii="Times New Roman" w:hAnsi="Times New Roman" w:cs="Times New Roman"/>
          <w:noProof/>
          <w:sz w:val="24"/>
          <w:szCs w:val="24"/>
          <w:lang w:eastAsia="es-ES"/>
        </w:rPr>
        <w:drawing>
          <wp:inline distT="0" distB="0" distL="0" distR="0" wp14:anchorId="37F0A47A" wp14:editId="25E2BEDA">
            <wp:extent cx="5726225" cy="3511550"/>
            <wp:effectExtent l="0" t="0" r="825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3514791"/>
                    </a:xfrm>
                    <a:prstGeom prst="rect">
                      <a:avLst/>
                    </a:prstGeom>
                  </pic:spPr>
                </pic:pic>
              </a:graphicData>
            </a:graphic>
          </wp:inline>
        </w:drawing>
      </w:r>
    </w:p>
    <w:p w:rsidR="00BA1ABC" w:rsidRDefault="00BA1ABC" w:rsidP="00BA1ABC">
      <w:pPr>
        <w:spacing w:line="240" w:lineRule="auto"/>
        <w:jc w:val="both"/>
        <w:rPr>
          <w:rFonts w:ascii="Times New Roman" w:hAnsi="Times New Roman" w:cs="Times New Roman"/>
          <w:sz w:val="24"/>
          <w:szCs w:val="24"/>
        </w:rPr>
      </w:pPr>
    </w:p>
    <w:p w:rsidR="00BA1ABC" w:rsidRDefault="00BA1ABC" w:rsidP="00BA1ABC">
      <w:pPr>
        <w:spacing w:line="240" w:lineRule="auto"/>
        <w:jc w:val="both"/>
        <w:rPr>
          <w:rFonts w:ascii="Times New Roman" w:hAnsi="Times New Roman" w:cs="Times New Roman"/>
          <w:sz w:val="24"/>
          <w:szCs w:val="24"/>
        </w:rPr>
      </w:pPr>
      <w:r w:rsidRPr="00E92696">
        <w:rPr>
          <w:rFonts w:ascii="Times New Roman" w:hAnsi="Times New Roman" w:cs="Times New Roman"/>
          <w:noProof/>
          <w:sz w:val="24"/>
          <w:szCs w:val="24"/>
          <w:lang w:eastAsia="es-ES"/>
        </w:rPr>
        <w:drawing>
          <wp:inline distT="0" distB="0" distL="0" distR="0" wp14:anchorId="06C08592" wp14:editId="22D0D362">
            <wp:extent cx="5727700" cy="3752850"/>
            <wp:effectExtent l="0" t="0" r="635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3755346"/>
                    </a:xfrm>
                    <a:prstGeom prst="rect">
                      <a:avLst/>
                    </a:prstGeom>
                  </pic:spPr>
                </pic:pic>
              </a:graphicData>
            </a:graphic>
          </wp:inline>
        </w:drawing>
      </w:r>
    </w:p>
    <w:p w:rsidR="00BA1ABC" w:rsidRDefault="00BA1ABC" w:rsidP="00BA1ABC">
      <w:pPr>
        <w:spacing w:line="240" w:lineRule="auto"/>
        <w:jc w:val="both"/>
        <w:rPr>
          <w:rFonts w:ascii="Times New Roman" w:hAnsi="Times New Roman" w:cs="Times New Roman"/>
          <w:sz w:val="24"/>
          <w:szCs w:val="24"/>
        </w:rPr>
      </w:pPr>
      <w:r w:rsidRPr="00E92696">
        <w:rPr>
          <w:rFonts w:ascii="Times New Roman" w:hAnsi="Times New Roman" w:cs="Times New Roman"/>
          <w:noProof/>
          <w:sz w:val="24"/>
          <w:szCs w:val="24"/>
          <w:lang w:eastAsia="es-ES"/>
        </w:rPr>
        <w:lastRenderedPageBreak/>
        <w:drawing>
          <wp:inline distT="0" distB="0" distL="0" distR="0" wp14:anchorId="404A29EC" wp14:editId="78371BF9">
            <wp:extent cx="5731329" cy="3759200"/>
            <wp:effectExtent l="0" t="0" r="317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3759319"/>
                    </a:xfrm>
                    <a:prstGeom prst="rect">
                      <a:avLst/>
                    </a:prstGeom>
                  </pic:spPr>
                </pic:pic>
              </a:graphicData>
            </a:graphic>
          </wp:inline>
        </w:drawing>
      </w:r>
    </w:p>
    <w:p w:rsidR="00BA1ABC" w:rsidRDefault="00BA1ABC" w:rsidP="00BA1ABC">
      <w:pPr>
        <w:spacing w:line="240" w:lineRule="auto"/>
        <w:jc w:val="both"/>
        <w:rPr>
          <w:rFonts w:ascii="Times New Roman" w:hAnsi="Times New Roman" w:cs="Times New Roman"/>
          <w:sz w:val="24"/>
          <w:szCs w:val="24"/>
        </w:rPr>
      </w:pPr>
    </w:p>
    <w:p w:rsidR="00BA1ABC" w:rsidRDefault="00BA1ABC" w:rsidP="00BA1ABC">
      <w:pPr>
        <w:spacing w:line="240" w:lineRule="auto"/>
        <w:jc w:val="both"/>
        <w:rPr>
          <w:rFonts w:ascii="Times New Roman" w:hAnsi="Times New Roman" w:cs="Times New Roman"/>
          <w:sz w:val="24"/>
          <w:szCs w:val="24"/>
        </w:rPr>
      </w:pPr>
      <w:r w:rsidRPr="00E92696">
        <w:rPr>
          <w:rFonts w:ascii="Times New Roman" w:hAnsi="Times New Roman" w:cs="Times New Roman"/>
          <w:noProof/>
          <w:sz w:val="24"/>
          <w:szCs w:val="24"/>
          <w:lang w:eastAsia="es-ES"/>
        </w:rPr>
        <w:drawing>
          <wp:inline distT="0" distB="0" distL="0" distR="0" wp14:anchorId="7539061B" wp14:editId="27AC3451">
            <wp:extent cx="5726694" cy="3670300"/>
            <wp:effectExtent l="0" t="0" r="762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3673386"/>
                    </a:xfrm>
                    <a:prstGeom prst="rect">
                      <a:avLst/>
                    </a:prstGeom>
                  </pic:spPr>
                </pic:pic>
              </a:graphicData>
            </a:graphic>
          </wp:inline>
        </w:drawing>
      </w:r>
    </w:p>
    <w:p w:rsidR="00BA1ABC" w:rsidRDefault="00BA1ABC" w:rsidP="00BA1ABC">
      <w:pPr>
        <w:spacing w:line="240" w:lineRule="auto"/>
        <w:jc w:val="both"/>
        <w:rPr>
          <w:rFonts w:ascii="Times New Roman" w:hAnsi="Times New Roman" w:cs="Times New Roman"/>
          <w:sz w:val="24"/>
          <w:szCs w:val="24"/>
        </w:rPr>
      </w:pPr>
      <w:r w:rsidRPr="00E92696">
        <w:rPr>
          <w:rFonts w:ascii="Times New Roman" w:hAnsi="Times New Roman" w:cs="Times New Roman"/>
          <w:noProof/>
          <w:sz w:val="24"/>
          <w:szCs w:val="24"/>
          <w:lang w:eastAsia="es-ES"/>
        </w:rPr>
        <w:lastRenderedPageBreak/>
        <w:drawing>
          <wp:inline distT="0" distB="0" distL="0" distR="0" wp14:anchorId="145FE0AB" wp14:editId="3D3AC069">
            <wp:extent cx="5726359" cy="3733800"/>
            <wp:effectExtent l="0" t="0" r="825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737158"/>
                    </a:xfrm>
                    <a:prstGeom prst="rect">
                      <a:avLst/>
                    </a:prstGeom>
                  </pic:spPr>
                </pic:pic>
              </a:graphicData>
            </a:graphic>
          </wp:inline>
        </w:drawing>
      </w:r>
    </w:p>
    <w:p w:rsidR="00BA1ABC" w:rsidRDefault="00BA1ABC" w:rsidP="00BA1ABC">
      <w:pPr>
        <w:spacing w:line="240" w:lineRule="auto"/>
        <w:jc w:val="both"/>
        <w:rPr>
          <w:rFonts w:ascii="Times New Roman" w:hAnsi="Times New Roman" w:cs="Times New Roman"/>
          <w:sz w:val="24"/>
          <w:szCs w:val="24"/>
        </w:rPr>
      </w:pPr>
    </w:p>
    <w:p w:rsidR="00BA1ABC" w:rsidRDefault="00BA1ABC" w:rsidP="00BA1ABC">
      <w:pPr>
        <w:spacing w:line="240" w:lineRule="auto"/>
        <w:jc w:val="both"/>
        <w:rPr>
          <w:rFonts w:ascii="Times New Roman" w:hAnsi="Times New Roman" w:cs="Times New Roman"/>
          <w:sz w:val="24"/>
          <w:szCs w:val="24"/>
        </w:rPr>
      </w:pPr>
      <w:r w:rsidRPr="00E92696">
        <w:rPr>
          <w:rFonts w:ascii="Times New Roman" w:hAnsi="Times New Roman" w:cs="Times New Roman"/>
          <w:noProof/>
          <w:sz w:val="24"/>
          <w:szCs w:val="24"/>
          <w:lang w:eastAsia="es-ES"/>
        </w:rPr>
        <w:drawing>
          <wp:inline distT="0" distB="0" distL="0" distR="0" wp14:anchorId="11F45024" wp14:editId="64B3404E">
            <wp:extent cx="5731510" cy="3595053"/>
            <wp:effectExtent l="0" t="0" r="2540" b="571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595053"/>
                    </a:xfrm>
                    <a:prstGeom prst="rect">
                      <a:avLst/>
                    </a:prstGeom>
                  </pic:spPr>
                </pic:pic>
              </a:graphicData>
            </a:graphic>
          </wp:inline>
        </w:drawing>
      </w:r>
    </w:p>
    <w:p w:rsidR="00BA1ABC" w:rsidRPr="00656D9D" w:rsidRDefault="00BA1ABC" w:rsidP="00BA1ABC">
      <w:pPr>
        <w:spacing w:line="240" w:lineRule="auto"/>
        <w:jc w:val="both"/>
        <w:rPr>
          <w:rFonts w:ascii="Times New Roman" w:hAnsi="Times New Roman" w:cs="Times New Roman"/>
          <w:sz w:val="24"/>
          <w:szCs w:val="24"/>
        </w:rPr>
      </w:pPr>
      <w:r w:rsidRPr="00656D9D">
        <w:rPr>
          <w:rFonts w:ascii="Times New Roman" w:hAnsi="Times New Roman" w:cs="Times New Roman"/>
          <w:sz w:val="24"/>
          <w:szCs w:val="24"/>
        </w:rPr>
        <w:t xml:space="preserve">(Fuente: </w:t>
      </w:r>
      <w:hyperlink r:id="rId39" w:history="1">
        <w:r w:rsidRPr="00656D9D">
          <w:rPr>
            <w:rStyle w:val="Hipervnculo"/>
            <w:rFonts w:ascii="Times New Roman" w:hAnsi="Times New Roman" w:cs="Times New Roman"/>
            <w:color w:val="auto"/>
            <w:sz w:val="24"/>
            <w:szCs w:val="24"/>
            <w:u w:val="none"/>
          </w:rPr>
          <w:t>https://es.marketscreener.com/</w:t>
        </w:r>
      </w:hyperlink>
      <w:r w:rsidRPr="00656D9D">
        <w:rPr>
          <w:rFonts w:ascii="Times New Roman" w:hAnsi="Times New Roman" w:cs="Times New Roman"/>
          <w:sz w:val="24"/>
          <w:szCs w:val="24"/>
        </w:rPr>
        <w:t>)</w:t>
      </w:r>
    </w:p>
    <w:p w:rsidR="00BA1ABC" w:rsidRDefault="00BA1ABC" w:rsidP="00BA1ABC">
      <w:pPr>
        <w:spacing w:line="240" w:lineRule="auto"/>
        <w:jc w:val="both"/>
        <w:rPr>
          <w:rFonts w:ascii="Times New Roman" w:hAnsi="Times New Roman" w:cs="Times New Roman"/>
          <w:sz w:val="24"/>
          <w:szCs w:val="24"/>
        </w:rPr>
      </w:pPr>
    </w:p>
    <w:p w:rsidR="00BA1ABC" w:rsidRDefault="00BA1ABC" w:rsidP="00BA1ABC">
      <w:pPr>
        <w:spacing w:line="240" w:lineRule="auto"/>
        <w:jc w:val="both"/>
        <w:rPr>
          <w:rFonts w:ascii="Times New Roman" w:hAnsi="Times New Roman" w:cs="Times New Roman"/>
          <w:sz w:val="24"/>
          <w:szCs w:val="24"/>
        </w:rPr>
      </w:pPr>
    </w:p>
    <w:p w:rsidR="005A60DF" w:rsidRPr="00656D9D" w:rsidRDefault="005A60DF" w:rsidP="005A60D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57DCF">
        <w:rPr>
          <w:rFonts w:ascii="Times New Roman" w:hAnsi="Times New Roman" w:cs="Times New Roman"/>
          <w:sz w:val="24"/>
          <w:szCs w:val="24"/>
          <w:u w:val="single"/>
        </w:rPr>
        <w:t>Claves para entender la falta de correlación entre mercados financieros y la economía real</w:t>
      </w:r>
      <w:r>
        <w:rPr>
          <w:rFonts w:ascii="Times New Roman" w:hAnsi="Times New Roman" w:cs="Times New Roman"/>
          <w:sz w:val="24"/>
          <w:szCs w:val="24"/>
        </w:rPr>
        <w:t xml:space="preserve"> </w:t>
      </w:r>
      <w:r w:rsidRPr="00656D9D">
        <w:rPr>
          <w:rFonts w:ascii="Times New Roman" w:hAnsi="Times New Roman" w:cs="Times New Roman"/>
          <w:sz w:val="24"/>
          <w:szCs w:val="24"/>
        </w:rPr>
        <w:t>(</w:t>
      </w:r>
      <w:hyperlink r:id="rId40" w:history="1">
        <w:r w:rsidRPr="00656D9D">
          <w:rPr>
            <w:rStyle w:val="Hipervnculo"/>
            <w:rFonts w:ascii="Times New Roman" w:hAnsi="Times New Roman" w:cs="Times New Roman"/>
            <w:color w:val="auto"/>
            <w:sz w:val="24"/>
            <w:szCs w:val="24"/>
            <w:u w:val="none"/>
          </w:rPr>
          <w:t>https://creandgroup.com/</w:t>
        </w:r>
      </w:hyperlink>
      <w:r w:rsidRPr="00656D9D">
        <w:rPr>
          <w:rFonts w:ascii="Times New Roman" w:hAnsi="Times New Roman" w:cs="Times New Roman"/>
          <w:sz w:val="24"/>
          <w:szCs w:val="24"/>
        </w:rPr>
        <w:t xml:space="preserve"> - </w:t>
      </w:r>
      <w:r w:rsidRPr="00656D9D">
        <w:rPr>
          <w:rFonts w:ascii="Times New Roman" w:hAnsi="Times New Roman" w:cs="Times New Roman"/>
          <w:b/>
          <w:sz w:val="24"/>
          <w:szCs w:val="24"/>
        </w:rPr>
        <w:t>27/3/24</w:t>
      </w:r>
      <w:r w:rsidRPr="00656D9D">
        <w:rPr>
          <w:rFonts w:ascii="Times New Roman" w:hAnsi="Times New Roman" w:cs="Times New Roman"/>
          <w:sz w:val="24"/>
          <w:szCs w:val="24"/>
        </w:rPr>
        <w:t>)</w:t>
      </w:r>
    </w:p>
    <w:p w:rsidR="005A60DF" w:rsidRPr="00B57DCF" w:rsidRDefault="005A60DF" w:rsidP="005A60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57DCF">
        <w:rPr>
          <w:rFonts w:ascii="Times New Roman" w:hAnsi="Times New Roman" w:cs="Times New Roman"/>
          <w:sz w:val="24"/>
          <w:szCs w:val="24"/>
        </w:rPr>
        <w:t>Juan Litrán</w:t>
      </w:r>
      <w:r>
        <w:rPr>
          <w:rFonts w:ascii="Times New Roman" w:hAnsi="Times New Roman" w:cs="Times New Roman"/>
          <w:sz w:val="24"/>
          <w:szCs w:val="24"/>
        </w:rPr>
        <w:t>)</w:t>
      </w:r>
    </w:p>
    <w:p w:rsidR="005A60DF" w:rsidRPr="00225D51" w:rsidRDefault="005A60DF" w:rsidP="005A60DF">
      <w:pPr>
        <w:spacing w:line="240" w:lineRule="auto"/>
        <w:jc w:val="both"/>
        <w:rPr>
          <w:rFonts w:ascii="Times New Roman" w:hAnsi="Times New Roman" w:cs="Times New Roman"/>
          <w:color w:val="FF0000"/>
          <w:sz w:val="24"/>
          <w:szCs w:val="24"/>
        </w:rPr>
      </w:pPr>
      <w:r w:rsidRPr="00225D51">
        <w:rPr>
          <w:rFonts w:ascii="Times New Roman" w:hAnsi="Times New Roman" w:cs="Times New Roman"/>
          <w:color w:val="FF0000"/>
          <w:sz w:val="24"/>
          <w:szCs w:val="24"/>
        </w:rPr>
        <w:t>Un análisis de los rendimientos históricos de las inversiones bursátiles y del crecimiento del PIB sugiere que no siempre existe una estrecha relación.</w:t>
      </w:r>
    </w:p>
    <w:p w:rsidR="005A60DF" w:rsidRPr="00B57DCF" w:rsidRDefault="005A60DF" w:rsidP="005A60DF">
      <w:pPr>
        <w:spacing w:line="240" w:lineRule="auto"/>
        <w:jc w:val="both"/>
        <w:rPr>
          <w:rFonts w:ascii="Times New Roman" w:hAnsi="Times New Roman" w:cs="Times New Roman"/>
          <w:sz w:val="24"/>
          <w:szCs w:val="24"/>
        </w:rPr>
      </w:pPr>
      <w:r w:rsidRPr="00B57DCF">
        <w:rPr>
          <w:rFonts w:ascii="Times New Roman" w:hAnsi="Times New Roman" w:cs="Times New Roman"/>
          <w:sz w:val="24"/>
          <w:szCs w:val="24"/>
        </w:rPr>
        <w:t>En 2023 la inflación se posicionaba como el enemigo a batir. Los bancos centrales se dispusieron a hacer gala de la máxima de Mario Draghi y su “whatever it takes” para devolver dicha inflación a niveles del 2 %. Con la subida de tipos de interés como herramienta, el consenso dentro de los mercados fue la desaceleración económica y el empeoramiento de las con</w:t>
      </w:r>
      <w:r>
        <w:rPr>
          <w:rFonts w:ascii="Times New Roman" w:hAnsi="Times New Roman" w:cs="Times New Roman"/>
          <w:sz w:val="24"/>
          <w:szCs w:val="24"/>
        </w:rPr>
        <w:t>diciones financieras para 2023.</w:t>
      </w:r>
    </w:p>
    <w:p w:rsidR="005A60DF" w:rsidRPr="00B57DCF" w:rsidRDefault="005A60DF" w:rsidP="005A60DF">
      <w:pPr>
        <w:spacing w:line="240" w:lineRule="auto"/>
        <w:jc w:val="both"/>
        <w:rPr>
          <w:rFonts w:ascii="Times New Roman" w:hAnsi="Times New Roman" w:cs="Times New Roman"/>
          <w:sz w:val="24"/>
          <w:szCs w:val="24"/>
        </w:rPr>
      </w:pPr>
      <w:r w:rsidRPr="00B57DCF">
        <w:rPr>
          <w:rFonts w:ascii="Times New Roman" w:hAnsi="Times New Roman" w:cs="Times New Roman"/>
          <w:sz w:val="24"/>
          <w:szCs w:val="24"/>
        </w:rPr>
        <w:t>Tras once incrementos de tipos desde la Reserva Federal y diez en el caso del Banco Central Europeo, 2023 terminaba con las bolsas en máximos históricos. En el lado americano, el S&amp;P500 repuntó un 25 %, mientras que en el Viejo Continente el Euro Stoxx se alzaba un 18 %.</w:t>
      </w:r>
    </w:p>
    <w:p w:rsidR="005A60DF" w:rsidRPr="00B57DCF" w:rsidRDefault="005A60DF" w:rsidP="005A60DF">
      <w:pPr>
        <w:spacing w:line="240" w:lineRule="auto"/>
        <w:jc w:val="both"/>
        <w:rPr>
          <w:rFonts w:ascii="Times New Roman" w:hAnsi="Times New Roman" w:cs="Times New Roman"/>
          <w:sz w:val="24"/>
          <w:szCs w:val="24"/>
        </w:rPr>
      </w:pPr>
      <w:r w:rsidRPr="00B57DCF">
        <w:rPr>
          <w:rFonts w:ascii="Times New Roman" w:hAnsi="Times New Roman" w:cs="Times New Roman"/>
          <w:sz w:val="24"/>
          <w:szCs w:val="24"/>
        </w:rPr>
        <w:t>La situación se convierte en extrema en el caso de los mercados emergentes. El Merval argentino ganaba un +347 % y en Venezuela, el IBC (su índice de referencia) cerraba el año en el +169 %. Pese al frenesí bursátil, sus economías no son referentes a nivel mundial. De acuerdo con el Banco Mundial, el PIB argentino decreció un 2,5 %, mientras que en Venezuela siete de cada diez hogares (67,97 %) vivían en situación de pobreza extrema en 2021, según la Oficina de Naciones Unidas para la Coordi</w:t>
      </w:r>
      <w:r>
        <w:rPr>
          <w:rFonts w:ascii="Times New Roman" w:hAnsi="Times New Roman" w:cs="Times New Roman"/>
          <w:sz w:val="24"/>
          <w:szCs w:val="24"/>
        </w:rPr>
        <w:t>nación de Asuntos Humanitarios.</w:t>
      </w:r>
    </w:p>
    <w:p w:rsidR="005A60DF" w:rsidRPr="00225D51" w:rsidRDefault="005A60DF" w:rsidP="005A60DF">
      <w:pPr>
        <w:spacing w:line="240" w:lineRule="auto"/>
        <w:jc w:val="both"/>
        <w:rPr>
          <w:rFonts w:ascii="Times New Roman" w:hAnsi="Times New Roman" w:cs="Times New Roman"/>
          <w:color w:val="FF0000"/>
          <w:sz w:val="24"/>
          <w:szCs w:val="24"/>
        </w:rPr>
      </w:pPr>
      <w:r w:rsidRPr="00225D51">
        <w:rPr>
          <w:rFonts w:ascii="Times New Roman" w:hAnsi="Times New Roman" w:cs="Times New Roman"/>
          <w:color w:val="FF0000"/>
          <w:sz w:val="24"/>
          <w:szCs w:val="24"/>
        </w:rPr>
        <w:t>Con todo, ¿cómo se explica la desconexión existente entre mercados financieros y economía real?</w:t>
      </w:r>
    </w:p>
    <w:p w:rsidR="005A60DF" w:rsidRPr="00B57DCF" w:rsidRDefault="005A60DF" w:rsidP="005A60DF">
      <w:pPr>
        <w:spacing w:line="240" w:lineRule="auto"/>
        <w:jc w:val="both"/>
        <w:rPr>
          <w:rFonts w:ascii="Times New Roman" w:hAnsi="Times New Roman" w:cs="Times New Roman"/>
          <w:sz w:val="24"/>
          <w:szCs w:val="24"/>
        </w:rPr>
      </w:pPr>
      <w:r w:rsidRPr="00B57DCF">
        <w:rPr>
          <w:rFonts w:ascii="Times New Roman" w:hAnsi="Times New Roman" w:cs="Times New Roman"/>
          <w:sz w:val="24"/>
          <w:szCs w:val="24"/>
        </w:rPr>
        <w:t>La relación e</w:t>
      </w:r>
      <w:r>
        <w:rPr>
          <w:rFonts w:ascii="Times New Roman" w:hAnsi="Times New Roman" w:cs="Times New Roman"/>
          <w:sz w:val="24"/>
          <w:szCs w:val="24"/>
        </w:rPr>
        <w:t>ntre la economía y los mercados</w:t>
      </w:r>
    </w:p>
    <w:p w:rsidR="005A60DF" w:rsidRPr="00225D51" w:rsidRDefault="005A60DF" w:rsidP="005A60DF">
      <w:pPr>
        <w:spacing w:line="240" w:lineRule="auto"/>
        <w:jc w:val="both"/>
        <w:rPr>
          <w:rFonts w:ascii="Times New Roman" w:hAnsi="Times New Roman" w:cs="Times New Roman"/>
          <w:sz w:val="24"/>
          <w:szCs w:val="24"/>
          <w:u w:val="single"/>
        </w:rPr>
      </w:pPr>
      <w:r w:rsidRPr="00225D51">
        <w:rPr>
          <w:rFonts w:ascii="Times New Roman" w:hAnsi="Times New Roman" w:cs="Times New Roman"/>
          <w:sz w:val="24"/>
          <w:szCs w:val="24"/>
          <w:u w:val="single"/>
        </w:rPr>
        <w:t>Los mercados bursátiles están concebidos para estimular el crecimiento económico aumentando el ahorro interno y elevando el volumen de la inversión. Estos mercados, en particular, pueden promover la expansión económica al ofrecer a las empresas en desarrollo una forma más asequible de obtener efectivo. Además, las empresas de los países con mercados bursátiles consolidados dependen menos de la financiación bancaria, lo que reduce la posibilidad de una crisis crediticia.</w:t>
      </w:r>
    </w:p>
    <w:p w:rsidR="005A60DF" w:rsidRPr="00225D51" w:rsidRDefault="005A60DF" w:rsidP="005A60DF">
      <w:pPr>
        <w:spacing w:line="240" w:lineRule="auto"/>
        <w:jc w:val="both"/>
        <w:rPr>
          <w:rFonts w:ascii="Times New Roman" w:hAnsi="Times New Roman" w:cs="Times New Roman"/>
          <w:sz w:val="24"/>
          <w:szCs w:val="24"/>
          <w:u w:val="single"/>
        </w:rPr>
      </w:pPr>
      <w:r w:rsidRPr="00225D51">
        <w:rPr>
          <w:rFonts w:ascii="Times New Roman" w:hAnsi="Times New Roman" w:cs="Times New Roman"/>
          <w:sz w:val="24"/>
          <w:szCs w:val="24"/>
          <w:u w:val="single"/>
        </w:rPr>
        <w:t>La tasa de rendimiento para los ahorradores aumenta y hace más atractivo el ahorro si unos mercados de valores eficientes permiten destinar los recursos a proyectos de inversión con mayor rendimiento. Así, un mayor ahorro se dirige hacia el sector empresarial. Al utilizar el mecanismo de absorción, se espera que el mercado de valores también asegure que las inversiones anteriores se empleen de la forma más eficiente posible. Teóricamente, la mejor garantía de eficiencia en la utilización de los activos se espera de un mercado libre en el control corporativo, ya que proporciona disciplina financiera.</w:t>
      </w:r>
    </w:p>
    <w:p w:rsidR="005A60DF" w:rsidRPr="00225D51" w:rsidRDefault="005A60DF" w:rsidP="005A60DF">
      <w:pPr>
        <w:spacing w:line="240" w:lineRule="auto"/>
        <w:jc w:val="both"/>
        <w:rPr>
          <w:rFonts w:ascii="Times New Roman" w:hAnsi="Times New Roman" w:cs="Times New Roman"/>
          <w:color w:val="FF0000"/>
          <w:sz w:val="24"/>
          <w:szCs w:val="24"/>
          <w:u w:val="single"/>
        </w:rPr>
      </w:pPr>
      <w:r w:rsidRPr="00225D51">
        <w:rPr>
          <w:rFonts w:ascii="Times New Roman" w:hAnsi="Times New Roman" w:cs="Times New Roman"/>
          <w:color w:val="FF0000"/>
          <w:sz w:val="24"/>
          <w:szCs w:val="24"/>
          <w:u w:val="single"/>
        </w:rPr>
        <w:t>Existen indicadores económicos como el índice de producción industrial, la inflación o los tipos de interés que guardan gran relación con la fluctuación bursátil. En el caso de los cambios en el tipo de interés, estos son utilizados para descontar los flujos de caja futuros; por tanto, también influyen en los precios de los valores. Una vez más, esto significa que los precios pueden no reflejar necesariamente las proyecciones de crecimiento de la empresa. Empero, dicha relación es direccional, ya que grandes variaciones en los mercados pueden tener consecuencias en la economía real, y viceversa.</w:t>
      </w:r>
    </w:p>
    <w:p w:rsidR="005A60DF" w:rsidRPr="00225D51" w:rsidRDefault="005A60DF" w:rsidP="005A60DF">
      <w:pPr>
        <w:spacing w:line="240" w:lineRule="auto"/>
        <w:jc w:val="both"/>
        <w:rPr>
          <w:rFonts w:ascii="Times New Roman" w:hAnsi="Times New Roman" w:cs="Times New Roman"/>
          <w:color w:val="FF0000"/>
          <w:sz w:val="24"/>
          <w:szCs w:val="24"/>
          <w:u w:val="single"/>
        </w:rPr>
      </w:pPr>
      <w:r w:rsidRPr="00225D51">
        <w:rPr>
          <w:rFonts w:ascii="Times New Roman" w:hAnsi="Times New Roman" w:cs="Times New Roman"/>
          <w:color w:val="FF0000"/>
          <w:sz w:val="24"/>
          <w:szCs w:val="24"/>
          <w:u w:val="single"/>
        </w:rPr>
        <w:lastRenderedPageBreak/>
        <w:t>De igual modo, las valoraciones y los datos económicos no lo son todo dentro de los mercados bursátiles. Prueba de</w:t>
      </w:r>
      <w:r w:rsidR="00225D51" w:rsidRPr="00225D51">
        <w:rPr>
          <w:rFonts w:ascii="Times New Roman" w:hAnsi="Times New Roman" w:cs="Times New Roman"/>
          <w:color w:val="FF0000"/>
          <w:sz w:val="24"/>
          <w:szCs w:val="24"/>
          <w:u w:val="single"/>
        </w:rPr>
        <w:t xml:space="preserve"> ello es lo que se conoce como “exceso de volatilidad”</w:t>
      </w:r>
      <w:r w:rsidRPr="00225D51">
        <w:rPr>
          <w:rFonts w:ascii="Times New Roman" w:hAnsi="Times New Roman" w:cs="Times New Roman"/>
          <w:color w:val="FF0000"/>
          <w:sz w:val="24"/>
          <w:szCs w:val="24"/>
          <w:u w:val="single"/>
        </w:rPr>
        <w:t>, que Robert Shiller reconoció por primera vez en 1981 y que, posiblemente, sea la paradoja más importante de la economía financiera. Este exceso de volatilidad se traduce como el nivel de volatilidad superior al previsto por los teóricos del mercado eficiente, atribuido al comportamiento psicológico de los inversores.</w:t>
      </w:r>
    </w:p>
    <w:p w:rsidR="005A60DF" w:rsidRPr="00B57DCF" w:rsidRDefault="005A60DF" w:rsidP="005A60DF">
      <w:pPr>
        <w:spacing w:line="240" w:lineRule="auto"/>
        <w:jc w:val="both"/>
        <w:rPr>
          <w:rFonts w:ascii="Times New Roman" w:hAnsi="Times New Roman" w:cs="Times New Roman"/>
          <w:sz w:val="24"/>
          <w:szCs w:val="24"/>
        </w:rPr>
      </w:pPr>
      <w:r w:rsidRPr="00B57DCF">
        <w:rPr>
          <w:rFonts w:ascii="Times New Roman" w:hAnsi="Times New Roman" w:cs="Times New Roman"/>
          <w:sz w:val="24"/>
          <w:szCs w:val="24"/>
        </w:rPr>
        <w:t>Los desplomes bursátiles ligad</w:t>
      </w:r>
      <w:r>
        <w:rPr>
          <w:rFonts w:ascii="Times New Roman" w:hAnsi="Times New Roman" w:cs="Times New Roman"/>
          <w:sz w:val="24"/>
          <w:szCs w:val="24"/>
        </w:rPr>
        <w:t>os a acontecimientos dramáticos</w:t>
      </w:r>
    </w:p>
    <w:p w:rsidR="005A60DF" w:rsidRDefault="005A60DF" w:rsidP="005A60DF">
      <w:pPr>
        <w:spacing w:line="240" w:lineRule="auto"/>
        <w:jc w:val="both"/>
        <w:rPr>
          <w:rFonts w:ascii="Times New Roman" w:hAnsi="Times New Roman" w:cs="Times New Roman"/>
          <w:sz w:val="24"/>
          <w:szCs w:val="24"/>
        </w:rPr>
      </w:pPr>
      <w:r w:rsidRPr="00225D51">
        <w:rPr>
          <w:rFonts w:ascii="Times New Roman" w:hAnsi="Times New Roman" w:cs="Times New Roman"/>
          <w:color w:val="FF0000"/>
          <w:sz w:val="24"/>
          <w:szCs w:val="24"/>
          <w:u w:val="single"/>
        </w:rPr>
        <w:t>Un análisis de los rendimientos históricos de las inversiones bursátiles y del crecimiento del PIB sugiere que no siempre existe una estrecha relación</w:t>
      </w:r>
      <w:r w:rsidRPr="00B57DCF">
        <w:rPr>
          <w:rFonts w:ascii="Times New Roman" w:hAnsi="Times New Roman" w:cs="Times New Roman"/>
          <w:sz w:val="24"/>
          <w:szCs w:val="24"/>
        </w:rPr>
        <w:t>. Los desplomes bursátiles a gran escala han estado generalmente ligados a acontecimientos dramáticos, como una guerra mundial, los problemas monetarios de Alemania en 1924 y 1948, una inflación desbocada como en Reino Unido en 1975 e incluso pandemias y sus consecuencias, como la vivida en 2020. En algunos de estos casos, el PIB también experimentó caídas significativas, mientras que, en otros, la producción aumentó ese año.</w:t>
      </w:r>
    </w:p>
    <w:p w:rsidR="005A60DF" w:rsidRPr="00B57DCF" w:rsidRDefault="005A60DF" w:rsidP="005A60DF">
      <w:pPr>
        <w:spacing w:line="240" w:lineRule="auto"/>
        <w:jc w:val="both"/>
        <w:rPr>
          <w:rFonts w:ascii="Times New Roman" w:hAnsi="Times New Roman" w:cs="Times New Roman"/>
          <w:sz w:val="24"/>
          <w:szCs w:val="24"/>
        </w:rPr>
      </w:pPr>
      <w:r>
        <w:rPr>
          <w:noProof/>
          <w:lang w:eastAsia="es-ES"/>
        </w:rPr>
        <w:drawing>
          <wp:inline distT="0" distB="0" distL="0" distR="0" wp14:anchorId="0F0300AF" wp14:editId="013DF7D8">
            <wp:extent cx="5734050" cy="2482850"/>
            <wp:effectExtent l="0" t="0" r="0" b="0"/>
            <wp:docPr id="51" name="Imagen 51" descr="https://creandgroup.com/wp-content/uploads/Captura-graf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reandgroup.com/wp-content/uploads/Captura-grafico.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2481750"/>
                    </a:xfrm>
                    <a:prstGeom prst="rect">
                      <a:avLst/>
                    </a:prstGeom>
                    <a:noFill/>
                    <a:ln>
                      <a:noFill/>
                    </a:ln>
                  </pic:spPr>
                </pic:pic>
              </a:graphicData>
            </a:graphic>
          </wp:inline>
        </w:drawing>
      </w:r>
    </w:p>
    <w:p w:rsidR="005A60DF" w:rsidRPr="00B57DCF" w:rsidRDefault="005A60DF" w:rsidP="005A60DF">
      <w:pPr>
        <w:spacing w:line="240" w:lineRule="auto"/>
        <w:jc w:val="both"/>
        <w:rPr>
          <w:rFonts w:ascii="Times New Roman" w:hAnsi="Times New Roman" w:cs="Times New Roman"/>
          <w:sz w:val="24"/>
          <w:szCs w:val="24"/>
        </w:rPr>
      </w:pPr>
      <w:r w:rsidRPr="00B57DCF">
        <w:rPr>
          <w:rFonts w:ascii="Times New Roman" w:hAnsi="Times New Roman" w:cs="Times New Roman"/>
          <w:sz w:val="24"/>
          <w:szCs w:val="24"/>
        </w:rPr>
        <w:t>Destaca la situación que se vivió durante 2020, cuando tanto la Reserva Federal como el Banco Central Europeo ampliaron considerablemente sus programas de compra de activos. Estas medidas de política monetaria no convencional pretendían mejorar las valoraciones de los mercados, ya fuera mejorando las perspectivas fundamentales de las empresas o reduciendo los tipos de descuento. A pesar de la desconexión entre los mercados bursátiles y los indicadores reales, se esperaba que cualquier mejora de las perspectivas fundamentales beneficiara desproporcionada</w:t>
      </w:r>
      <w:r>
        <w:rPr>
          <w:rFonts w:ascii="Times New Roman" w:hAnsi="Times New Roman" w:cs="Times New Roman"/>
          <w:sz w:val="24"/>
          <w:szCs w:val="24"/>
        </w:rPr>
        <w:t>mente a las empresas cotizadas.</w:t>
      </w:r>
    </w:p>
    <w:p w:rsidR="005A60DF" w:rsidRPr="00B57DCF" w:rsidRDefault="005A60DF" w:rsidP="005A60DF">
      <w:pPr>
        <w:spacing w:line="240" w:lineRule="auto"/>
        <w:jc w:val="both"/>
        <w:rPr>
          <w:rFonts w:ascii="Times New Roman" w:hAnsi="Times New Roman" w:cs="Times New Roman"/>
          <w:sz w:val="24"/>
          <w:szCs w:val="24"/>
        </w:rPr>
      </w:pPr>
      <w:r w:rsidRPr="00B57DCF">
        <w:rPr>
          <w:rFonts w:ascii="Times New Roman" w:hAnsi="Times New Roman" w:cs="Times New Roman"/>
          <w:sz w:val="24"/>
          <w:szCs w:val="24"/>
        </w:rPr>
        <w:t xml:space="preserve">Aunque estos programas de los bancos centrales probablemente desempeñaron un papel crucial en la limitación de la inestabilidad financiera durante la pandemia, no impidieron un descenso de las previsiones de beneficios de las empresas cotizadas. La discrepancia entre la trayectoria de los rendimientos, explicada por las proyecciones de beneficios a medio plazo, y los rendimientos </w:t>
      </w:r>
      <w:r>
        <w:rPr>
          <w:rFonts w:ascii="Times New Roman" w:hAnsi="Times New Roman" w:cs="Times New Roman"/>
          <w:sz w:val="24"/>
          <w:szCs w:val="24"/>
        </w:rPr>
        <w:t>reales provocó una divergencia.</w:t>
      </w:r>
    </w:p>
    <w:p w:rsidR="005A60DF" w:rsidRDefault="005A60DF" w:rsidP="005A60DF">
      <w:pPr>
        <w:spacing w:line="240" w:lineRule="auto"/>
        <w:jc w:val="both"/>
        <w:rPr>
          <w:rFonts w:ascii="Times New Roman" w:hAnsi="Times New Roman" w:cs="Times New Roman"/>
          <w:sz w:val="24"/>
          <w:szCs w:val="24"/>
        </w:rPr>
      </w:pPr>
      <w:r w:rsidRPr="00B57DCF">
        <w:rPr>
          <w:rFonts w:ascii="Times New Roman" w:hAnsi="Times New Roman" w:cs="Times New Roman"/>
          <w:sz w:val="24"/>
          <w:szCs w:val="24"/>
        </w:rPr>
        <w:t>De igual modo, los programas influyeron significativamente en las tasas de descuento, provocando una fuerte caída. Esta disminución de las tasas de descuento se identifica como el efecto de la caída de los tipos de interés, un factor importante detrás del movimiento alcista de los mercados bursátiles tanto en</w:t>
      </w:r>
      <w:r>
        <w:rPr>
          <w:rFonts w:ascii="Times New Roman" w:hAnsi="Times New Roman" w:cs="Times New Roman"/>
          <w:sz w:val="24"/>
          <w:szCs w:val="24"/>
        </w:rPr>
        <w:t xml:space="preserve"> Estados Unidos como en Europa.</w:t>
      </w:r>
    </w:p>
    <w:p w:rsidR="00656D9D" w:rsidRPr="00B57DCF" w:rsidRDefault="00656D9D" w:rsidP="005A60DF">
      <w:pPr>
        <w:spacing w:line="240" w:lineRule="auto"/>
        <w:jc w:val="both"/>
        <w:rPr>
          <w:rFonts w:ascii="Times New Roman" w:hAnsi="Times New Roman" w:cs="Times New Roman"/>
          <w:sz w:val="24"/>
          <w:szCs w:val="24"/>
        </w:rPr>
      </w:pPr>
    </w:p>
    <w:p w:rsidR="005A60DF" w:rsidRPr="00B57DCF" w:rsidRDefault="005A60DF" w:rsidP="005A60DF">
      <w:pPr>
        <w:spacing w:line="240" w:lineRule="auto"/>
        <w:jc w:val="both"/>
        <w:rPr>
          <w:rFonts w:ascii="Times New Roman" w:hAnsi="Times New Roman" w:cs="Times New Roman"/>
          <w:sz w:val="24"/>
          <w:szCs w:val="24"/>
        </w:rPr>
      </w:pPr>
      <w:r w:rsidRPr="00B57DCF">
        <w:rPr>
          <w:rFonts w:ascii="Times New Roman" w:hAnsi="Times New Roman" w:cs="Times New Roman"/>
          <w:sz w:val="24"/>
          <w:szCs w:val="24"/>
        </w:rPr>
        <w:lastRenderedPageBreak/>
        <w:t>El impacto d</w:t>
      </w:r>
      <w:r>
        <w:rPr>
          <w:rFonts w:ascii="Times New Roman" w:hAnsi="Times New Roman" w:cs="Times New Roman"/>
          <w:sz w:val="24"/>
          <w:szCs w:val="24"/>
        </w:rPr>
        <w:t>e las emociones en los mercados</w:t>
      </w:r>
    </w:p>
    <w:p w:rsidR="005A60DF" w:rsidRPr="004563AA" w:rsidRDefault="005A60DF" w:rsidP="005A60DF">
      <w:pPr>
        <w:spacing w:line="240" w:lineRule="auto"/>
        <w:jc w:val="both"/>
        <w:rPr>
          <w:rFonts w:ascii="Times New Roman" w:hAnsi="Times New Roman" w:cs="Times New Roman"/>
          <w:color w:val="FF0000"/>
          <w:sz w:val="24"/>
          <w:szCs w:val="24"/>
          <w:u w:val="single"/>
        </w:rPr>
      </w:pPr>
      <w:r w:rsidRPr="004563AA">
        <w:rPr>
          <w:rFonts w:ascii="Times New Roman" w:hAnsi="Times New Roman" w:cs="Times New Roman"/>
          <w:color w:val="FF0000"/>
          <w:sz w:val="24"/>
          <w:szCs w:val="24"/>
          <w:u w:val="single"/>
        </w:rPr>
        <w:t>En los últimos años, los principales índices han experimentado grandes flujos de entrada. En este sentido, Richard Thaler destaca el impacto de las emociones en los mercados financi</w:t>
      </w:r>
      <w:r w:rsidR="00225D51" w:rsidRPr="004563AA">
        <w:rPr>
          <w:rFonts w:ascii="Times New Roman" w:hAnsi="Times New Roman" w:cs="Times New Roman"/>
          <w:color w:val="FF0000"/>
          <w:sz w:val="24"/>
          <w:szCs w:val="24"/>
          <w:u w:val="single"/>
        </w:rPr>
        <w:t>eros. Introduce el concepto de “racionalidad limitada”</w:t>
      </w:r>
      <w:r w:rsidRPr="004563AA">
        <w:rPr>
          <w:rFonts w:ascii="Times New Roman" w:hAnsi="Times New Roman" w:cs="Times New Roman"/>
          <w:color w:val="FF0000"/>
          <w:sz w:val="24"/>
          <w:szCs w:val="24"/>
          <w:u w:val="single"/>
        </w:rPr>
        <w:t>, que sugiere que los individuos tienen capacidades cognitivas limitadas y, a menudo, toman decisiones basadas en heurísticas o reglas empíricas más que en un análisis exhaustivo. En el contexto de los mercados, emociones como el miedo, el exceso de confianza y el comportamiento gregario pueden provocar ineficiencias y desviaciones de los valores fundamentales. Las ideas de Thaler cuestionan la hipótesis del mercado eficiente y subrayan la importancia de comprender la psicología humana y las emociones para explicar los fenómenos del mercado.</w:t>
      </w:r>
    </w:p>
    <w:p w:rsidR="005A60DF" w:rsidRPr="004563AA" w:rsidRDefault="005A60DF" w:rsidP="005A60DF">
      <w:pPr>
        <w:spacing w:line="240" w:lineRule="auto"/>
        <w:jc w:val="both"/>
        <w:rPr>
          <w:rFonts w:ascii="Times New Roman" w:hAnsi="Times New Roman" w:cs="Times New Roman"/>
          <w:color w:val="FF0000"/>
          <w:sz w:val="24"/>
          <w:szCs w:val="24"/>
          <w:u w:val="single"/>
        </w:rPr>
      </w:pPr>
      <w:r w:rsidRPr="004563AA">
        <w:rPr>
          <w:rFonts w:ascii="Times New Roman" w:hAnsi="Times New Roman" w:cs="Times New Roman"/>
          <w:color w:val="FF0000"/>
          <w:sz w:val="24"/>
          <w:szCs w:val="24"/>
          <w:u w:val="single"/>
        </w:rPr>
        <w:t>En resumen, la tesis de Thaler resalta la importancia de incorporar los factores conductuales y las emociones en los modelos económicos. De esta forma, se ofrece una descripción más precisa del funcionamiento de los individuos y los mercados, añadiendo así nuevas variables que puedan explicar el comportamiento de los índices bursátiles.</w:t>
      </w:r>
    </w:p>
    <w:p w:rsidR="005A60DF" w:rsidRPr="004563AA" w:rsidRDefault="005A60DF" w:rsidP="005A60DF">
      <w:pPr>
        <w:spacing w:line="240" w:lineRule="auto"/>
        <w:jc w:val="both"/>
        <w:rPr>
          <w:rFonts w:ascii="Times New Roman" w:hAnsi="Times New Roman" w:cs="Times New Roman"/>
          <w:color w:val="FF0000"/>
          <w:sz w:val="24"/>
          <w:szCs w:val="24"/>
          <w:u w:val="single"/>
        </w:rPr>
      </w:pPr>
      <w:r w:rsidRPr="004563AA">
        <w:rPr>
          <w:rFonts w:ascii="Times New Roman" w:hAnsi="Times New Roman" w:cs="Times New Roman"/>
          <w:color w:val="FF0000"/>
          <w:sz w:val="24"/>
          <w:szCs w:val="24"/>
          <w:u w:val="single"/>
        </w:rPr>
        <w:t>En definitiva, el poder de predicción del mercado bursátil dista mucho de ser perfecto. A lo largo de la historia los precios han experimentado una considerable volatilidad, lo que sugiere incertidumbre sobre el futuro. Los patrones históricos apuntan a que el mercado bursátil puede ser un indicador útil de la economía real, pero debemos ser cautos a la hora de hacer predicciones audaces, dada la mayor incertidumbre que encontramos en los mercados actuales.</w:t>
      </w:r>
    </w:p>
    <w:p w:rsidR="005A60DF" w:rsidRDefault="005A60DF" w:rsidP="005A60DF">
      <w:pPr>
        <w:spacing w:line="240" w:lineRule="auto"/>
        <w:jc w:val="both"/>
        <w:rPr>
          <w:rFonts w:ascii="Times New Roman" w:hAnsi="Times New Roman" w:cs="Times New Roman"/>
          <w:sz w:val="24"/>
          <w:szCs w:val="24"/>
          <w:lang w:val="en-GB"/>
        </w:rPr>
      </w:pPr>
      <w:r w:rsidRPr="00B57DCF">
        <w:rPr>
          <w:rFonts w:ascii="Times New Roman" w:hAnsi="Times New Roman" w:cs="Times New Roman"/>
          <w:sz w:val="24"/>
          <w:szCs w:val="24"/>
          <w:lang w:val="en-GB"/>
        </w:rPr>
        <w:t>(Juan Litrán - Analista de Family Office en Creand Asset Management</w:t>
      </w:r>
      <w:r>
        <w:rPr>
          <w:rFonts w:ascii="Times New Roman" w:hAnsi="Times New Roman" w:cs="Times New Roman"/>
          <w:sz w:val="24"/>
          <w:szCs w:val="24"/>
          <w:lang w:val="en-GB"/>
        </w:rPr>
        <w:t>)</w:t>
      </w:r>
    </w:p>
    <w:p w:rsidR="005A60DF" w:rsidRDefault="005A60DF" w:rsidP="005A60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9499A">
        <w:rPr>
          <w:rFonts w:ascii="Times New Roman" w:hAnsi="Times New Roman" w:cs="Times New Roman"/>
          <w:sz w:val="24"/>
          <w:szCs w:val="24"/>
          <w:u w:val="single"/>
        </w:rPr>
        <w:t>Mapa de correlación de clases de activos</w:t>
      </w:r>
      <w:r>
        <w:rPr>
          <w:rFonts w:ascii="Times New Roman" w:hAnsi="Times New Roman" w:cs="Times New Roman"/>
          <w:sz w:val="24"/>
          <w:szCs w:val="24"/>
        </w:rPr>
        <w:t xml:space="preserve"> (</w:t>
      </w:r>
      <w:r w:rsidRPr="0079499A">
        <w:rPr>
          <w:rFonts w:ascii="Times New Roman" w:hAnsi="Times New Roman" w:cs="Times New Roman"/>
          <w:sz w:val="24"/>
          <w:szCs w:val="24"/>
        </w:rPr>
        <w:t>Guggenheim Investments</w:t>
      </w:r>
      <w:r>
        <w:rPr>
          <w:rFonts w:ascii="Times New Roman" w:hAnsi="Times New Roman" w:cs="Times New Roman"/>
          <w:sz w:val="24"/>
          <w:szCs w:val="24"/>
        </w:rPr>
        <w:t xml:space="preserve"> - 2025)</w:t>
      </w:r>
    </w:p>
    <w:p w:rsidR="005A60DF" w:rsidRDefault="005A60DF" w:rsidP="005A60DF">
      <w:pPr>
        <w:spacing w:line="240" w:lineRule="auto"/>
        <w:jc w:val="both"/>
        <w:rPr>
          <w:rFonts w:ascii="Times New Roman" w:hAnsi="Times New Roman" w:cs="Times New Roman"/>
          <w:sz w:val="24"/>
          <w:szCs w:val="24"/>
        </w:rPr>
      </w:pPr>
      <w:r w:rsidRPr="00B57DCF">
        <w:rPr>
          <w:rFonts w:ascii="Times New Roman" w:hAnsi="Times New Roman" w:cs="Times New Roman"/>
          <w:noProof/>
          <w:sz w:val="24"/>
          <w:szCs w:val="24"/>
          <w:lang w:eastAsia="es-ES"/>
        </w:rPr>
        <w:drawing>
          <wp:inline distT="0" distB="0" distL="0" distR="0" wp14:anchorId="4159CAC6" wp14:editId="2CC4D557">
            <wp:extent cx="5727700" cy="4051300"/>
            <wp:effectExtent l="0" t="0" r="6350"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4053995"/>
                    </a:xfrm>
                    <a:prstGeom prst="rect">
                      <a:avLst/>
                    </a:prstGeom>
                  </pic:spPr>
                </pic:pic>
              </a:graphicData>
            </a:graphic>
          </wp:inline>
        </w:drawing>
      </w:r>
    </w:p>
    <w:p w:rsidR="005A60DF" w:rsidRPr="00B57DCF" w:rsidRDefault="005A60DF" w:rsidP="005A60DF">
      <w:pPr>
        <w:spacing w:line="240" w:lineRule="auto"/>
        <w:jc w:val="both"/>
        <w:rPr>
          <w:rFonts w:ascii="Times New Roman" w:hAnsi="Times New Roman" w:cs="Times New Roman"/>
          <w:sz w:val="24"/>
          <w:szCs w:val="24"/>
        </w:rPr>
      </w:pPr>
      <w:r w:rsidRPr="00B57DCF">
        <w:rPr>
          <w:rFonts w:ascii="Times New Roman" w:hAnsi="Times New Roman" w:cs="Times New Roman"/>
          <w:noProof/>
          <w:sz w:val="24"/>
          <w:szCs w:val="24"/>
          <w:lang w:eastAsia="es-ES"/>
        </w:rPr>
        <w:lastRenderedPageBreak/>
        <w:drawing>
          <wp:inline distT="0" distB="0" distL="0" distR="0" wp14:anchorId="16392D85" wp14:editId="2A9402A9">
            <wp:extent cx="5937250" cy="1701800"/>
            <wp:effectExtent l="0" t="0" r="635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34620" cy="1701046"/>
                    </a:xfrm>
                    <a:prstGeom prst="rect">
                      <a:avLst/>
                    </a:prstGeom>
                  </pic:spPr>
                </pic:pic>
              </a:graphicData>
            </a:graphic>
          </wp:inline>
        </w:drawing>
      </w:r>
    </w:p>
    <w:p w:rsidR="005A60DF" w:rsidRDefault="005A60DF" w:rsidP="005A60DF">
      <w:pPr>
        <w:spacing w:line="240" w:lineRule="auto"/>
        <w:jc w:val="both"/>
        <w:rPr>
          <w:rFonts w:ascii="Times New Roman" w:hAnsi="Times New Roman" w:cs="Times New Roman"/>
          <w:b/>
          <w:color w:val="FF0000"/>
          <w:sz w:val="24"/>
          <w:szCs w:val="24"/>
        </w:rPr>
      </w:pPr>
      <w:r w:rsidRPr="0079499A">
        <w:rPr>
          <w:rFonts w:ascii="Times New Roman" w:hAnsi="Times New Roman" w:cs="Times New Roman"/>
          <w:b/>
          <w:noProof/>
          <w:color w:val="FF0000"/>
          <w:sz w:val="24"/>
          <w:szCs w:val="24"/>
          <w:lang w:eastAsia="es-ES"/>
        </w:rPr>
        <w:drawing>
          <wp:inline distT="0" distB="0" distL="0" distR="0" wp14:anchorId="0B36E1D8" wp14:editId="5382C3C8">
            <wp:extent cx="5726694" cy="3251200"/>
            <wp:effectExtent l="0" t="0" r="762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3253934"/>
                    </a:xfrm>
                    <a:prstGeom prst="rect">
                      <a:avLst/>
                    </a:prstGeom>
                  </pic:spPr>
                </pic:pic>
              </a:graphicData>
            </a:graphic>
          </wp:inline>
        </w:drawing>
      </w:r>
    </w:p>
    <w:p w:rsidR="005A60DF" w:rsidRPr="0079499A" w:rsidRDefault="005A60DF" w:rsidP="005A60DF">
      <w:pPr>
        <w:spacing w:line="240" w:lineRule="auto"/>
        <w:jc w:val="both"/>
        <w:rPr>
          <w:rFonts w:ascii="Times New Roman" w:hAnsi="Times New Roman" w:cs="Times New Roman"/>
          <w:sz w:val="24"/>
          <w:szCs w:val="24"/>
        </w:rPr>
      </w:pPr>
      <w:r w:rsidRPr="0079499A">
        <w:rPr>
          <w:rFonts w:ascii="Times New Roman" w:hAnsi="Times New Roman" w:cs="Times New Roman"/>
          <w:sz w:val="24"/>
          <w:szCs w:val="24"/>
        </w:rPr>
        <w:t>¿Está diversificada su cartera?</w:t>
      </w:r>
    </w:p>
    <w:p w:rsidR="005A60DF" w:rsidRPr="0079499A" w:rsidRDefault="005A60DF" w:rsidP="005A60DF">
      <w:pPr>
        <w:spacing w:line="240" w:lineRule="auto"/>
        <w:jc w:val="both"/>
        <w:rPr>
          <w:rFonts w:ascii="Times New Roman" w:hAnsi="Times New Roman" w:cs="Times New Roman"/>
          <w:sz w:val="24"/>
          <w:szCs w:val="24"/>
        </w:rPr>
      </w:pPr>
      <w:r w:rsidRPr="0079499A">
        <w:rPr>
          <w:rFonts w:ascii="Times New Roman" w:hAnsi="Times New Roman" w:cs="Times New Roman"/>
          <w:sz w:val="24"/>
          <w:szCs w:val="24"/>
        </w:rPr>
        <w:t>Si está invirtiendo en clases de activos que tienen un rendimiento similar, especialmente en mercados con tendencia a la baja, la respuesta podría ser no.</w:t>
      </w:r>
    </w:p>
    <w:p w:rsidR="005A60DF" w:rsidRDefault="005A60DF" w:rsidP="005A60DF">
      <w:pPr>
        <w:spacing w:line="240" w:lineRule="auto"/>
        <w:jc w:val="both"/>
        <w:rPr>
          <w:rFonts w:ascii="Times New Roman" w:hAnsi="Times New Roman" w:cs="Times New Roman"/>
          <w:sz w:val="24"/>
          <w:szCs w:val="24"/>
        </w:rPr>
      </w:pPr>
      <w:r w:rsidRPr="0079499A">
        <w:rPr>
          <w:rFonts w:ascii="Times New Roman" w:hAnsi="Times New Roman" w:cs="Times New Roman"/>
          <w:sz w:val="24"/>
          <w:szCs w:val="24"/>
        </w:rPr>
        <w:t>Por el contrario, invertir en clases de activos con poca o ninguna correlación entre sí puede ayudarle a mejorar la diversificación y reducir la volatilidad de la cartera. Si bien la diversificación no garantiza la rentabilidad ni elimina el riesgo de pérdidas, lo ideal es contar con una combinación de clases de activos no correlacionadas para intentar reducir la volatilidad general de la cartera y generar rentabilidades más consistentes a largo plazo.</w:t>
      </w:r>
    </w:p>
    <w:p w:rsidR="005A60DF" w:rsidRPr="007718B2" w:rsidRDefault="005A60DF" w:rsidP="005A60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718B2">
        <w:rPr>
          <w:rFonts w:ascii="Times New Roman" w:hAnsi="Times New Roman" w:cs="Times New Roman"/>
          <w:sz w:val="24"/>
          <w:szCs w:val="24"/>
          <w:u w:val="single"/>
        </w:rPr>
        <w:t>Comparación entre el Nikkei 225 y otros Índices Globales</w:t>
      </w:r>
      <w:r w:rsidR="00A54C83">
        <w:rPr>
          <w:rFonts w:ascii="Times New Roman" w:hAnsi="Times New Roman" w:cs="Times New Roman"/>
          <w:sz w:val="24"/>
          <w:szCs w:val="24"/>
        </w:rPr>
        <w:t xml:space="preserve"> (</w:t>
      </w:r>
      <w:r w:rsidR="00A54C83" w:rsidRPr="00A54C83">
        <w:rPr>
          <w:rFonts w:ascii="Times New Roman" w:hAnsi="Times New Roman" w:cs="Times New Roman"/>
          <w:sz w:val="24"/>
          <w:szCs w:val="24"/>
        </w:rPr>
        <w:t>https://finanzasclaras.es/indices-bursatiles-japon/</w:t>
      </w:r>
      <w:r w:rsidR="00A54C83">
        <w:rPr>
          <w:rFonts w:ascii="Times New Roman" w:hAnsi="Times New Roman" w:cs="Times New Roman"/>
          <w:sz w:val="24"/>
          <w:szCs w:val="24"/>
        </w:rPr>
        <w:t>)</w:t>
      </w:r>
    </w:p>
    <w:p w:rsidR="005A60DF" w:rsidRPr="004563AA" w:rsidRDefault="005A60DF" w:rsidP="005A60DF">
      <w:pPr>
        <w:spacing w:line="240" w:lineRule="auto"/>
        <w:jc w:val="both"/>
        <w:rPr>
          <w:rFonts w:ascii="Times New Roman" w:hAnsi="Times New Roman" w:cs="Times New Roman"/>
          <w:color w:val="FF0000"/>
          <w:sz w:val="24"/>
          <w:szCs w:val="24"/>
        </w:rPr>
      </w:pPr>
      <w:r w:rsidRPr="004563AA">
        <w:rPr>
          <w:rFonts w:ascii="Times New Roman" w:hAnsi="Times New Roman" w:cs="Times New Roman"/>
          <w:color w:val="FF0000"/>
          <w:sz w:val="24"/>
          <w:szCs w:val="24"/>
        </w:rPr>
        <w:t>Al comparar el Nikkei 225 con otros índices</w:t>
      </w:r>
      <w:r w:rsidR="004563AA" w:rsidRPr="004563AA">
        <w:rPr>
          <w:rFonts w:ascii="Times New Roman" w:hAnsi="Times New Roman" w:cs="Times New Roman"/>
          <w:color w:val="FF0000"/>
          <w:sz w:val="24"/>
          <w:szCs w:val="24"/>
        </w:rPr>
        <w:t xml:space="preserve"> globales como el S&amp;P 500 de EEUU</w:t>
      </w:r>
      <w:r w:rsidRPr="004563AA">
        <w:rPr>
          <w:rFonts w:ascii="Times New Roman" w:hAnsi="Times New Roman" w:cs="Times New Roman"/>
          <w:color w:val="FF0000"/>
          <w:sz w:val="24"/>
          <w:szCs w:val="24"/>
        </w:rPr>
        <w:t xml:space="preserve"> o el DAX de Alemania, se pueden observar diferencias significativas en la composición y el rendimiento. Mientras que el S&amp;P 500 incluye una amplia gama de sectores y está más diversificado en términos de tamaño de las empresas, el Nikkei 225 tiende a estar más concentrado en sectores como la tecnología y la fabricación. Además, la volatilidad del Nikkei ha sido históricamente diferente; por ejemplo, en momentos de incertidumbre económica global, el índice japonés puede reaccionar de manera distinta debido a factores </w:t>
      </w:r>
      <w:r w:rsidRPr="004563AA">
        <w:rPr>
          <w:rFonts w:ascii="Times New Roman" w:hAnsi="Times New Roman" w:cs="Times New Roman"/>
          <w:color w:val="FF0000"/>
          <w:sz w:val="24"/>
          <w:szCs w:val="24"/>
        </w:rPr>
        <w:lastRenderedPageBreak/>
        <w:t>como el tipo de cambio del yen y las políticas del Banco de Japón. El análisis de estas diferencias es crucial para los inversores que buscan diversificar sus carteras y entender las dynamics del mercado japonés en un contexto más amplio</w:t>
      </w:r>
      <w:r w:rsidR="00A54C83">
        <w:rPr>
          <w:rFonts w:ascii="Times New Roman" w:hAnsi="Times New Roman" w:cs="Times New Roman"/>
          <w:color w:val="FF0000"/>
          <w:sz w:val="24"/>
          <w:szCs w:val="24"/>
        </w:rPr>
        <w:t>…</w:t>
      </w:r>
    </w:p>
    <w:p w:rsidR="005A60DF" w:rsidRDefault="005A60DF" w:rsidP="005A60DF">
      <w:pPr>
        <w:spacing w:line="240" w:lineRule="auto"/>
        <w:jc w:val="both"/>
        <w:rPr>
          <w:rFonts w:ascii="Times New Roman" w:hAnsi="Times New Roman" w:cs="Times New Roman"/>
          <w:sz w:val="24"/>
          <w:szCs w:val="24"/>
        </w:rPr>
      </w:pPr>
      <w:r w:rsidRPr="00513E38">
        <w:rPr>
          <w:rFonts w:ascii="Times New Roman" w:hAnsi="Times New Roman" w:cs="Times New Roman"/>
          <w:noProof/>
          <w:sz w:val="24"/>
          <w:szCs w:val="24"/>
          <w:lang w:eastAsia="es-ES"/>
        </w:rPr>
        <w:drawing>
          <wp:inline distT="0" distB="0" distL="0" distR="0" wp14:anchorId="5A9D9EDB" wp14:editId="6BE4112C">
            <wp:extent cx="5727700" cy="3714750"/>
            <wp:effectExtent l="0" t="0" r="635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3717221"/>
                    </a:xfrm>
                    <a:prstGeom prst="rect">
                      <a:avLst/>
                    </a:prstGeom>
                  </pic:spPr>
                </pic:pic>
              </a:graphicData>
            </a:graphic>
          </wp:inline>
        </w:drawing>
      </w:r>
    </w:p>
    <w:p w:rsidR="005A60DF" w:rsidRDefault="005A60DF" w:rsidP="005A60DF">
      <w:pPr>
        <w:spacing w:line="240" w:lineRule="auto"/>
        <w:jc w:val="both"/>
        <w:rPr>
          <w:rFonts w:ascii="Times New Roman" w:hAnsi="Times New Roman" w:cs="Times New Roman"/>
          <w:sz w:val="24"/>
          <w:szCs w:val="24"/>
        </w:rPr>
      </w:pPr>
      <w:r w:rsidRPr="00513E38">
        <w:rPr>
          <w:rFonts w:ascii="Times New Roman" w:hAnsi="Times New Roman" w:cs="Times New Roman"/>
          <w:noProof/>
          <w:sz w:val="24"/>
          <w:szCs w:val="24"/>
          <w:lang w:eastAsia="es-ES"/>
        </w:rPr>
        <w:drawing>
          <wp:inline distT="0" distB="0" distL="0" distR="0" wp14:anchorId="2773A81E" wp14:editId="1B05465E">
            <wp:extent cx="5733296" cy="3962400"/>
            <wp:effectExtent l="0" t="0" r="127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3961166"/>
                    </a:xfrm>
                    <a:prstGeom prst="rect">
                      <a:avLst/>
                    </a:prstGeom>
                  </pic:spPr>
                </pic:pic>
              </a:graphicData>
            </a:graphic>
          </wp:inline>
        </w:drawing>
      </w:r>
    </w:p>
    <w:p w:rsidR="005A60DF" w:rsidRPr="007718B2" w:rsidRDefault="005A60DF" w:rsidP="005A60DF">
      <w:pPr>
        <w:spacing w:line="240" w:lineRule="auto"/>
        <w:jc w:val="both"/>
        <w:rPr>
          <w:rFonts w:ascii="Times New Roman" w:hAnsi="Times New Roman" w:cs="Times New Roman"/>
          <w:sz w:val="24"/>
          <w:szCs w:val="24"/>
        </w:rPr>
      </w:pPr>
      <w:r w:rsidRPr="00513E38">
        <w:rPr>
          <w:rFonts w:ascii="Times New Roman" w:hAnsi="Times New Roman" w:cs="Times New Roman"/>
          <w:noProof/>
          <w:sz w:val="24"/>
          <w:szCs w:val="24"/>
          <w:lang w:eastAsia="es-ES"/>
        </w:rPr>
        <w:lastRenderedPageBreak/>
        <w:drawing>
          <wp:inline distT="0" distB="0" distL="0" distR="0" wp14:anchorId="346931DB" wp14:editId="42AA70C1">
            <wp:extent cx="5729364" cy="4152900"/>
            <wp:effectExtent l="0" t="0" r="508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4154455"/>
                    </a:xfrm>
                    <a:prstGeom prst="rect">
                      <a:avLst/>
                    </a:prstGeom>
                  </pic:spPr>
                </pic:pic>
              </a:graphicData>
            </a:graphic>
          </wp:inline>
        </w:drawing>
      </w:r>
    </w:p>
    <w:p w:rsidR="005A60DF" w:rsidRDefault="005A60DF" w:rsidP="005A60DF">
      <w:pPr>
        <w:spacing w:line="240" w:lineRule="auto"/>
        <w:jc w:val="both"/>
        <w:rPr>
          <w:rFonts w:ascii="Times New Roman" w:hAnsi="Times New Roman" w:cs="Times New Roman"/>
          <w:sz w:val="24"/>
          <w:szCs w:val="24"/>
        </w:rPr>
      </w:pPr>
      <w:r w:rsidRPr="00440D3F">
        <w:rPr>
          <w:rFonts w:ascii="Times New Roman" w:hAnsi="Times New Roman" w:cs="Times New Roman"/>
          <w:noProof/>
          <w:sz w:val="24"/>
          <w:szCs w:val="24"/>
          <w:lang w:eastAsia="es-ES"/>
        </w:rPr>
        <w:drawing>
          <wp:inline distT="0" distB="0" distL="0" distR="0" wp14:anchorId="1FB47FEC" wp14:editId="6A9C321C">
            <wp:extent cx="5731510" cy="4433960"/>
            <wp:effectExtent l="0" t="0" r="2540" b="508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4433960"/>
                    </a:xfrm>
                    <a:prstGeom prst="rect">
                      <a:avLst/>
                    </a:prstGeom>
                  </pic:spPr>
                </pic:pic>
              </a:graphicData>
            </a:graphic>
          </wp:inline>
        </w:drawing>
      </w:r>
    </w:p>
    <w:p w:rsidR="005A60DF" w:rsidRDefault="005A60DF" w:rsidP="005A60DF">
      <w:pPr>
        <w:spacing w:line="240" w:lineRule="auto"/>
        <w:jc w:val="both"/>
        <w:rPr>
          <w:rFonts w:ascii="Times New Roman" w:hAnsi="Times New Roman" w:cs="Times New Roman"/>
          <w:sz w:val="24"/>
          <w:szCs w:val="24"/>
        </w:rPr>
      </w:pPr>
      <w:r w:rsidRPr="00440D3F">
        <w:rPr>
          <w:rFonts w:ascii="Times New Roman" w:hAnsi="Times New Roman" w:cs="Times New Roman"/>
          <w:noProof/>
          <w:sz w:val="24"/>
          <w:szCs w:val="24"/>
          <w:lang w:eastAsia="es-ES"/>
        </w:rPr>
        <w:lastRenderedPageBreak/>
        <w:drawing>
          <wp:inline distT="0" distB="0" distL="0" distR="0" wp14:anchorId="053B50EA" wp14:editId="4F9BD455">
            <wp:extent cx="5732032" cy="4197350"/>
            <wp:effectExtent l="0" t="0" r="254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4196968"/>
                    </a:xfrm>
                    <a:prstGeom prst="rect">
                      <a:avLst/>
                    </a:prstGeom>
                  </pic:spPr>
                </pic:pic>
              </a:graphicData>
            </a:graphic>
          </wp:inline>
        </w:drawing>
      </w:r>
    </w:p>
    <w:p w:rsidR="005A60DF" w:rsidRDefault="005A60DF" w:rsidP="005A60DF">
      <w:pPr>
        <w:spacing w:line="240" w:lineRule="auto"/>
        <w:jc w:val="both"/>
        <w:rPr>
          <w:rFonts w:ascii="Times New Roman" w:hAnsi="Times New Roman" w:cs="Times New Roman"/>
          <w:sz w:val="24"/>
          <w:szCs w:val="24"/>
        </w:rPr>
      </w:pPr>
      <w:r w:rsidRPr="00513E38">
        <w:rPr>
          <w:rFonts w:ascii="Times New Roman" w:hAnsi="Times New Roman" w:cs="Times New Roman"/>
          <w:noProof/>
          <w:sz w:val="24"/>
          <w:szCs w:val="24"/>
          <w:lang w:eastAsia="es-ES"/>
        </w:rPr>
        <w:drawing>
          <wp:inline distT="0" distB="0" distL="0" distR="0" wp14:anchorId="282DAAFB" wp14:editId="7B051A73">
            <wp:extent cx="5727875" cy="4260850"/>
            <wp:effectExtent l="0" t="0" r="6350"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4263554"/>
                    </a:xfrm>
                    <a:prstGeom prst="rect">
                      <a:avLst/>
                    </a:prstGeom>
                  </pic:spPr>
                </pic:pic>
              </a:graphicData>
            </a:graphic>
          </wp:inline>
        </w:drawing>
      </w:r>
      <w:r>
        <w:rPr>
          <w:rFonts w:ascii="Times New Roman" w:hAnsi="Times New Roman" w:cs="Times New Roman"/>
          <w:sz w:val="24"/>
          <w:szCs w:val="24"/>
        </w:rPr>
        <w:t>(Fuente: ProRealTime WEB)</w:t>
      </w:r>
    </w:p>
    <w:p w:rsidR="005A60DF" w:rsidRDefault="005A60DF" w:rsidP="005A60DF">
      <w:pPr>
        <w:spacing w:line="240" w:lineRule="auto"/>
        <w:jc w:val="both"/>
        <w:rPr>
          <w:rFonts w:ascii="Times New Roman" w:hAnsi="Times New Roman" w:cs="Times New Roman"/>
          <w:sz w:val="24"/>
          <w:szCs w:val="24"/>
        </w:rPr>
      </w:pPr>
      <w:r w:rsidRPr="00A17021">
        <w:rPr>
          <w:rFonts w:ascii="Times New Roman" w:hAnsi="Times New Roman" w:cs="Times New Roman"/>
          <w:noProof/>
          <w:sz w:val="24"/>
          <w:szCs w:val="24"/>
          <w:lang w:eastAsia="es-ES"/>
        </w:rPr>
        <w:lastRenderedPageBreak/>
        <w:drawing>
          <wp:inline distT="0" distB="0" distL="0" distR="0" wp14:anchorId="0DD4A19F" wp14:editId="3148FD58">
            <wp:extent cx="5732031" cy="3416300"/>
            <wp:effectExtent l="0" t="0" r="254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415989"/>
                    </a:xfrm>
                    <a:prstGeom prst="rect">
                      <a:avLst/>
                    </a:prstGeom>
                  </pic:spPr>
                </pic:pic>
              </a:graphicData>
            </a:graphic>
          </wp:inline>
        </w:drawing>
      </w:r>
    </w:p>
    <w:p w:rsidR="005A60DF" w:rsidRPr="0079499A" w:rsidRDefault="005A60DF" w:rsidP="005A60DF">
      <w:pPr>
        <w:spacing w:line="240" w:lineRule="auto"/>
        <w:jc w:val="both"/>
        <w:rPr>
          <w:rFonts w:ascii="Times New Roman" w:hAnsi="Times New Roman" w:cs="Times New Roman"/>
          <w:sz w:val="24"/>
          <w:szCs w:val="24"/>
        </w:rPr>
      </w:pPr>
      <w:r w:rsidRPr="008C4312">
        <w:rPr>
          <w:rFonts w:ascii="Times New Roman" w:hAnsi="Times New Roman" w:cs="Times New Roman"/>
          <w:noProof/>
          <w:sz w:val="24"/>
          <w:szCs w:val="24"/>
          <w:lang w:eastAsia="es-ES"/>
        </w:rPr>
        <w:drawing>
          <wp:inline distT="0" distB="0" distL="0" distR="0" wp14:anchorId="582BF5BB" wp14:editId="297EDBD4">
            <wp:extent cx="5734049" cy="3390900"/>
            <wp:effectExtent l="0" t="0" r="635"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389399"/>
                    </a:xfrm>
                    <a:prstGeom prst="rect">
                      <a:avLst/>
                    </a:prstGeom>
                  </pic:spPr>
                </pic:pic>
              </a:graphicData>
            </a:graphic>
          </wp:inline>
        </w:drawing>
      </w:r>
    </w:p>
    <w:p w:rsidR="005A60DF" w:rsidRPr="003A5B48" w:rsidRDefault="005A60DF" w:rsidP="005A60DF">
      <w:pPr>
        <w:spacing w:line="240" w:lineRule="auto"/>
        <w:jc w:val="both"/>
        <w:rPr>
          <w:rFonts w:ascii="Times New Roman" w:hAnsi="Times New Roman" w:cs="Times New Roman"/>
          <w:sz w:val="24"/>
          <w:szCs w:val="24"/>
        </w:rPr>
      </w:pPr>
      <w:r w:rsidRPr="003A5B48">
        <w:rPr>
          <w:rFonts w:ascii="Times New Roman" w:hAnsi="Times New Roman" w:cs="Times New Roman"/>
          <w:sz w:val="24"/>
          <w:szCs w:val="24"/>
        </w:rPr>
        <w:t>Acciones negociadas, valor total (US$ a precios actuales) - United States, Japan</w:t>
      </w:r>
    </w:p>
    <w:p w:rsidR="005A60DF" w:rsidRDefault="005A60DF" w:rsidP="005A60DF">
      <w:pPr>
        <w:spacing w:line="240" w:lineRule="auto"/>
        <w:jc w:val="both"/>
        <w:rPr>
          <w:rFonts w:ascii="Times New Roman" w:hAnsi="Times New Roman" w:cs="Times New Roman"/>
          <w:sz w:val="24"/>
          <w:szCs w:val="24"/>
          <w:lang w:val="en-GB"/>
        </w:rPr>
      </w:pPr>
      <w:r w:rsidRPr="003A5B48">
        <w:rPr>
          <w:rFonts w:ascii="Times New Roman" w:hAnsi="Times New Roman" w:cs="Times New Roman"/>
          <w:sz w:val="24"/>
          <w:szCs w:val="24"/>
          <w:lang w:val="en-GB"/>
        </w:rPr>
        <w:t xml:space="preserve">The value of shares traded is the total number of shares traded, both domestic and foreign, multiplied by their respective matching prices. Figures are single counted (only one side of the transaction is considered). Companies admitted to listing and admitted to trading are included in the data. Data are end of year values converted to U.S. dollars using corresponding year-end foreign exchange rates. </w:t>
      </w:r>
    </w:p>
    <w:p w:rsidR="005A60DF" w:rsidRPr="003A5B48" w:rsidRDefault="005A60DF" w:rsidP="005A60DF">
      <w:pPr>
        <w:spacing w:line="240" w:lineRule="auto"/>
        <w:jc w:val="both"/>
        <w:rPr>
          <w:rFonts w:ascii="Times New Roman" w:hAnsi="Times New Roman" w:cs="Times New Roman"/>
          <w:sz w:val="24"/>
          <w:szCs w:val="24"/>
        </w:rPr>
      </w:pPr>
      <w:r w:rsidRPr="003A5B48">
        <w:rPr>
          <w:rFonts w:ascii="Times New Roman" w:hAnsi="Times New Roman" w:cs="Times New Roman"/>
          <w:sz w:val="24"/>
          <w:szCs w:val="24"/>
        </w:rPr>
        <w:t xml:space="preserve">(Fuente: Banco Mundial) </w:t>
      </w:r>
    </w:p>
    <w:p w:rsidR="005A60DF" w:rsidRDefault="005A60DF" w:rsidP="005A60DF">
      <w:pPr>
        <w:spacing w:line="240" w:lineRule="auto"/>
        <w:jc w:val="both"/>
        <w:rPr>
          <w:rFonts w:ascii="Times New Roman" w:hAnsi="Times New Roman" w:cs="Times New Roman"/>
          <w:color w:val="FF0000"/>
          <w:sz w:val="24"/>
          <w:szCs w:val="24"/>
        </w:rPr>
      </w:pPr>
      <w:r w:rsidRPr="008C4312">
        <w:rPr>
          <w:rFonts w:ascii="Times New Roman" w:hAnsi="Times New Roman" w:cs="Times New Roman"/>
          <w:noProof/>
          <w:color w:val="FF0000"/>
          <w:sz w:val="24"/>
          <w:szCs w:val="24"/>
          <w:lang w:eastAsia="es-ES"/>
        </w:rPr>
        <w:lastRenderedPageBreak/>
        <w:drawing>
          <wp:inline distT="0" distB="0" distL="0" distR="0" wp14:anchorId="02C42624" wp14:editId="39F7E98D">
            <wp:extent cx="5731510" cy="3427272"/>
            <wp:effectExtent l="0" t="0" r="2540" b="190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3427272"/>
                    </a:xfrm>
                    <a:prstGeom prst="rect">
                      <a:avLst/>
                    </a:prstGeom>
                  </pic:spPr>
                </pic:pic>
              </a:graphicData>
            </a:graphic>
          </wp:inline>
        </w:drawing>
      </w:r>
    </w:p>
    <w:p w:rsidR="005A60DF" w:rsidRDefault="005A60DF" w:rsidP="005A60DF">
      <w:pPr>
        <w:spacing w:line="240" w:lineRule="auto"/>
        <w:jc w:val="both"/>
        <w:rPr>
          <w:rFonts w:ascii="Times New Roman" w:hAnsi="Times New Roman" w:cs="Times New Roman"/>
          <w:color w:val="FF0000"/>
          <w:sz w:val="24"/>
          <w:szCs w:val="24"/>
        </w:rPr>
      </w:pPr>
      <w:r w:rsidRPr="00185208">
        <w:rPr>
          <w:rFonts w:ascii="Times New Roman" w:hAnsi="Times New Roman" w:cs="Times New Roman"/>
          <w:noProof/>
          <w:color w:val="FF0000"/>
          <w:sz w:val="24"/>
          <w:szCs w:val="24"/>
          <w:lang w:eastAsia="es-ES"/>
        </w:rPr>
        <w:drawing>
          <wp:inline distT="0" distB="0" distL="0" distR="0" wp14:anchorId="76C7A216" wp14:editId="63A20AFE">
            <wp:extent cx="5731510" cy="4377502"/>
            <wp:effectExtent l="0" t="0" r="2540" b="444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4377502"/>
                    </a:xfrm>
                    <a:prstGeom prst="rect">
                      <a:avLst/>
                    </a:prstGeom>
                  </pic:spPr>
                </pic:pic>
              </a:graphicData>
            </a:graphic>
          </wp:inline>
        </w:drawing>
      </w:r>
    </w:p>
    <w:p w:rsidR="005A60DF" w:rsidRPr="00656D9D" w:rsidRDefault="005A60DF" w:rsidP="005A60DF">
      <w:pPr>
        <w:spacing w:line="240" w:lineRule="auto"/>
        <w:jc w:val="both"/>
        <w:rPr>
          <w:rFonts w:ascii="Times New Roman" w:hAnsi="Times New Roman" w:cs="Times New Roman"/>
          <w:sz w:val="24"/>
          <w:szCs w:val="24"/>
        </w:rPr>
      </w:pPr>
      <w:r w:rsidRPr="00656D9D">
        <w:rPr>
          <w:rFonts w:ascii="Times New Roman" w:hAnsi="Times New Roman" w:cs="Times New Roman"/>
          <w:sz w:val="24"/>
          <w:szCs w:val="24"/>
        </w:rPr>
        <w:t xml:space="preserve">(Fuente: </w:t>
      </w:r>
      <w:hyperlink r:id="rId55" w:history="1">
        <w:r w:rsidRPr="00656D9D">
          <w:rPr>
            <w:rStyle w:val="Hipervnculo"/>
            <w:rFonts w:ascii="Times New Roman" w:hAnsi="Times New Roman" w:cs="Times New Roman"/>
            <w:color w:val="auto"/>
            <w:sz w:val="24"/>
            <w:szCs w:val="24"/>
            <w:u w:val="none"/>
          </w:rPr>
          <w:t>https://es.marketscreener.com/</w:t>
        </w:r>
      </w:hyperlink>
      <w:r w:rsidRPr="00656D9D">
        <w:rPr>
          <w:rFonts w:ascii="Times New Roman" w:hAnsi="Times New Roman" w:cs="Times New Roman"/>
          <w:sz w:val="24"/>
          <w:szCs w:val="24"/>
        </w:rPr>
        <w:t>)</w:t>
      </w:r>
    </w:p>
    <w:p w:rsidR="005A60DF" w:rsidRDefault="005A60DF" w:rsidP="005A60DF">
      <w:pPr>
        <w:spacing w:line="240" w:lineRule="auto"/>
        <w:jc w:val="both"/>
        <w:rPr>
          <w:rFonts w:ascii="Times New Roman" w:hAnsi="Times New Roman" w:cs="Times New Roman"/>
          <w:sz w:val="24"/>
          <w:szCs w:val="24"/>
        </w:rPr>
      </w:pPr>
      <w:r w:rsidRPr="003A5B48">
        <w:rPr>
          <w:rFonts w:ascii="Times New Roman" w:hAnsi="Times New Roman" w:cs="Times New Roman"/>
          <w:noProof/>
          <w:sz w:val="24"/>
          <w:szCs w:val="24"/>
          <w:lang w:eastAsia="es-ES"/>
        </w:rPr>
        <w:lastRenderedPageBreak/>
        <w:drawing>
          <wp:inline distT="0" distB="0" distL="0" distR="0" wp14:anchorId="5A8CACC8" wp14:editId="61CD4DD2">
            <wp:extent cx="5729844" cy="2066306"/>
            <wp:effectExtent l="0" t="0" r="444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2066907"/>
                    </a:xfrm>
                    <a:prstGeom prst="rect">
                      <a:avLst/>
                    </a:prstGeom>
                  </pic:spPr>
                </pic:pic>
              </a:graphicData>
            </a:graphic>
          </wp:inline>
        </w:drawing>
      </w:r>
    </w:p>
    <w:p w:rsidR="005A60DF" w:rsidRDefault="005A60DF" w:rsidP="005A60DF">
      <w:pPr>
        <w:spacing w:line="240" w:lineRule="auto"/>
        <w:jc w:val="both"/>
        <w:rPr>
          <w:rFonts w:ascii="Times New Roman" w:hAnsi="Times New Roman" w:cs="Times New Roman"/>
          <w:sz w:val="24"/>
          <w:szCs w:val="24"/>
        </w:rPr>
      </w:pPr>
      <w:r w:rsidRPr="003A5B48">
        <w:rPr>
          <w:rFonts w:ascii="Times New Roman" w:hAnsi="Times New Roman" w:cs="Times New Roman"/>
          <w:noProof/>
          <w:sz w:val="24"/>
          <w:szCs w:val="24"/>
          <w:lang w:eastAsia="es-ES"/>
        </w:rPr>
        <w:drawing>
          <wp:inline distT="0" distB="0" distL="0" distR="0" wp14:anchorId="1C2F50FA" wp14:editId="5E423892">
            <wp:extent cx="5731926" cy="2066307"/>
            <wp:effectExtent l="0" t="0" r="254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2066157"/>
                    </a:xfrm>
                    <a:prstGeom prst="rect">
                      <a:avLst/>
                    </a:prstGeom>
                  </pic:spPr>
                </pic:pic>
              </a:graphicData>
            </a:graphic>
          </wp:inline>
        </w:drawing>
      </w:r>
    </w:p>
    <w:p w:rsidR="005A60DF" w:rsidRDefault="005A60DF" w:rsidP="005A60DF">
      <w:pPr>
        <w:spacing w:line="240" w:lineRule="auto"/>
        <w:jc w:val="both"/>
        <w:rPr>
          <w:rFonts w:ascii="Times New Roman" w:hAnsi="Times New Roman" w:cs="Times New Roman"/>
          <w:sz w:val="24"/>
          <w:szCs w:val="24"/>
        </w:rPr>
      </w:pPr>
      <w:r w:rsidRPr="003A5B48">
        <w:rPr>
          <w:rFonts w:ascii="Times New Roman" w:hAnsi="Times New Roman" w:cs="Times New Roman"/>
          <w:noProof/>
          <w:sz w:val="24"/>
          <w:szCs w:val="24"/>
          <w:lang w:eastAsia="es-ES"/>
        </w:rPr>
        <w:drawing>
          <wp:inline distT="0" distB="0" distL="0" distR="0" wp14:anchorId="2D812A42" wp14:editId="4F3EEB0F">
            <wp:extent cx="5735069" cy="2078182"/>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2076892"/>
                    </a:xfrm>
                    <a:prstGeom prst="rect">
                      <a:avLst/>
                    </a:prstGeom>
                  </pic:spPr>
                </pic:pic>
              </a:graphicData>
            </a:graphic>
          </wp:inline>
        </w:drawing>
      </w:r>
    </w:p>
    <w:p w:rsidR="005A60DF" w:rsidRDefault="005A60DF" w:rsidP="005A60DF">
      <w:pPr>
        <w:spacing w:line="240" w:lineRule="auto"/>
        <w:jc w:val="both"/>
        <w:rPr>
          <w:rFonts w:ascii="Times New Roman" w:hAnsi="Times New Roman" w:cs="Times New Roman"/>
          <w:sz w:val="24"/>
          <w:szCs w:val="24"/>
        </w:rPr>
      </w:pPr>
      <w:r>
        <w:rPr>
          <w:rFonts w:ascii="Times New Roman" w:hAnsi="Times New Roman" w:cs="Times New Roman"/>
          <w:sz w:val="24"/>
          <w:szCs w:val="24"/>
        </w:rPr>
        <w:t>(Fuente: Yahoo finanzas)</w:t>
      </w:r>
    </w:p>
    <w:p w:rsidR="00566DF0" w:rsidRPr="00FF06B9" w:rsidRDefault="007C03BF" w:rsidP="00566DF0">
      <w:pPr>
        <w:shd w:val="clear" w:color="auto" w:fill="FFFFFF"/>
        <w:spacing w:line="240" w:lineRule="auto"/>
        <w:jc w:val="both"/>
        <w:textAlignment w:val="baseline"/>
        <w:rPr>
          <w:rFonts w:ascii="Times New Roman" w:hAnsi="Times New Roman" w:cs="Times New Roman"/>
          <w:b/>
          <w:sz w:val="24"/>
          <w:szCs w:val="24"/>
        </w:rPr>
      </w:pPr>
      <w:r w:rsidRPr="00CD6A40">
        <w:rPr>
          <w:rFonts w:ascii="Times New Roman" w:hAnsi="Times New Roman" w:cs="Times New Roman"/>
          <w:b/>
          <w:sz w:val="24"/>
          <w:szCs w:val="24"/>
        </w:rPr>
        <w:t>Nota</w:t>
      </w:r>
      <w:r>
        <w:rPr>
          <w:rFonts w:ascii="Times New Roman" w:hAnsi="Times New Roman" w:cs="Times New Roman"/>
          <w:sz w:val="24"/>
          <w:szCs w:val="24"/>
        </w:rPr>
        <w:t xml:space="preserve">: </w:t>
      </w:r>
      <w:r w:rsidR="00CD6A40" w:rsidRPr="00FF06B9">
        <w:rPr>
          <w:rFonts w:ascii="Times New Roman" w:hAnsi="Times New Roman" w:cs="Times New Roman"/>
          <w:b/>
          <w:sz w:val="24"/>
          <w:szCs w:val="24"/>
        </w:rPr>
        <w:t>de los antecedentes anteriores, no sur</w:t>
      </w:r>
      <w:r w:rsidR="00566DF0" w:rsidRPr="00FF06B9">
        <w:rPr>
          <w:rFonts w:ascii="Times New Roman" w:hAnsi="Times New Roman" w:cs="Times New Roman"/>
          <w:b/>
          <w:sz w:val="24"/>
          <w:szCs w:val="24"/>
        </w:rPr>
        <w:t>ge ninguna explicación lógica sobre</w:t>
      </w:r>
      <w:r w:rsidR="00CD6A40" w:rsidRPr="00FF06B9">
        <w:rPr>
          <w:rFonts w:ascii="Times New Roman" w:hAnsi="Times New Roman" w:cs="Times New Roman"/>
          <w:b/>
          <w:sz w:val="24"/>
          <w:szCs w:val="24"/>
        </w:rPr>
        <w:t xml:space="preserve"> la correlación entre</w:t>
      </w:r>
      <w:r w:rsidR="00566DF0" w:rsidRPr="00FF06B9">
        <w:rPr>
          <w:rFonts w:ascii="Times New Roman" w:hAnsi="Times New Roman" w:cs="Times New Roman"/>
          <w:b/>
          <w:sz w:val="24"/>
          <w:szCs w:val="24"/>
        </w:rPr>
        <w:t xml:space="preserve"> los Índices</w:t>
      </w:r>
      <w:r w:rsidR="00CD6A40" w:rsidRPr="00FF06B9">
        <w:rPr>
          <w:rFonts w:ascii="Times New Roman" w:hAnsi="Times New Roman" w:cs="Times New Roman"/>
          <w:b/>
          <w:sz w:val="24"/>
          <w:szCs w:val="24"/>
        </w:rPr>
        <w:t xml:space="preserve"> </w:t>
      </w:r>
      <w:r w:rsidR="00566DF0" w:rsidRPr="00FF06B9">
        <w:rPr>
          <w:rFonts w:ascii="Times New Roman" w:hAnsi="Times New Roman" w:cs="Times New Roman"/>
          <w:b/>
          <w:sz w:val="24"/>
          <w:szCs w:val="24"/>
        </w:rPr>
        <w:t>d</w:t>
      </w:r>
      <w:r w:rsidR="00CD6A40" w:rsidRPr="00FF06B9">
        <w:rPr>
          <w:rFonts w:ascii="Times New Roman" w:hAnsi="Times New Roman" w:cs="Times New Roman"/>
          <w:b/>
          <w:sz w:val="24"/>
          <w:szCs w:val="24"/>
        </w:rPr>
        <w:t>el Dow Jones, el S&amp;P 500 y el Nikkei 225, que</w:t>
      </w:r>
      <w:r w:rsidR="00566DF0" w:rsidRPr="00FF06B9">
        <w:rPr>
          <w:rFonts w:ascii="Times New Roman" w:hAnsi="Times New Roman" w:cs="Times New Roman"/>
          <w:b/>
          <w:sz w:val="24"/>
          <w:szCs w:val="24"/>
        </w:rPr>
        <w:t xml:space="preserve"> se</w:t>
      </w:r>
      <w:r w:rsidR="00CD6A40" w:rsidRPr="00FF06B9">
        <w:rPr>
          <w:rFonts w:ascii="Times New Roman" w:hAnsi="Times New Roman" w:cs="Times New Roman"/>
          <w:b/>
          <w:sz w:val="24"/>
          <w:szCs w:val="24"/>
        </w:rPr>
        <w:t xml:space="preserve"> vincule</w:t>
      </w:r>
      <w:r w:rsidR="00566DF0" w:rsidRPr="00FF06B9">
        <w:rPr>
          <w:rFonts w:ascii="Times New Roman" w:hAnsi="Times New Roman" w:cs="Times New Roman"/>
          <w:b/>
          <w:sz w:val="24"/>
          <w:szCs w:val="24"/>
        </w:rPr>
        <w:t xml:space="preserve"> a</w:t>
      </w:r>
      <w:r w:rsidR="00CD6A40" w:rsidRPr="00FF06B9">
        <w:rPr>
          <w:rFonts w:ascii="Times New Roman" w:hAnsi="Times New Roman" w:cs="Times New Roman"/>
          <w:b/>
          <w:sz w:val="24"/>
          <w:szCs w:val="24"/>
        </w:rPr>
        <w:t xml:space="preserve"> los rendimientos histórico</w:t>
      </w:r>
      <w:r w:rsidR="00566DF0" w:rsidRPr="00FF06B9">
        <w:rPr>
          <w:rFonts w:ascii="Times New Roman" w:hAnsi="Times New Roman" w:cs="Times New Roman"/>
          <w:b/>
          <w:sz w:val="24"/>
          <w:szCs w:val="24"/>
        </w:rPr>
        <w:t>s de las empresas, o a</w:t>
      </w:r>
      <w:r w:rsidR="00CD6A40" w:rsidRPr="00FF06B9">
        <w:rPr>
          <w:rFonts w:ascii="Times New Roman" w:hAnsi="Times New Roman" w:cs="Times New Roman"/>
          <w:b/>
          <w:sz w:val="24"/>
          <w:szCs w:val="24"/>
        </w:rPr>
        <w:t>l crecimiento del PIB</w:t>
      </w:r>
      <w:r w:rsidR="00566DF0" w:rsidRPr="00FF06B9">
        <w:rPr>
          <w:rFonts w:ascii="Times New Roman" w:hAnsi="Times New Roman" w:cs="Times New Roman"/>
          <w:b/>
          <w:sz w:val="24"/>
          <w:szCs w:val="24"/>
        </w:rPr>
        <w:t xml:space="preserve"> de los EEUU y Japón, lo que demuestra la </w:t>
      </w:r>
      <w:r w:rsidR="00CD6A40" w:rsidRPr="00FF06B9">
        <w:rPr>
          <w:rFonts w:ascii="Times New Roman" w:hAnsi="Times New Roman" w:cs="Times New Roman"/>
          <w:b/>
          <w:sz w:val="24"/>
          <w:szCs w:val="24"/>
        </w:rPr>
        <w:t>desconexión existente entre mercados financieros y economía real</w:t>
      </w:r>
      <w:r w:rsidR="00566DF0" w:rsidRPr="00FF06B9">
        <w:rPr>
          <w:rFonts w:ascii="Times New Roman" w:hAnsi="Times New Roman" w:cs="Times New Roman"/>
          <w:b/>
          <w:sz w:val="24"/>
          <w:szCs w:val="24"/>
        </w:rPr>
        <w:t xml:space="preserve">, enfatizando los fenómenos de </w:t>
      </w:r>
      <w:r w:rsidR="00CD6A40" w:rsidRPr="00FF06B9">
        <w:rPr>
          <w:rFonts w:ascii="Times New Roman" w:hAnsi="Times New Roman" w:cs="Times New Roman"/>
          <w:b/>
          <w:sz w:val="24"/>
          <w:szCs w:val="24"/>
        </w:rPr>
        <w:t>“racionalidad limitada</w:t>
      </w:r>
      <w:r w:rsidR="00566DF0" w:rsidRPr="00FF06B9">
        <w:rPr>
          <w:rFonts w:ascii="Times New Roman" w:hAnsi="Times New Roman" w:cs="Times New Roman"/>
          <w:b/>
          <w:sz w:val="24"/>
          <w:szCs w:val="24"/>
        </w:rPr>
        <w:t>” del inversor (factores conductuales y las emociones</w:t>
      </w:r>
      <w:r w:rsidR="002C5383">
        <w:rPr>
          <w:rFonts w:ascii="Times New Roman" w:hAnsi="Times New Roman" w:cs="Times New Roman"/>
          <w:b/>
          <w:sz w:val="24"/>
          <w:szCs w:val="24"/>
        </w:rPr>
        <w:t>,</w:t>
      </w:r>
      <w:r w:rsidR="00566DF0" w:rsidRPr="00FF06B9">
        <w:rPr>
          <w:rFonts w:ascii="Times New Roman" w:hAnsi="Times New Roman" w:cs="Times New Roman"/>
          <w:b/>
          <w:sz w:val="24"/>
          <w:szCs w:val="24"/>
        </w:rPr>
        <w:t xml:space="preserve"> en los modelos económic</w:t>
      </w:r>
      <w:r w:rsidR="007601E6">
        <w:rPr>
          <w:rFonts w:ascii="Times New Roman" w:hAnsi="Times New Roman" w:cs="Times New Roman"/>
          <w:b/>
          <w:sz w:val="24"/>
          <w:szCs w:val="24"/>
        </w:rPr>
        <w:t>os), o de “exceso de liquidez</w:t>
      </w:r>
      <w:r w:rsidR="00566DF0" w:rsidRPr="00FF06B9">
        <w:rPr>
          <w:rFonts w:ascii="Times New Roman" w:hAnsi="Times New Roman" w:cs="Times New Roman"/>
          <w:b/>
          <w:sz w:val="24"/>
          <w:szCs w:val="24"/>
        </w:rPr>
        <w:t>” (manipulación del mercado provocada por las autoridades monetarias</w:t>
      </w:r>
      <w:r w:rsidR="00FF06B9">
        <w:rPr>
          <w:rFonts w:ascii="Times New Roman" w:hAnsi="Times New Roman" w:cs="Times New Roman"/>
          <w:b/>
          <w:sz w:val="24"/>
          <w:szCs w:val="24"/>
        </w:rPr>
        <w:t>,</w:t>
      </w:r>
      <w:r w:rsidR="00566DF0" w:rsidRPr="00FF06B9">
        <w:rPr>
          <w:rFonts w:ascii="Times New Roman" w:hAnsi="Times New Roman" w:cs="Times New Roman"/>
          <w:b/>
          <w:sz w:val="24"/>
          <w:szCs w:val="24"/>
        </w:rPr>
        <w:t xml:space="preserve"> o los intermediarios financieros)</w:t>
      </w:r>
      <w:r w:rsidR="00FF06B9">
        <w:rPr>
          <w:rFonts w:ascii="Times New Roman" w:hAnsi="Times New Roman" w:cs="Times New Roman"/>
          <w:b/>
          <w:sz w:val="24"/>
          <w:szCs w:val="24"/>
        </w:rPr>
        <w:t>. Para el caso, l</w:t>
      </w:r>
      <w:r w:rsidR="00FF06B9" w:rsidRPr="00FF06B9">
        <w:rPr>
          <w:rFonts w:ascii="Times New Roman" w:hAnsi="Times New Roman" w:cs="Times New Roman"/>
          <w:b/>
          <w:sz w:val="24"/>
          <w:szCs w:val="24"/>
        </w:rPr>
        <w:t>a correlación no implica causalidad, y puede haber otros factores que expliquen ambas variables</w:t>
      </w:r>
      <w:r w:rsidR="00FF06B9">
        <w:rPr>
          <w:rFonts w:ascii="Times New Roman" w:hAnsi="Times New Roman" w:cs="Times New Roman"/>
          <w:b/>
          <w:sz w:val="24"/>
          <w:szCs w:val="24"/>
        </w:rPr>
        <w:t>.</w:t>
      </w:r>
    </w:p>
    <w:p w:rsidR="00FF06B9" w:rsidRDefault="00FF06B9" w:rsidP="005A60DF">
      <w:pPr>
        <w:spacing w:line="240" w:lineRule="auto"/>
        <w:jc w:val="both"/>
        <w:rPr>
          <w:rFonts w:ascii="Times New Roman" w:hAnsi="Times New Roman" w:cs="Times New Roman"/>
          <w:b/>
          <w:color w:val="FF0000"/>
          <w:sz w:val="24"/>
          <w:szCs w:val="24"/>
        </w:rPr>
      </w:pPr>
    </w:p>
    <w:p w:rsidR="007C03BF" w:rsidRPr="002C5383" w:rsidRDefault="007C03BF" w:rsidP="005A60DF">
      <w:pPr>
        <w:spacing w:line="240" w:lineRule="auto"/>
        <w:jc w:val="both"/>
        <w:rPr>
          <w:rFonts w:ascii="Times New Roman" w:hAnsi="Times New Roman" w:cs="Times New Roman"/>
          <w:b/>
          <w:sz w:val="24"/>
          <w:szCs w:val="24"/>
        </w:rPr>
      </w:pPr>
      <w:r w:rsidRPr="002C5383">
        <w:rPr>
          <w:rFonts w:ascii="Times New Roman" w:hAnsi="Times New Roman" w:cs="Times New Roman"/>
          <w:b/>
          <w:sz w:val="24"/>
          <w:szCs w:val="24"/>
        </w:rPr>
        <w:lastRenderedPageBreak/>
        <w:t>- Tratando de interpretar lo inexplicable</w:t>
      </w:r>
    </w:p>
    <w:p w:rsidR="005A60DF" w:rsidRPr="007C03BF" w:rsidRDefault="007C03BF" w:rsidP="00656D9D">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7F1BB4D4" wp14:editId="64F52579">
            <wp:extent cx="5735774" cy="3194462"/>
            <wp:effectExtent l="0" t="0" r="0" b="6350"/>
            <wp:docPr id="10" name="Imagen 10" descr="Comerciante que trabaja en la Bolsa de Valores de Nueva Y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erciante que trabaja en la Bolsa de Valores de Nueva York."/>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3192087"/>
                    </a:xfrm>
                    <a:prstGeom prst="rect">
                      <a:avLst/>
                    </a:prstGeom>
                    <a:noFill/>
                    <a:ln>
                      <a:noFill/>
                    </a:ln>
                  </pic:spPr>
                </pic:pic>
              </a:graphicData>
            </a:graphic>
          </wp:inline>
        </w:drawing>
      </w:r>
    </w:p>
    <w:p w:rsidR="00656D9D" w:rsidRPr="00E71B40" w:rsidRDefault="00656D9D" w:rsidP="00656D9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177AC">
        <w:rPr>
          <w:rFonts w:ascii="Times New Roman" w:hAnsi="Times New Roman" w:cs="Times New Roman"/>
          <w:sz w:val="24"/>
          <w:szCs w:val="24"/>
          <w:u w:val="single"/>
        </w:rPr>
        <w:t>¿Cuáles son algunos escollos comunes que se deben evitar al interpretar los coeficientes de correlación?</w:t>
      </w:r>
      <w:r>
        <w:rPr>
          <w:rFonts w:ascii="Times New Roman" w:hAnsi="Times New Roman" w:cs="Times New Roman"/>
          <w:sz w:val="24"/>
          <w:szCs w:val="24"/>
        </w:rPr>
        <w:t xml:space="preserve"> (Comunidad Linkedin)</w:t>
      </w:r>
    </w:p>
    <w:p w:rsidR="00656D9D" w:rsidRPr="00E71B40" w:rsidRDefault="00656D9D" w:rsidP="00656D9D">
      <w:pPr>
        <w:spacing w:line="240" w:lineRule="auto"/>
        <w:jc w:val="both"/>
        <w:rPr>
          <w:rFonts w:ascii="Times New Roman" w:hAnsi="Times New Roman" w:cs="Times New Roman"/>
          <w:sz w:val="24"/>
          <w:szCs w:val="24"/>
        </w:rPr>
      </w:pPr>
      <w:r w:rsidRPr="00E71B40">
        <w:rPr>
          <w:rFonts w:ascii="Times New Roman" w:hAnsi="Times New Roman" w:cs="Times New Roman"/>
          <w:sz w:val="24"/>
          <w:szCs w:val="24"/>
        </w:rPr>
        <w:t>Trampa 1: Confu</w:t>
      </w:r>
      <w:r>
        <w:rPr>
          <w:rFonts w:ascii="Times New Roman" w:hAnsi="Times New Roman" w:cs="Times New Roman"/>
          <w:sz w:val="24"/>
          <w:szCs w:val="24"/>
        </w:rPr>
        <w:t>ndir correlación con causalidad</w:t>
      </w:r>
    </w:p>
    <w:p w:rsidR="00656D9D" w:rsidRPr="00E71B40" w:rsidRDefault="00656D9D" w:rsidP="00656D9D">
      <w:pPr>
        <w:spacing w:line="240" w:lineRule="auto"/>
        <w:jc w:val="both"/>
        <w:rPr>
          <w:rFonts w:ascii="Times New Roman" w:hAnsi="Times New Roman" w:cs="Times New Roman"/>
          <w:sz w:val="24"/>
          <w:szCs w:val="24"/>
        </w:rPr>
      </w:pPr>
      <w:r w:rsidRPr="00E71B40">
        <w:rPr>
          <w:rFonts w:ascii="Times New Roman" w:hAnsi="Times New Roman" w:cs="Times New Roman"/>
          <w:sz w:val="24"/>
          <w:szCs w:val="24"/>
        </w:rPr>
        <w:t>Trampa 2: Ignorar la forma y los valores atípicos</w:t>
      </w:r>
      <w:r>
        <w:rPr>
          <w:rFonts w:ascii="Times New Roman" w:hAnsi="Times New Roman" w:cs="Times New Roman"/>
          <w:sz w:val="24"/>
          <w:szCs w:val="24"/>
        </w:rPr>
        <w:t xml:space="preserve"> de los datos</w:t>
      </w:r>
    </w:p>
    <w:p w:rsidR="00656D9D" w:rsidRPr="00E71B40" w:rsidRDefault="00656D9D" w:rsidP="00656D9D">
      <w:pPr>
        <w:spacing w:line="240" w:lineRule="auto"/>
        <w:jc w:val="both"/>
        <w:rPr>
          <w:rFonts w:ascii="Times New Roman" w:hAnsi="Times New Roman" w:cs="Times New Roman"/>
          <w:sz w:val="24"/>
          <w:szCs w:val="24"/>
        </w:rPr>
      </w:pPr>
      <w:r w:rsidRPr="00E71B40">
        <w:rPr>
          <w:rFonts w:ascii="Times New Roman" w:hAnsi="Times New Roman" w:cs="Times New Roman"/>
          <w:sz w:val="24"/>
          <w:szCs w:val="24"/>
        </w:rPr>
        <w:t>Trampa 3: Uso de e</w:t>
      </w:r>
      <w:r>
        <w:rPr>
          <w:rFonts w:ascii="Times New Roman" w:hAnsi="Times New Roman" w:cs="Times New Roman"/>
          <w:sz w:val="24"/>
          <w:szCs w:val="24"/>
        </w:rPr>
        <w:t>scalas inapropiadas o engañosas</w:t>
      </w:r>
    </w:p>
    <w:p w:rsidR="00656D9D" w:rsidRPr="00E71B40" w:rsidRDefault="00656D9D" w:rsidP="00656D9D">
      <w:pPr>
        <w:spacing w:line="240" w:lineRule="auto"/>
        <w:jc w:val="both"/>
        <w:rPr>
          <w:rFonts w:ascii="Times New Roman" w:hAnsi="Times New Roman" w:cs="Times New Roman"/>
          <w:sz w:val="24"/>
          <w:szCs w:val="24"/>
        </w:rPr>
      </w:pPr>
      <w:r w:rsidRPr="00E71B40">
        <w:rPr>
          <w:rFonts w:ascii="Times New Roman" w:hAnsi="Times New Roman" w:cs="Times New Roman"/>
          <w:sz w:val="24"/>
          <w:szCs w:val="24"/>
        </w:rPr>
        <w:t>Trampa 4: Pasar por alto el conte</w:t>
      </w:r>
      <w:r>
        <w:rPr>
          <w:rFonts w:ascii="Times New Roman" w:hAnsi="Times New Roman" w:cs="Times New Roman"/>
          <w:sz w:val="24"/>
          <w:szCs w:val="24"/>
        </w:rPr>
        <w:t>xto y el propósito del análisis</w:t>
      </w:r>
    </w:p>
    <w:p w:rsidR="00656D9D" w:rsidRPr="00E71B40" w:rsidRDefault="00656D9D" w:rsidP="00656D9D">
      <w:pPr>
        <w:spacing w:line="240" w:lineRule="auto"/>
        <w:jc w:val="both"/>
        <w:rPr>
          <w:rFonts w:ascii="Times New Roman" w:hAnsi="Times New Roman" w:cs="Times New Roman"/>
          <w:sz w:val="24"/>
          <w:szCs w:val="24"/>
        </w:rPr>
      </w:pPr>
      <w:r w:rsidRPr="00E71B40">
        <w:rPr>
          <w:rFonts w:ascii="Times New Roman" w:hAnsi="Times New Roman" w:cs="Times New Roman"/>
          <w:sz w:val="24"/>
          <w:szCs w:val="24"/>
        </w:rPr>
        <w:t>Trampa 5: Aplicación de coeficientes de correlación a dat</w:t>
      </w:r>
      <w:r>
        <w:rPr>
          <w:rFonts w:ascii="Times New Roman" w:hAnsi="Times New Roman" w:cs="Times New Roman"/>
          <w:sz w:val="24"/>
          <w:szCs w:val="24"/>
        </w:rPr>
        <w:t>os inapropiados o insuficientes</w:t>
      </w:r>
    </w:p>
    <w:p w:rsidR="00656D9D" w:rsidRPr="00E71B40" w:rsidRDefault="00656D9D" w:rsidP="00656D9D">
      <w:pPr>
        <w:spacing w:line="240" w:lineRule="auto"/>
        <w:jc w:val="both"/>
        <w:rPr>
          <w:rFonts w:ascii="Times New Roman" w:hAnsi="Times New Roman" w:cs="Times New Roman"/>
          <w:sz w:val="24"/>
          <w:szCs w:val="24"/>
        </w:rPr>
      </w:pPr>
      <w:r w:rsidRPr="00E71B40">
        <w:rPr>
          <w:rFonts w:ascii="Times New Roman" w:hAnsi="Times New Roman" w:cs="Times New Roman"/>
          <w:sz w:val="24"/>
          <w:szCs w:val="24"/>
        </w:rPr>
        <w:t>Los coeficientes de correlación son medidas numéricas de cómo se relacionan dos variables. Pueden ser útiles para mejorar la calidad, ya que pueden ayudarlo a identificar factores potenciales que influyen en los resultados de su proceso o detectar cambios a lo largo del tiempo. Sin embargo, los coeficientes de correlación también pueden ser engañosos o malinterpretados si no tiene cuidado. En este artículo, discutiremos algunas trampas comunes que se deben evitar al interpretar los coeficientes de correlación y cómo usarlos adecuadamente para mejorar la calidad.</w:t>
      </w:r>
    </w:p>
    <w:p w:rsidR="00656D9D" w:rsidRPr="00FF06B9" w:rsidRDefault="00656D9D" w:rsidP="00656D9D">
      <w:pPr>
        <w:spacing w:line="240" w:lineRule="auto"/>
        <w:jc w:val="both"/>
        <w:rPr>
          <w:rFonts w:ascii="Times New Roman" w:hAnsi="Times New Roman" w:cs="Times New Roman"/>
          <w:color w:val="FF0000"/>
          <w:sz w:val="24"/>
          <w:szCs w:val="24"/>
        </w:rPr>
      </w:pPr>
      <w:r w:rsidRPr="00FF06B9">
        <w:rPr>
          <w:rFonts w:ascii="Times New Roman" w:hAnsi="Times New Roman" w:cs="Times New Roman"/>
          <w:color w:val="FF0000"/>
          <w:sz w:val="24"/>
          <w:szCs w:val="24"/>
        </w:rPr>
        <w:t>Trampa 1: Confundir correlación con causalidad</w:t>
      </w:r>
    </w:p>
    <w:p w:rsidR="00656D9D" w:rsidRPr="00E71B40" w:rsidRDefault="00656D9D" w:rsidP="00656D9D">
      <w:pPr>
        <w:spacing w:line="240" w:lineRule="auto"/>
        <w:jc w:val="both"/>
        <w:rPr>
          <w:rFonts w:ascii="Times New Roman" w:hAnsi="Times New Roman" w:cs="Times New Roman"/>
          <w:sz w:val="24"/>
          <w:szCs w:val="24"/>
        </w:rPr>
      </w:pPr>
      <w:r w:rsidRPr="00FF06B9">
        <w:rPr>
          <w:rFonts w:ascii="Times New Roman" w:hAnsi="Times New Roman" w:cs="Times New Roman"/>
          <w:sz w:val="24"/>
          <w:szCs w:val="24"/>
          <w:u w:val="single"/>
        </w:rPr>
        <w:t>Uno de los errores más comunes al interpretar los coeficientes de correlación es asumir que un valor alto o bajo implica una relación causal entre las variables</w:t>
      </w:r>
      <w:r w:rsidRPr="00E71B40">
        <w:rPr>
          <w:rFonts w:ascii="Times New Roman" w:hAnsi="Times New Roman" w:cs="Times New Roman"/>
          <w:sz w:val="24"/>
          <w:szCs w:val="24"/>
        </w:rPr>
        <w:t>. Por ejemplo, puede encontrar que la correlación entre la satisfacción del cliente y la rotación de empleados es -0.8, y concluir que los clientes insatisfechos hacen que los empleados renuncien. Sin embargo, la correlación no implica causalidad, y puede haber otros factores que expliquen ambas variables, como la mala gestión, los bajos salarios o la competencia externa. Para establecer la causalidad, debe realizar experimentos o usar métodos estadísticos que controlen las variables de confusión y prueben la significación.</w:t>
      </w:r>
    </w:p>
    <w:p w:rsidR="00656D9D" w:rsidRPr="00FF06B9" w:rsidRDefault="00656D9D" w:rsidP="00656D9D">
      <w:pPr>
        <w:spacing w:line="240" w:lineRule="auto"/>
        <w:jc w:val="both"/>
        <w:rPr>
          <w:rFonts w:ascii="Times New Roman" w:hAnsi="Times New Roman" w:cs="Times New Roman"/>
          <w:color w:val="FF0000"/>
          <w:sz w:val="24"/>
          <w:szCs w:val="24"/>
        </w:rPr>
      </w:pPr>
      <w:r w:rsidRPr="00FF06B9">
        <w:rPr>
          <w:rFonts w:ascii="Times New Roman" w:hAnsi="Times New Roman" w:cs="Times New Roman"/>
          <w:color w:val="FF0000"/>
          <w:sz w:val="24"/>
          <w:szCs w:val="24"/>
        </w:rPr>
        <w:lastRenderedPageBreak/>
        <w:t>Trampa 2: Ignorar la forma y los valores atípicos de los datos</w:t>
      </w:r>
    </w:p>
    <w:p w:rsidR="00656D9D" w:rsidRPr="00E71B40" w:rsidRDefault="00656D9D" w:rsidP="00656D9D">
      <w:pPr>
        <w:spacing w:line="240" w:lineRule="auto"/>
        <w:jc w:val="both"/>
        <w:rPr>
          <w:rFonts w:ascii="Times New Roman" w:hAnsi="Times New Roman" w:cs="Times New Roman"/>
          <w:sz w:val="24"/>
          <w:szCs w:val="24"/>
        </w:rPr>
      </w:pPr>
      <w:r w:rsidRPr="00FF06B9">
        <w:rPr>
          <w:rFonts w:ascii="Times New Roman" w:hAnsi="Times New Roman" w:cs="Times New Roman"/>
          <w:sz w:val="24"/>
          <w:szCs w:val="24"/>
          <w:u w:val="single"/>
        </w:rPr>
        <w:t>Otro error común al interpretar los coeficientes de correlación es confiar solo en ellos sin mirar la forma y distribución de los datos. Un coeficiente de correlación solo mide la fuerza y la dirección de una relación lineal, pero no captura la curvatura, la agrupación o los valores atípicos de los datos</w:t>
      </w:r>
      <w:r w:rsidRPr="00E71B40">
        <w:rPr>
          <w:rFonts w:ascii="Times New Roman" w:hAnsi="Times New Roman" w:cs="Times New Roman"/>
          <w:sz w:val="24"/>
          <w:szCs w:val="24"/>
        </w:rPr>
        <w:t>. Por ejemplo, puede encontrar que la correlación entre la temperatura y las ventas de helados es 0.9, pero si traza los datos, puede ver que la relación no es lineal, sino exponencial o logarítmica. Del mismo modo, puede encontrar que la correlación entre el tiempo de proceso y la tasa de defectos es de 0,2, pero si traza los datos, es posible que vea que hay algunos valores extremos o valores atípicos que distorsionan la tendencia general. Para evitar este escollo, siempre debe usar diagramas de dispersión u otras herramientas gráficas para visualizar los datos y verificar si hay patrones o anomalías no lineales.</w:t>
      </w:r>
    </w:p>
    <w:p w:rsidR="00656D9D" w:rsidRPr="00FF06B9" w:rsidRDefault="00656D9D" w:rsidP="00656D9D">
      <w:pPr>
        <w:spacing w:line="240" w:lineRule="auto"/>
        <w:jc w:val="both"/>
        <w:rPr>
          <w:rFonts w:ascii="Times New Roman" w:hAnsi="Times New Roman" w:cs="Times New Roman"/>
          <w:color w:val="FF0000"/>
          <w:sz w:val="24"/>
          <w:szCs w:val="24"/>
        </w:rPr>
      </w:pPr>
      <w:r w:rsidRPr="00FF06B9">
        <w:rPr>
          <w:rFonts w:ascii="Times New Roman" w:hAnsi="Times New Roman" w:cs="Times New Roman"/>
          <w:color w:val="FF0000"/>
          <w:sz w:val="24"/>
          <w:szCs w:val="24"/>
        </w:rPr>
        <w:t>Trampa 3: Uso de escalas inapropiadas o engañosas</w:t>
      </w:r>
    </w:p>
    <w:p w:rsidR="00656D9D" w:rsidRPr="00E71B40" w:rsidRDefault="00656D9D" w:rsidP="00656D9D">
      <w:pPr>
        <w:spacing w:line="240" w:lineRule="auto"/>
        <w:jc w:val="both"/>
        <w:rPr>
          <w:rFonts w:ascii="Times New Roman" w:hAnsi="Times New Roman" w:cs="Times New Roman"/>
          <w:sz w:val="24"/>
          <w:szCs w:val="24"/>
        </w:rPr>
      </w:pPr>
      <w:r w:rsidRPr="00D261B9">
        <w:rPr>
          <w:rFonts w:ascii="Times New Roman" w:hAnsi="Times New Roman" w:cs="Times New Roman"/>
          <w:sz w:val="24"/>
          <w:szCs w:val="24"/>
          <w:u w:val="single"/>
        </w:rPr>
        <w:t>Un tercer error común al interpretar los coeficientes de correlación es utilizar escalas inadecuadas o engañosas para las variables. Una escala es el rango y el intervalo de valores que una variable puede tomar, y puede afectar la interpretación del coeficiente de correlación.</w:t>
      </w:r>
      <w:r w:rsidRPr="00E71B40">
        <w:rPr>
          <w:rFonts w:ascii="Times New Roman" w:hAnsi="Times New Roman" w:cs="Times New Roman"/>
          <w:sz w:val="24"/>
          <w:szCs w:val="24"/>
        </w:rPr>
        <w:t xml:space="preserve"> Por ejemplo, puede encontrar que la correlación entre la altura y el peso es 0.6, pero si usa diferentes escalas para la altura. (Pulgadas) y peso (Libras), es posible que obtenga un valor diferente que si utiliza la misma escala (centímetros y kilogramos). Del mismo modo, puede encontrar que la correlación entre la satisfacción del cliente y los ingresos es 0.4, pero si utiliza una escala ordinal para la satisfacción del cliente. (1 a 5) y una escala de ratio para los ingresos (Dólares), puede obtener un valor diferente que si utiliza una escala continua para ambas variables. Para evitar este escollo, siempre debe usar escalas apropiadas y consistentes para las variables, y ser consciente de las limitaciones y suposiciones de los diferentes tipos de escalas.</w:t>
      </w:r>
    </w:p>
    <w:p w:rsidR="00656D9D" w:rsidRPr="00D261B9" w:rsidRDefault="00656D9D" w:rsidP="00656D9D">
      <w:pPr>
        <w:spacing w:line="240" w:lineRule="auto"/>
        <w:jc w:val="both"/>
        <w:rPr>
          <w:rFonts w:ascii="Times New Roman" w:hAnsi="Times New Roman" w:cs="Times New Roman"/>
          <w:color w:val="FF0000"/>
          <w:sz w:val="24"/>
          <w:szCs w:val="24"/>
        </w:rPr>
      </w:pPr>
      <w:r w:rsidRPr="00D261B9">
        <w:rPr>
          <w:rFonts w:ascii="Times New Roman" w:hAnsi="Times New Roman" w:cs="Times New Roman"/>
          <w:color w:val="FF0000"/>
          <w:sz w:val="24"/>
          <w:szCs w:val="24"/>
        </w:rPr>
        <w:t>Trampa 4: Pasar por alto el contexto y el propósito del análisis</w:t>
      </w:r>
    </w:p>
    <w:p w:rsidR="00656D9D" w:rsidRPr="00E71B40" w:rsidRDefault="00656D9D" w:rsidP="00656D9D">
      <w:pPr>
        <w:spacing w:line="240" w:lineRule="auto"/>
        <w:jc w:val="both"/>
        <w:rPr>
          <w:rFonts w:ascii="Times New Roman" w:hAnsi="Times New Roman" w:cs="Times New Roman"/>
          <w:sz w:val="24"/>
          <w:szCs w:val="24"/>
        </w:rPr>
      </w:pPr>
      <w:r w:rsidRPr="00D261B9">
        <w:rPr>
          <w:rFonts w:ascii="Times New Roman" w:hAnsi="Times New Roman" w:cs="Times New Roman"/>
          <w:sz w:val="24"/>
          <w:szCs w:val="24"/>
          <w:u w:val="single"/>
        </w:rPr>
        <w:t>Un cuarto error común al interpretar los coeficientes de correlación es pasar por alto el contexto y el propósito del análisis. Un coeficiente de correlación</w:t>
      </w:r>
      <w:r w:rsidR="00D261B9" w:rsidRPr="00D261B9">
        <w:rPr>
          <w:rFonts w:ascii="Times New Roman" w:hAnsi="Times New Roman" w:cs="Times New Roman"/>
          <w:sz w:val="24"/>
          <w:szCs w:val="24"/>
          <w:u w:val="single"/>
        </w:rPr>
        <w:t xml:space="preserve"> no es un objetivo</w:t>
      </w:r>
      <w:r w:rsidRPr="00D261B9">
        <w:rPr>
          <w:rFonts w:ascii="Times New Roman" w:hAnsi="Times New Roman" w:cs="Times New Roman"/>
          <w:sz w:val="24"/>
          <w:szCs w:val="24"/>
          <w:u w:val="single"/>
        </w:rPr>
        <w:t>, sino una herramienta para ayudarlo a comprender y mejorar su proceso. Por lo tanto, no debe interpretarlo de forma aislada, sino en relación con el problema que está tratando de resolver, las preguntas que está tratando de responder y las acciones que está tratando de tomar</w:t>
      </w:r>
      <w:r w:rsidRPr="00E71B40">
        <w:rPr>
          <w:rFonts w:ascii="Times New Roman" w:hAnsi="Times New Roman" w:cs="Times New Roman"/>
          <w:sz w:val="24"/>
          <w:szCs w:val="24"/>
        </w:rPr>
        <w:t>. Por ejemplo, puede encontrar que la correlación entre el compromiso de los empleados y la productividad es 0.5, pero esto no le dice por qué o cómo se relacionan las variables, o qué puede hacer para aumentar ambas. Para evitar este escollo, siempre debe considerar el contexto y el propósito del análisis, y utilizar otros métodos y herramientas para complementar y validar el coeficiente de correlación.</w:t>
      </w:r>
    </w:p>
    <w:p w:rsidR="00656D9D" w:rsidRPr="00D261B9" w:rsidRDefault="00656D9D" w:rsidP="00656D9D">
      <w:pPr>
        <w:spacing w:line="240" w:lineRule="auto"/>
        <w:jc w:val="both"/>
        <w:rPr>
          <w:rFonts w:ascii="Times New Roman" w:hAnsi="Times New Roman" w:cs="Times New Roman"/>
          <w:color w:val="FF0000"/>
          <w:sz w:val="24"/>
          <w:szCs w:val="24"/>
        </w:rPr>
      </w:pPr>
      <w:r w:rsidRPr="00D261B9">
        <w:rPr>
          <w:rFonts w:ascii="Times New Roman" w:hAnsi="Times New Roman" w:cs="Times New Roman"/>
          <w:color w:val="FF0000"/>
          <w:sz w:val="24"/>
          <w:szCs w:val="24"/>
        </w:rPr>
        <w:t>Trampa 5: Aplicación de coeficientes de correlación a datos inapropiados o insuficientes</w:t>
      </w:r>
    </w:p>
    <w:p w:rsidR="00656D9D" w:rsidRPr="00E71B40" w:rsidRDefault="00656D9D" w:rsidP="00656D9D">
      <w:pPr>
        <w:spacing w:line="240" w:lineRule="auto"/>
        <w:jc w:val="both"/>
        <w:rPr>
          <w:rFonts w:ascii="Times New Roman" w:hAnsi="Times New Roman" w:cs="Times New Roman"/>
          <w:sz w:val="24"/>
          <w:szCs w:val="24"/>
        </w:rPr>
      </w:pPr>
      <w:r w:rsidRPr="00D261B9">
        <w:rPr>
          <w:rFonts w:ascii="Times New Roman" w:hAnsi="Times New Roman" w:cs="Times New Roman"/>
          <w:sz w:val="24"/>
          <w:szCs w:val="24"/>
          <w:u w:val="single"/>
        </w:rPr>
        <w:t>Un quinto error común al interpretar los coeficientes de correlación es aplicarlos a datos inapropiados o insuficientes. Un coeficiente de correlación solo es válido y significativo si los datos cumplen con ciertos criterios y suposiciones, como ser representativos, independientes, distribuidos normalmente y tener una relación lineal. Si los datos no cumplen con estos criterios y suposiciones, el coeficiente de correlación puede ser inexacto, sesgado o irrelevante</w:t>
      </w:r>
      <w:r w:rsidRPr="00E71B40">
        <w:rPr>
          <w:rFonts w:ascii="Times New Roman" w:hAnsi="Times New Roman" w:cs="Times New Roman"/>
          <w:sz w:val="24"/>
          <w:szCs w:val="24"/>
        </w:rPr>
        <w:t xml:space="preserve">. Por ejemplo, puede encontrar que la correlación entre la lealtad del cliente y las compras repetidas es de 0.8, pero si sus datos se basan en una muestra pequeña o sesgada, o si hay otros factores que afectan las variables, como la estacionalidad, las promociones o la competencia, es posible que el coeficiente de correlación no refleje la población o situación </w:t>
      </w:r>
      <w:r w:rsidRPr="00E71B40">
        <w:rPr>
          <w:rFonts w:ascii="Times New Roman" w:hAnsi="Times New Roman" w:cs="Times New Roman"/>
          <w:sz w:val="24"/>
          <w:szCs w:val="24"/>
        </w:rPr>
        <w:lastRenderedPageBreak/>
        <w:t>real. Para evitar este escollo, siempre debe verificar y verificar la calidad e idoneidad de los datos antes de aplicar e interpretar los coeficientes de correlación.</w:t>
      </w:r>
    </w:p>
    <w:p w:rsidR="00656D9D" w:rsidRPr="00765388" w:rsidRDefault="00656D9D" w:rsidP="00656D9D">
      <w:pPr>
        <w:spacing w:line="240" w:lineRule="auto"/>
        <w:jc w:val="both"/>
        <w:rPr>
          <w:rFonts w:ascii="Times New Roman" w:hAnsi="Times New Roman" w:cs="Times New Roman"/>
          <w:sz w:val="24"/>
          <w:szCs w:val="24"/>
        </w:rPr>
      </w:pPr>
      <w:r w:rsidRPr="00765388">
        <w:rPr>
          <w:rFonts w:ascii="Times New Roman" w:hAnsi="Times New Roman" w:cs="Times New Roman"/>
          <w:sz w:val="24"/>
          <w:szCs w:val="24"/>
        </w:rPr>
        <w:t xml:space="preserve">- </w:t>
      </w:r>
      <w:r w:rsidRPr="00664D0C">
        <w:rPr>
          <w:rFonts w:ascii="Times New Roman" w:hAnsi="Times New Roman" w:cs="Times New Roman"/>
          <w:sz w:val="24"/>
          <w:szCs w:val="24"/>
          <w:u w:val="single"/>
        </w:rPr>
        <w:t>Correlación no implica causalidad</w:t>
      </w:r>
      <w:r w:rsidRPr="00765388">
        <w:rPr>
          <w:rFonts w:ascii="Times New Roman" w:hAnsi="Times New Roman" w:cs="Times New Roman"/>
          <w:sz w:val="24"/>
          <w:szCs w:val="24"/>
        </w:rPr>
        <w:t xml:space="preserve"> (</w:t>
      </w:r>
      <w:hyperlink r:id="rId60" w:history="1">
        <w:r w:rsidRPr="00656D9D">
          <w:rPr>
            <w:rStyle w:val="Hipervnculo"/>
            <w:rFonts w:ascii="Times New Roman" w:hAnsi="Times New Roman" w:cs="Times New Roman"/>
            <w:color w:val="auto"/>
            <w:sz w:val="24"/>
            <w:szCs w:val="24"/>
            <w:u w:val="none"/>
          </w:rPr>
          <w:t>https://vandalytic.com/</w:t>
        </w:r>
      </w:hyperlink>
      <w:r w:rsidRPr="00656D9D">
        <w:rPr>
          <w:rFonts w:ascii="Times New Roman" w:hAnsi="Times New Roman" w:cs="Times New Roman"/>
          <w:sz w:val="24"/>
          <w:szCs w:val="24"/>
        </w:rPr>
        <w:t xml:space="preserve"> - 25/1/19)</w:t>
      </w:r>
    </w:p>
    <w:p w:rsidR="00656D9D" w:rsidRPr="00D261B9" w:rsidRDefault="00656D9D" w:rsidP="00656D9D">
      <w:pPr>
        <w:spacing w:line="240" w:lineRule="auto"/>
        <w:jc w:val="both"/>
        <w:rPr>
          <w:rFonts w:ascii="Times New Roman" w:hAnsi="Times New Roman" w:cs="Times New Roman"/>
          <w:color w:val="FF0000"/>
          <w:sz w:val="24"/>
          <w:szCs w:val="24"/>
        </w:rPr>
      </w:pPr>
      <w:r w:rsidRPr="00D261B9">
        <w:rPr>
          <w:rFonts w:ascii="Times New Roman" w:hAnsi="Times New Roman" w:cs="Times New Roman"/>
          <w:color w:val="FF0000"/>
          <w:sz w:val="24"/>
          <w:szCs w:val="24"/>
        </w:rPr>
        <w:t>Existe un dicho en el mundo del análisis de datos que dice que “la correlación no implica causalidad”, es decir, que aunque dos datos sigan el mismo patrón, esto no quiere decir que uno sea la causa del otro.</w:t>
      </w:r>
    </w:p>
    <w:p w:rsidR="00656D9D" w:rsidRPr="00D177AC" w:rsidRDefault="00656D9D" w:rsidP="00656D9D">
      <w:pPr>
        <w:spacing w:line="240" w:lineRule="auto"/>
        <w:jc w:val="both"/>
        <w:rPr>
          <w:rFonts w:ascii="Times New Roman" w:hAnsi="Times New Roman" w:cs="Times New Roman"/>
          <w:sz w:val="24"/>
          <w:szCs w:val="24"/>
        </w:rPr>
      </w:pPr>
      <w:r w:rsidRPr="00D177AC">
        <w:rPr>
          <w:rFonts w:ascii="Times New Roman" w:hAnsi="Times New Roman" w:cs="Times New Roman"/>
          <w:sz w:val="24"/>
          <w:szCs w:val="24"/>
        </w:rPr>
        <w:t>Cómo evitarlo en nuestros análisis de datos</w:t>
      </w:r>
    </w:p>
    <w:p w:rsidR="00656D9D" w:rsidRPr="00D177AC" w:rsidRDefault="00656D9D" w:rsidP="00656D9D">
      <w:pPr>
        <w:spacing w:line="240" w:lineRule="auto"/>
        <w:jc w:val="both"/>
        <w:rPr>
          <w:rFonts w:ascii="Times New Roman" w:hAnsi="Times New Roman" w:cs="Times New Roman"/>
          <w:sz w:val="24"/>
          <w:szCs w:val="24"/>
        </w:rPr>
      </w:pPr>
      <w:r w:rsidRPr="00D261B9">
        <w:rPr>
          <w:rFonts w:ascii="Times New Roman" w:hAnsi="Times New Roman" w:cs="Times New Roman"/>
          <w:sz w:val="24"/>
          <w:szCs w:val="24"/>
          <w:u w:val="single"/>
        </w:rPr>
        <w:t>Si te dedicas al mundo del análisis de datos, sabrás que encontrar una relación causa-efecto en los datos de un negocio, puede suponer una ventaja competitiva muy importante</w:t>
      </w:r>
      <w:r w:rsidRPr="00D177AC">
        <w:rPr>
          <w:rFonts w:ascii="Times New Roman" w:hAnsi="Times New Roman" w:cs="Times New Roman"/>
          <w:sz w:val="24"/>
          <w:szCs w:val="24"/>
        </w:rPr>
        <w:t>. Si pudiese probar que, por ejemplo, el margen de beneficio de mi compañía es mayor en países donde el índice de natalidad es más alto, esta correlación podría ser la base de una exitosa internacionalización del negocio.</w:t>
      </w:r>
    </w:p>
    <w:p w:rsidR="00656D9D" w:rsidRPr="00D177AC" w:rsidRDefault="00656D9D" w:rsidP="00656D9D">
      <w:pPr>
        <w:spacing w:line="240" w:lineRule="auto"/>
        <w:jc w:val="both"/>
        <w:rPr>
          <w:rFonts w:ascii="Times New Roman" w:hAnsi="Times New Roman" w:cs="Times New Roman"/>
          <w:sz w:val="24"/>
          <w:szCs w:val="24"/>
        </w:rPr>
      </w:pPr>
      <w:r w:rsidRPr="00D261B9">
        <w:rPr>
          <w:rFonts w:ascii="Times New Roman" w:hAnsi="Times New Roman" w:cs="Times New Roman"/>
          <w:sz w:val="24"/>
          <w:szCs w:val="24"/>
          <w:u w:val="single"/>
        </w:rPr>
        <w:t>¿Pero qué pasa si esa correlación no era realmente una relación causa-efecto como en los ejemplos anteriores?</w:t>
      </w:r>
      <w:r w:rsidRPr="00D177AC">
        <w:rPr>
          <w:rFonts w:ascii="Times New Roman" w:hAnsi="Times New Roman" w:cs="Times New Roman"/>
          <w:sz w:val="24"/>
          <w:szCs w:val="24"/>
        </w:rPr>
        <w:t xml:space="preserve"> Seguramente supondrá que nuestra empresa perderá mucho dinero.</w:t>
      </w:r>
    </w:p>
    <w:p w:rsidR="00656D9D" w:rsidRPr="00D177AC" w:rsidRDefault="00656D9D" w:rsidP="00656D9D">
      <w:pPr>
        <w:spacing w:line="240" w:lineRule="auto"/>
        <w:jc w:val="both"/>
        <w:rPr>
          <w:rFonts w:ascii="Times New Roman" w:hAnsi="Times New Roman" w:cs="Times New Roman"/>
          <w:sz w:val="24"/>
          <w:szCs w:val="24"/>
        </w:rPr>
      </w:pPr>
      <w:r w:rsidRPr="00D177AC">
        <w:rPr>
          <w:rFonts w:ascii="Times New Roman" w:hAnsi="Times New Roman" w:cs="Times New Roman"/>
          <w:sz w:val="24"/>
          <w:szCs w:val="24"/>
        </w:rPr>
        <w:t xml:space="preserve">Por lo tanto, </w:t>
      </w:r>
      <w:r w:rsidRPr="00D261B9">
        <w:rPr>
          <w:rFonts w:ascii="Times New Roman" w:hAnsi="Times New Roman" w:cs="Times New Roman"/>
          <w:sz w:val="24"/>
          <w:szCs w:val="24"/>
          <w:u w:val="single"/>
        </w:rPr>
        <w:t xml:space="preserve">¿cómo puedo evitar caer en la trampa de la correlación que no es “causa-efecto”? </w:t>
      </w:r>
      <w:r w:rsidRPr="00D177AC">
        <w:rPr>
          <w:rFonts w:ascii="Times New Roman" w:hAnsi="Times New Roman" w:cs="Times New Roman"/>
          <w:sz w:val="24"/>
          <w:szCs w:val="24"/>
        </w:rPr>
        <w:t>Existen varias formas de poner a prueba un</w:t>
      </w:r>
      <w:r>
        <w:rPr>
          <w:rFonts w:ascii="Times New Roman" w:hAnsi="Times New Roman" w:cs="Times New Roman"/>
          <w:sz w:val="24"/>
          <w:szCs w:val="24"/>
        </w:rPr>
        <w:t>a relación entre dos variables:</w:t>
      </w:r>
    </w:p>
    <w:p w:rsidR="00656D9D" w:rsidRPr="00D261B9" w:rsidRDefault="00656D9D" w:rsidP="00656D9D">
      <w:pPr>
        <w:spacing w:line="240" w:lineRule="auto"/>
        <w:jc w:val="both"/>
        <w:rPr>
          <w:rFonts w:ascii="Times New Roman" w:hAnsi="Times New Roman" w:cs="Times New Roman"/>
          <w:sz w:val="24"/>
          <w:szCs w:val="24"/>
          <w:u w:val="single"/>
        </w:rPr>
      </w:pPr>
      <w:r w:rsidRPr="00D261B9">
        <w:rPr>
          <w:rFonts w:ascii="Times New Roman" w:hAnsi="Times New Roman" w:cs="Times New Roman"/>
          <w:sz w:val="24"/>
          <w:szCs w:val="24"/>
          <w:u w:val="single"/>
        </w:rPr>
        <w:t>Conocer el negocio: si conoces bien el origen de los datos y lo que significan, evitarás estos problemas ya que las variables tienen sentido para ti y sabrás si una relación tiene sentido o no.</w:t>
      </w:r>
    </w:p>
    <w:p w:rsidR="00656D9D" w:rsidRPr="00D177AC" w:rsidRDefault="00656D9D" w:rsidP="00656D9D">
      <w:pPr>
        <w:spacing w:line="240" w:lineRule="auto"/>
        <w:jc w:val="both"/>
        <w:rPr>
          <w:rFonts w:ascii="Times New Roman" w:hAnsi="Times New Roman" w:cs="Times New Roman"/>
          <w:sz w:val="24"/>
          <w:szCs w:val="24"/>
        </w:rPr>
      </w:pPr>
      <w:r w:rsidRPr="00D177AC">
        <w:rPr>
          <w:rFonts w:ascii="Times New Roman" w:hAnsi="Times New Roman" w:cs="Times New Roman"/>
          <w:sz w:val="24"/>
          <w:szCs w:val="24"/>
        </w:rPr>
        <w:t>Test A/B: los test A/B son una buena herramienta para poner a prueba las relaciones y ver como los cambios de A afectan a B y viceversa.</w:t>
      </w:r>
    </w:p>
    <w:p w:rsidR="00656D9D" w:rsidRPr="00D261B9" w:rsidRDefault="00656D9D" w:rsidP="00656D9D">
      <w:pPr>
        <w:spacing w:line="240" w:lineRule="auto"/>
        <w:jc w:val="both"/>
        <w:rPr>
          <w:rFonts w:ascii="Times New Roman" w:hAnsi="Times New Roman" w:cs="Times New Roman"/>
          <w:sz w:val="24"/>
          <w:szCs w:val="24"/>
          <w:u w:val="single"/>
        </w:rPr>
      </w:pPr>
      <w:r w:rsidRPr="00D261B9">
        <w:rPr>
          <w:rFonts w:ascii="Times New Roman" w:hAnsi="Times New Roman" w:cs="Times New Roman"/>
          <w:sz w:val="24"/>
          <w:szCs w:val="24"/>
          <w:u w:val="single"/>
        </w:rPr>
        <w:t>Añadir más variables o volumen de datos a la receta: incluye más variables/datos y revisa si la correlación sigue siendo consistente o fue fruto de la casualidad.</w:t>
      </w:r>
    </w:p>
    <w:p w:rsidR="00D261B9" w:rsidRDefault="00656D9D" w:rsidP="00656D9D">
      <w:pPr>
        <w:spacing w:line="240" w:lineRule="auto"/>
        <w:jc w:val="both"/>
        <w:rPr>
          <w:rFonts w:ascii="Times New Roman" w:hAnsi="Times New Roman" w:cs="Times New Roman"/>
          <w:sz w:val="24"/>
          <w:szCs w:val="24"/>
        </w:rPr>
      </w:pPr>
      <w:r w:rsidRPr="00D177AC">
        <w:rPr>
          <w:rFonts w:ascii="Times New Roman" w:hAnsi="Times New Roman" w:cs="Times New Roman"/>
          <w:sz w:val="24"/>
          <w:szCs w:val="24"/>
        </w:rPr>
        <w:t>Espero que este post os haya aclarado el concepto de “La cor</w:t>
      </w:r>
      <w:r w:rsidR="00D261B9">
        <w:rPr>
          <w:rFonts w:ascii="Times New Roman" w:hAnsi="Times New Roman" w:cs="Times New Roman"/>
          <w:sz w:val="24"/>
          <w:szCs w:val="24"/>
        </w:rPr>
        <w:t>relación no implica causalidad”…</w:t>
      </w:r>
      <w:r w:rsidRPr="00D177AC">
        <w:rPr>
          <w:rFonts w:ascii="Times New Roman" w:hAnsi="Times New Roman" w:cs="Times New Roman"/>
          <w:sz w:val="24"/>
          <w:szCs w:val="24"/>
        </w:rPr>
        <w:t xml:space="preserve"> </w:t>
      </w:r>
    </w:p>
    <w:p w:rsidR="00656D9D" w:rsidRPr="00765388" w:rsidRDefault="00656D9D" w:rsidP="00656D9D">
      <w:pPr>
        <w:spacing w:line="240" w:lineRule="auto"/>
        <w:jc w:val="both"/>
        <w:rPr>
          <w:rFonts w:ascii="Times New Roman" w:hAnsi="Times New Roman" w:cs="Times New Roman"/>
          <w:sz w:val="24"/>
          <w:szCs w:val="24"/>
        </w:rPr>
      </w:pPr>
      <w:r w:rsidRPr="00765388">
        <w:rPr>
          <w:rFonts w:ascii="Times New Roman" w:hAnsi="Times New Roman" w:cs="Times New Roman"/>
          <w:sz w:val="24"/>
          <w:szCs w:val="24"/>
        </w:rPr>
        <w:t xml:space="preserve">- </w:t>
      </w:r>
      <w:r w:rsidRPr="00664D0C">
        <w:rPr>
          <w:rFonts w:ascii="Times New Roman" w:hAnsi="Times New Roman" w:cs="Times New Roman"/>
          <w:sz w:val="24"/>
          <w:szCs w:val="24"/>
          <w:u w:val="single"/>
        </w:rPr>
        <w:t>Correlaciones espurias</w:t>
      </w:r>
      <w:r w:rsidRPr="00765388">
        <w:rPr>
          <w:rFonts w:ascii="Times New Roman" w:hAnsi="Times New Roman" w:cs="Times New Roman"/>
          <w:sz w:val="24"/>
          <w:szCs w:val="24"/>
        </w:rPr>
        <w:t xml:space="preserve"> (</w:t>
      </w:r>
      <w:hyperlink r:id="rId61" w:history="1">
        <w:r w:rsidRPr="00656D9D">
          <w:rPr>
            <w:rStyle w:val="Hipervnculo"/>
            <w:rFonts w:ascii="Times New Roman" w:hAnsi="Times New Roman" w:cs="Times New Roman"/>
            <w:color w:val="auto"/>
            <w:sz w:val="24"/>
            <w:szCs w:val="24"/>
            <w:u w:val="none"/>
          </w:rPr>
          <w:t>https://tylervigen.com/spurious-correlations</w:t>
        </w:r>
      </w:hyperlink>
      <w:r w:rsidRPr="00656D9D">
        <w:rPr>
          <w:rFonts w:ascii="Times New Roman" w:hAnsi="Times New Roman" w:cs="Times New Roman"/>
          <w:sz w:val="24"/>
          <w:szCs w:val="24"/>
        </w:rPr>
        <w:t>)</w:t>
      </w:r>
    </w:p>
    <w:p w:rsidR="00656D9D" w:rsidRPr="00D261B9" w:rsidRDefault="00656D9D" w:rsidP="00656D9D">
      <w:pPr>
        <w:spacing w:line="240" w:lineRule="auto"/>
        <w:jc w:val="both"/>
        <w:rPr>
          <w:rFonts w:ascii="Times New Roman" w:hAnsi="Times New Roman" w:cs="Times New Roman"/>
          <w:color w:val="FF0000"/>
          <w:sz w:val="24"/>
          <w:szCs w:val="24"/>
        </w:rPr>
      </w:pPr>
      <w:r w:rsidRPr="00D261B9">
        <w:rPr>
          <w:rFonts w:ascii="Times New Roman" w:hAnsi="Times New Roman" w:cs="Times New Roman"/>
          <w:color w:val="FF0000"/>
          <w:sz w:val="24"/>
          <w:szCs w:val="24"/>
        </w:rPr>
        <w:t>Proyecto de Tyler Vigen</w:t>
      </w:r>
    </w:p>
    <w:p w:rsidR="00656D9D" w:rsidRPr="00D261B9" w:rsidRDefault="00656D9D" w:rsidP="00656D9D">
      <w:pPr>
        <w:spacing w:line="240" w:lineRule="auto"/>
        <w:jc w:val="both"/>
        <w:rPr>
          <w:rFonts w:ascii="Times New Roman" w:hAnsi="Times New Roman" w:cs="Times New Roman"/>
          <w:color w:val="FF0000"/>
          <w:sz w:val="24"/>
          <w:szCs w:val="24"/>
        </w:rPr>
      </w:pPr>
      <w:r w:rsidRPr="00D261B9">
        <w:rPr>
          <w:rFonts w:ascii="Times New Roman" w:hAnsi="Times New Roman" w:cs="Times New Roman"/>
          <w:color w:val="FF0000"/>
          <w:sz w:val="24"/>
          <w:szCs w:val="24"/>
        </w:rPr>
        <w:t>La correlación no es causalidad</w:t>
      </w:r>
    </w:p>
    <w:p w:rsidR="00656D9D" w:rsidRPr="00D261B9" w:rsidRDefault="00656D9D" w:rsidP="00656D9D">
      <w:pPr>
        <w:spacing w:line="240" w:lineRule="auto"/>
        <w:jc w:val="both"/>
        <w:rPr>
          <w:rFonts w:ascii="Times New Roman" w:hAnsi="Times New Roman" w:cs="Times New Roman"/>
          <w:sz w:val="24"/>
          <w:szCs w:val="24"/>
          <w:u w:val="single"/>
        </w:rPr>
      </w:pPr>
      <w:r w:rsidRPr="00D261B9">
        <w:rPr>
          <w:rFonts w:ascii="Times New Roman" w:hAnsi="Times New Roman" w:cs="Times New Roman"/>
          <w:sz w:val="24"/>
          <w:szCs w:val="24"/>
          <w:u w:val="single"/>
        </w:rPr>
        <w:t>El autor presenta una serie de correlaciones y su representación gráfica, donde muestra la explicación inventada de GenAI</w:t>
      </w:r>
    </w:p>
    <w:p w:rsidR="00D261B9" w:rsidRDefault="004C1509" w:rsidP="00656D9D">
      <w:pPr>
        <w:spacing w:line="240" w:lineRule="auto"/>
        <w:jc w:val="both"/>
        <w:rPr>
          <w:rStyle w:val="genai-block"/>
          <w:rFonts w:ascii="Times New Roman" w:hAnsi="Times New Roman" w:cs="Times New Roman"/>
          <w:sz w:val="24"/>
          <w:szCs w:val="24"/>
          <w:shd w:val="clear" w:color="auto" w:fill="EFEFEF"/>
        </w:rPr>
      </w:pPr>
      <w:hyperlink r:id="rId62" w:tgtFrame="_blank" w:history="1">
        <w:r w:rsidR="00656D9D" w:rsidRPr="00656D9D">
          <w:rPr>
            <w:rStyle w:val="Hipervnculo"/>
            <w:rFonts w:ascii="Times New Roman" w:hAnsi="Times New Roman" w:cs="Times New Roman"/>
            <w:i/>
            <w:iCs/>
            <w:color w:val="auto"/>
            <w:sz w:val="24"/>
            <w:szCs w:val="24"/>
            <w:u w:val="none"/>
            <w:shd w:val="clear" w:color="auto" w:fill="FEFEFE"/>
          </w:rPr>
          <w:t>Meme Mania y la mano de obra de Montana: un examen divertid</w:t>
        </w:r>
        <w:r w:rsidR="00D261B9">
          <w:rPr>
            <w:rStyle w:val="Hipervnculo"/>
            <w:rFonts w:ascii="Times New Roman" w:hAnsi="Times New Roman" w:cs="Times New Roman"/>
            <w:i/>
            <w:iCs/>
            <w:color w:val="auto"/>
            <w:sz w:val="24"/>
            <w:szCs w:val="24"/>
            <w:u w:val="none"/>
            <w:shd w:val="clear" w:color="auto" w:fill="FEFEFE"/>
          </w:rPr>
          <w:t>o de la relación entre el meme “no estoy seguro si”</w:t>
        </w:r>
        <w:r w:rsidR="00656D9D" w:rsidRPr="00656D9D">
          <w:rPr>
            <w:rStyle w:val="Hipervnculo"/>
            <w:rFonts w:ascii="Times New Roman" w:hAnsi="Times New Roman" w:cs="Times New Roman"/>
            <w:i/>
            <w:iCs/>
            <w:color w:val="auto"/>
            <w:sz w:val="24"/>
            <w:szCs w:val="24"/>
            <w:u w:val="none"/>
            <w:shd w:val="clear" w:color="auto" w:fill="FEFEFE"/>
          </w:rPr>
          <w:t xml:space="preserve"> y la cantidad de controladores de tráfico aéreo en el estado de Big Sky </w:t>
        </w:r>
      </w:hyperlink>
      <w:r w:rsidR="00656D9D" w:rsidRPr="00656D9D">
        <w:rPr>
          <w:rFonts w:ascii="Times New Roman" w:hAnsi="Times New Roman" w:cs="Times New Roman"/>
          <w:sz w:val="24"/>
          <w:szCs w:val="24"/>
        </w:rPr>
        <w:t xml:space="preserve"> </w:t>
      </w:r>
      <w:r w:rsidR="00656D9D" w:rsidRPr="00656D9D">
        <w:rPr>
          <w:rStyle w:val="genai-block"/>
          <w:rFonts w:ascii="Times New Roman" w:hAnsi="Times New Roman" w:cs="Times New Roman"/>
          <w:sz w:val="24"/>
          <w:szCs w:val="24"/>
          <w:shd w:val="clear" w:color="auto" w:fill="EFEFEF"/>
        </w:rPr>
        <w:t>Cada vez que alguien cuestionaba si un avión aterrizaba o no, se creaba una vacante para un controlador aéreo e</w:t>
      </w:r>
      <w:r w:rsidR="00D261B9">
        <w:rPr>
          <w:rStyle w:val="genai-block"/>
          <w:rFonts w:ascii="Times New Roman" w:hAnsi="Times New Roman" w:cs="Times New Roman"/>
          <w:sz w:val="24"/>
          <w:szCs w:val="24"/>
          <w:shd w:val="clear" w:color="auto" w:fill="EFEFEF"/>
        </w:rPr>
        <w:t xml:space="preserve">n Montana. </w:t>
      </w:r>
    </w:p>
    <w:p w:rsidR="00656D9D" w:rsidRPr="00D261B9" w:rsidRDefault="00656D9D" w:rsidP="00656D9D">
      <w:pPr>
        <w:spacing w:line="240" w:lineRule="auto"/>
        <w:jc w:val="both"/>
        <w:rPr>
          <w:rFonts w:ascii="Times New Roman" w:hAnsi="Times New Roman" w:cs="Times New Roman"/>
          <w:sz w:val="24"/>
          <w:szCs w:val="24"/>
          <w:shd w:val="clear" w:color="auto" w:fill="EFEFEF"/>
        </w:rPr>
      </w:pPr>
      <w:r w:rsidRPr="00656D9D">
        <w:rPr>
          <w:rFonts w:ascii="Times New Roman" w:hAnsi="Times New Roman" w:cs="Times New Roman"/>
          <w:i/>
          <w:iCs/>
          <w:sz w:val="24"/>
          <w:szCs w:val="24"/>
          <w:shd w:val="clear" w:color="auto" w:fill="FEFEFE"/>
        </w:rPr>
        <w:t>Agitando los vientos: exploración de la correlación entre el consumo de mantequilla y la generación de energía eólica en los Estados Unidos </w:t>
      </w:r>
    </w:p>
    <w:p w:rsidR="00656D9D" w:rsidRPr="00656D9D" w:rsidRDefault="004C1509" w:rsidP="00656D9D">
      <w:pPr>
        <w:spacing w:line="240" w:lineRule="auto"/>
        <w:jc w:val="both"/>
        <w:rPr>
          <w:rFonts w:ascii="Times New Roman" w:hAnsi="Times New Roman" w:cs="Times New Roman"/>
          <w:sz w:val="24"/>
          <w:szCs w:val="24"/>
        </w:rPr>
      </w:pPr>
      <w:hyperlink r:id="rId63" w:tgtFrame="_blank" w:history="1">
        <w:r w:rsidR="00656D9D" w:rsidRPr="00656D9D">
          <w:rPr>
            <w:rStyle w:val="Hipervnculo"/>
            <w:rFonts w:ascii="Times New Roman" w:hAnsi="Times New Roman" w:cs="Times New Roman"/>
            <w:i/>
            <w:iCs/>
            <w:color w:val="auto"/>
            <w:sz w:val="24"/>
            <w:szCs w:val="24"/>
            <w:u w:val="none"/>
            <w:shd w:val="clear" w:color="auto" w:fill="FEFEFE"/>
          </w:rPr>
          <w:t>Rhode to the Top: avistamientos de objetos voladores no identificados y su relación con las escaladas exitosas al Monte Everest </w:t>
        </w:r>
      </w:hyperlink>
    </w:p>
    <w:p w:rsidR="00656D9D" w:rsidRPr="00656D9D" w:rsidRDefault="004C1509" w:rsidP="00656D9D">
      <w:pPr>
        <w:spacing w:line="240" w:lineRule="auto"/>
        <w:jc w:val="both"/>
        <w:rPr>
          <w:rFonts w:ascii="Times New Roman" w:hAnsi="Times New Roman" w:cs="Times New Roman"/>
          <w:sz w:val="24"/>
          <w:szCs w:val="24"/>
        </w:rPr>
      </w:pPr>
      <w:hyperlink r:id="rId64" w:tgtFrame="_blank" w:history="1">
        <w:r w:rsidR="00656D9D" w:rsidRPr="00656D9D">
          <w:rPr>
            <w:rStyle w:val="Hipervnculo"/>
            <w:rFonts w:ascii="Times New Roman" w:hAnsi="Times New Roman" w:cs="Times New Roman"/>
            <w:i/>
            <w:iCs/>
            <w:color w:val="auto"/>
            <w:sz w:val="24"/>
            <w:szCs w:val="24"/>
            <w:u w:val="none"/>
            <w:shd w:val="clear" w:color="auto" w:fill="FEFEFE"/>
          </w:rPr>
          <w:t>Arrojando luz sobre los anhelos de sables de luz: análisis de la asociación en</w:t>
        </w:r>
        <w:r w:rsidR="00D261B9">
          <w:rPr>
            <w:rStyle w:val="Hipervnculo"/>
            <w:rFonts w:ascii="Times New Roman" w:hAnsi="Times New Roman" w:cs="Times New Roman"/>
            <w:i/>
            <w:iCs/>
            <w:color w:val="auto"/>
            <w:sz w:val="24"/>
            <w:szCs w:val="24"/>
            <w:u w:val="none"/>
            <w:shd w:val="clear" w:color="auto" w:fill="FEFEFE"/>
          </w:rPr>
          <w:t>tre las búsquedas de Google de “Cómo construir un sable de luz”</w:t>
        </w:r>
        <w:r w:rsidR="00656D9D" w:rsidRPr="00656D9D">
          <w:rPr>
            <w:rStyle w:val="Hipervnculo"/>
            <w:rFonts w:ascii="Times New Roman" w:hAnsi="Times New Roman" w:cs="Times New Roman"/>
            <w:i/>
            <w:iCs/>
            <w:color w:val="auto"/>
            <w:sz w:val="24"/>
            <w:szCs w:val="24"/>
            <w:u w:val="none"/>
            <w:shd w:val="clear" w:color="auto" w:fill="FEFEFE"/>
          </w:rPr>
          <w:t xml:space="preserve"> y el empleo en control de plagas en el Distrito de Columbia </w:t>
        </w:r>
      </w:hyperlink>
    </w:p>
    <w:p w:rsidR="00656D9D" w:rsidRPr="00656D9D" w:rsidRDefault="004C1509" w:rsidP="00656D9D">
      <w:pPr>
        <w:spacing w:line="240" w:lineRule="auto"/>
        <w:jc w:val="both"/>
        <w:rPr>
          <w:rFonts w:ascii="Times New Roman" w:hAnsi="Times New Roman" w:cs="Times New Roman"/>
          <w:sz w:val="24"/>
          <w:szCs w:val="24"/>
        </w:rPr>
      </w:pPr>
      <w:hyperlink r:id="rId65" w:tgtFrame="_blank" w:history="1">
        <w:r w:rsidR="00656D9D" w:rsidRPr="00656D9D">
          <w:rPr>
            <w:rStyle w:val="Hipervnculo"/>
            <w:rFonts w:ascii="Times New Roman" w:hAnsi="Times New Roman" w:cs="Times New Roman"/>
            <w:i/>
            <w:iCs/>
            <w:color w:val="auto"/>
            <w:sz w:val="24"/>
            <w:szCs w:val="24"/>
            <w:u w:val="none"/>
            <w:shd w:val="clear" w:color="auto" w:fill="FEFEFE"/>
          </w:rPr>
          <w:t xml:space="preserve">Hanna Be the One: Explorando la relación entre la </w:t>
        </w:r>
        <w:r w:rsidR="00D261B9">
          <w:rPr>
            <w:rStyle w:val="Hipervnculo"/>
            <w:rFonts w:ascii="Times New Roman" w:hAnsi="Times New Roman" w:cs="Times New Roman"/>
            <w:i/>
            <w:iCs/>
            <w:color w:val="auto"/>
            <w:sz w:val="24"/>
            <w:szCs w:val="24"/>
            <w:u w:val="none"/>
            <w:shd w:val="clear" w:color="auto" w:fill="FEFEFE"/>
          </w:rPr>
          <w:t>popularidad de Hanna y el meme “What Does the Fox Say”</w:t>
        </w:r>
        <w:r w:rsidR="00656D9D" w:rsidRPr="00656D9D">
          <w:rPr>
            <w:rStyle w:val="Hipervnculo"/>
            <w:rFonts w:ascii="Times New Roman" w:hAnsi="Times New Roman" w:cs="Times New Roman"/>
            <w:i/>
            <w:iCs/>
            <w:color w:val="auto"/>
            <w:sz w:val="24"/>
            <w:szCs w:val="24"/>
            <w:u w:val="none"/>
            <w:shd w:val="clear" w:color="auto" w:fill="FEFEFE"/>
          </w:rPr>
          <w:t> </w:t>
        </w:r>
      </w:hyperlink>
    </w:p>
    <w:p w:rsidR="00656D9D" w:rsidRPr="00656D9D" w:rsidRDefault="004C1509" w:rsidP="00656D9D">
      <w:pPr>
        <w:spacing w:line="240" w:lineRule="auto"/>
        <w:jc w:val="both"/>
        <w:rPr>
          <w:rFonts w:ascii="Times New Roman" w:hAnsi="Times New Roman" w:cs="Times New Roman"/>
          <w:sz w:val="24"/>
          <w:szCs w:val="24"/>
        </w:rPr>
      </w:pPr>
      <w:hyperlink r:id="rId66" w:tgtFrame="_blank" w:history="1">
        <w:r w:rsidR="00656D9D" w:rsidRPr="00656D9D">
          <w:rPr>
            <w:rStyle w:val="Hipervnculo"/>
            <w:rFonts w:ascii="Times New Roman" w:hAnsi="Times New Roman" w:cs="Times New Roman"/>
            <w:i/>
            <w:iCs/>
            <w:color w:val="auto"/>
            <w:sz w:val="24"/>
            <w:szCs w:val="24"/>
            <w:u w:val="none"/>
            <w:shd w:val="clear" w:color="auto" w:fill="FEFEFE"/>
          </w:rPr>
          <w:t>Avivando las llamas: la conexión candente entre los títulos de asociado en control y seguridad de incendios y el uso de gas licuado de petróleo en Japón </w:t>
        </w:r>
      </w:hyperlink>
    </w:p>
    <w:p w:rsidR="00656D9D" w:rsidRPr="00656D9D" w:rsidRDefault="004C1509" w:rsidP="00656D9D">
      <w:pPr>
        <w:spacing w:line="240" w:lineRule="auto"/>
        <w:jc w:val="both"/>
        <w:rPr>
          <w:rFonts w:ascii="Times New Roman" w:hAnsi="Times New Roman" w:cs="Times New Roman"/>
          <w:sz w:val="24"/>
          <w:szCs w:val="24"/>
        </w:rPr>
      </w:pPr>
      <w:hyperlink r:id="rId67" w:tgtFrame="_blank" w:history="1">
        <w:r w:rsidR="00656D9D" w:rsidRPr="00656D9D">
          <w:rPr>
            <w:rStyle w:val="Hipervnculo"/>
            <w:rFonts w:ascii="Times New Roman" w:hAnsi="Times New Roman" w:cs="Times New Roman"/>
            <w:i/>
            <w:iCs/>
            <w:color w:val="auto"/>
            <w:sz w:val="24"/>
            <w:szCs w:val="24"/>
            <w:u w:val="none"/>
            <w:shd w:val="clear" w:color="auto" w:fill="FEFEFE"/>
          </w:rPr>
          <w:t>Gastos de mantenimiento del hogar y charlas técnicas: desentrañar el hilo oculto entre el gasto del hogar y la participación en YouTube </w:t>
        </w:r>
      </w:hyperlink>
    </w:p>
    <w:p w:rsidR="00656D9D" w:rsidRPr="00656D9D" w:rsidRDefault="004C1509" w:rsidP="00656D9D">
      <w:pPr>
        <w:spacing w:line="240" w:lineRule="auto"/>
        <w:jc w:val="both"/>
        <w:rPr>
          <w:rFonts w:ascii="Times New Roman" w:hAnsi="Times New Roman" w:cs="Times New Roman"/>
          <w:sz w:val="24"/>
          <w:szCs w:val="24"/>
        </w:rPr>
      </w:pPr>
      <w:hyperlink r:id="rId68" w:tgtFrame="_blank" w:history="1">
        <w:r w:rsidR="00656D9D" w:rsidRPr="00656D9D">
          <w:rPr>
            <w:rStyle w:val="Hipervnculo"/>
            <w:rFonts w:ascii="Times New Roman" w:hAnsi="Times New Roman" w:cs="Times New Roman"/>
            <w:i/>
            <w:iCs/>
            <w:color w:val="auto"/>
            <w:sz w:val="24"/>
            <w:szCs w:val="24"/>
            <w:u w:val="none"/>
            <w:shd w:val="clear" w:color="auto" w:fill="FEFEFE"/>
          </w:rPr>
          <w:t>El aire que respiramos: un estudio sobre la correlación entre la contaminación del aire en Iowa City y el empleo de técnicos bibliotecarios en Iowa </w:t>
        </w:r>
      </w:hyperlink>
    </w:p>
    <w:p w:rsidR="00656D9D" w:rsidRPr="00656D9D" w:rsidRDefault="004C1509" w:rsidP="00656D9D">
      <w:pPr>
        <w:spacing w:line="240" w:lineRule="auto"/>
        <w:jc w:val="both"/>
        <w:rPr>
          <w:rFonts w:ascii="Times New Roman" w:hAnsi="Times New Roman" w:cs="Times New Roman"/>
          <w:sz w:val="24"/>
          <w:szCs w:val="24"/>
        </w:rPr>
      </w:pPr>
      <w:hyperlink r:id="rId69" w:tgtFrame="_blank" w:history="1">
        <w:r w:rsidR="00656D9D" w:rsidRPr="00656D9D">
          <w:rPr>
            <w:rStyle w:val="Hipervnculo"/>
            <w:rFonts w:ascii="Times New Roman" w:hAnsi="Times New Roman" w:cs="Times New Roman"/>
            <w:i/>
            <w:iCs/>
            <w:color w:val="auto"/>
            <w:sz w:val="24"/>
            <w:szCs w:val="24"/>
            <w:u w:val="none"/>
            <w:shd w:val="clear" w:color="auto" w:fill="FEFEFE"/>
          </w:rPr>
          <w:t>La maravilla de la energía eólica de Waylon: exploración de la conexión entre la popularidad del nombre y la energía renovable en China </w:t>
        </w:r>
      </w:hyperlink>
    </w:p>
    <w:p w:rsidR="00656D9D" w:rsidRPr="00656D9D" w:rsidRDefault="004C1509" w:rsidP="00656D9D">
      <w:pPr>
        <w:spacing w:line="240" w:lineRule="auto"/>
        <w:jc w:val="both"/>
        <w:rPr>
          <w:rFonts w:ascii="Times New Roman" w:hAnsi="Times New Roman" w:cs="Times New Roman"/>
          <w:sz w:val="24"/>
          <w:szCs w:val="24"/>
        </w:rPr>
      </w:pPr>
      <w:hyperlink r:id="rId70" w:tgtFrame="_blank" w:history="1">
        <w:r w:rsidR="00656D9D" w:rsidRPr="00656D9D">
          <w:rPr>
            <w:rStyle w:val="Hipervnculo"/>
            <w:rFonts w:ascii="Times New Roman" w:hAnsi="Times New Roman" w:cs="Times New Roman"/>
            <w:i/>
            <w:iCs/>
            <w:color w:val="auto"/>
            <w:sz w:val="24"/>
            <w:szCs w:val="24"/>
            <w:u w:val="none"/>
            <w:shd w:val="clear" w:color="auto" w:fill="FEFEFE"/>
          </w:rPr>
          <w:t>La interacción interplanetaria: la distancia de Urano y la persistencia del asma en Estados Unidos </w:t>
        </w:r>
      </w:hyperlink>
    </w:p>
    <w:p w:rsidR="00656D9D" w:rsidRPr="00656D9D" w:rsidRDefault="004C1509" w:rsidP="00656D9D">
      <w:pPr>
        <w:spacing w:line="240" w:lineRule="auto"/>
        <w:jc w:val="both"/>
        <w:rPr>
          <w:rFonts w:ascii="Times New Roman" w:hAnsi="Times New Roman" w:cs="Times New Roman"/>
          <w:sz w:val="24"/>
          <w:szCs w:val="24"/>
        </w:rPr>
      </w:pPr>
      <w:hyperlink r:id="rId71" w:tgtFrame="_blank" w:history="1">
        <w:r w:rsidR="00656D9D" w:rsidRPr="00656D9D">
          <w:rPr>
            <w:rStyle w:val="Hipervnculo"/>
            <w:rFonts w:ascii="Times New Roman" w:hAnsi="Times New Roman" w:cs="Times New Roman"/>
            <w:i/>
            <w:iCs/>
            <w:color w:val="auto"/>
            <w:sz w:val="24"/>
            <w:szCs w:val="24"/>
            <w:u w:val="none"/>
            <w:shd w:val="clear" w:color="auto" w:fill="FEFEFE"/>
          </w:rPr>
          <w:t>Conexiones del núcleo: el enigma del maíz transgénico y su cursi correlación con los asistentes administrativos ejecutivos</w:t>
        </w:r>
      </w:hyperlink>
    </w:p>
    <w:p w:rsidR="00656D9D" w:rsidRPr="00656D9D" w:rsidRDefault="004C1509" w:rsidP="00656D9D">
      <w:pPr>
        <w:spacing w:line="240" w:lineRule="auto"/>
        <w:jc w:val="both"/>
        <w:rPr>
          <w:rFonts w:ascii="Times New Roman" w:hAnsi="Times New Roman" w:cs="Times New Roman"/>
          <w:sz w:val="24"/>
          <w:szCs w:val="24"/>
        </w:rPr>
      </w:pPr>
      <w:hyperlink r:id="rId72" w:tgtFrame="_blank" w:history="1">
        <w:r w:rsidR="00656D9D" w:rsidRPr="00656D9D">
          <w:rPr>
            <w:rStyle w:val="Hipervnculo"/>
            <w:rFonts w:ascii="Times New Roman" w:hAnsi="Times New Roman" w:cs="Times New Roman"/>
            <w:i/>
            <w:iCs/>
            <w:color w:val="auto"/>
            <w:sz w:val="24"/>
            <w:szCs w:val="24"/>
            <w:u w:val="none"/>
            <w:shd w:val="clear" w:color="auto" w:fill="FEFEFE"/>
          </w:rPr>
          <w:t>¿Está el combustible para aviones en Kazajistán vinculado a las tendencias en línea?</w:t>
        </w:r>
      </w:hyperlink>
    </w:p>
    <w:p w:rsidR="00656D9D" w:rsidRPr="00656D9D" w:rsidRDefault="004C1509" w:rsidP="00656D9D">
      <w:pPr>
        <w:spacing w:line="240" w:lineRule="auto"/>
        <w:jc w:val="both"/>
        <w:rPr>
          <w:rFonts w:ascii="Times New Roman" w:hAnsi="Times New Roman" w:cs="Times New Roman"/>
          <w:sz w:val="24"/>
          <w:szCs w:val="24"/>
        </w:rPr>
      </w:pPr>
      <w:hyperlink r:id="rId73" w:tgtFrame="_blank" w:history="1">
        <w:r w:rsidR="00656D9D" w:rsidRPr="00656D9D">
          <w:rPr>
            <w:rStyle w:val="Hipervnculo"/>
            <w:rFonts w:ascii="Times New Roman" w:hAnsi="Times New Roman" w:cs="Times New Roman"/>
            <w:i/>
            <w:iCs/>
            <w:color w:val="auto"/>
            <w:sz w:val="24"/>
            <w:szCs w:val="24"/>
            <w:u w:val="none"/>
            <w:shd w:val="clear" w:color="auto" w:fill="FEFEFE"/>
          </w:rPr>
          <w:t>Apuesta por lo más alto: un análisis estadístico de la relación entre las carreras totales anotadas de los Chicago Cubs y las tasas de divorcio en Connecticut</w:t>
        </w:r>
      </w:hyperlink>
    </w:p>
    <w:p w:rsidR="00656D9D" w:rsidRPr="00656D9D" w:rsidRDefault="004C1509" w:rsidP="00656D9D">
      <w:pPr>
        <w:spacing w:line="240" w:lineRule="auto"/>
        <w:jc w:val="both"/>
        <w:rPr>
          <w:rFonts w:ascii="Times New Roman" w:hAnsi="Times New Roman" w:cs="Times New Roman"/>
          <w:i/>
          <w:iCs/>
          <w:sz w:val="24"/>
          <w:szCs w:val="24"/>
          <w:shd w:val="clear" w:color="auto" w:fill="FEFEFE"/>
          <w:vertAlign w:val="superscript"/>
        </w:rPr>
      </w:pPr>
      <w:hyperlink r:id="rId74" w:tgtFrame="_blank" w:history="1">
        <w:r w:rsidR="00656D9D" w:rsidRPr="00656D9D">
          <w:rPr>
            <w:rStyle w:val="Hipervnculo"/>
            <w:rFonts w:ascii="Times New Roman" w:hAnsi="Times New Roman" w:cs="Times New Roman"/>
            <w:i/>
            <w:iCs/>
            <w:color w:val="auto"/>
            <w:sz w:val="24"/>
            <w:szCs w:val="24"/>
            <w:u w:val="none"/>
            <w:shd w:val="clear" w:color="auto" w:fill="FEFEFE"/>
          </w:rPr>
          <w:t>El dilema del escritorio: un análisis correlativo de la tendencia de Tyler y las búsquedas de protectores de pantalla </w:t>
        </w:r>
      </w:hyperlink>
    </w:p>
    <w:p w:rsidR="00656D9D" w:rsidRPr="00656D9D" w:rsidRDefault="004C1509" w:rsidP="00656D9D">
      <w:pPr>
        <w:spacing w:line="240" w:lineRule="auto"/>
        <w:jc w:val="both"/>
        <w:rPr>
          <w:rFonts w:ascii="Times New Roman" w:hAnsi="Times New Roman" w:cs="Times New Roman"/>
          <w:sz w:val="24"/>
          <w:szCs w:val="24"/>
        </w:rPr>
      </w:pPr>
      <w:hyperlink r:id="rId75" w:tgtFrame="_blank" w:history="1">
        <w:r w:rsidR="00656D9D" w:rsidRPr="00656D9D">
          <w:rPr>
            <w:rStyle w:val="Hipervnculo"/>
            <w:rFonts w:ascii="Times New Roman" w:hAnsi="Times New Roman" w:cs="Times New Roman"/>
            <w:i/>
            <w:iCs/>
            <w:color w:val="auto"/>
            <w:sz w:val="24"/>
            <w:szCs w:val="24"/>
            <w:u w:val="none"/>
            <w:shd w:val="clear" w:color="auto" w:fill="FEFEFE"/>
          </w:rPr>
          <w:t xml:space="preserve">Profundizando: el vínculo descubierto entre los niños </w:t>
        </w:r>
        <w:r w:rsidR="00D261B9">
          <w:rPr>
            <w:rStyle w:val="Hipervnculo"/>
            <w:rFonts w:ascii="Times New Roman" w:hAnsi="Times New Roman" w:cs="Times New Roman"/>
            <w:i/>
            <w:iCs/>
            <w:color w:val="auto"/>
            <w:sz w:val="24"/>
            <w:szCs w:val="24"/>
            <w:u w:val="none"/>
            <w:shd w:val="clear" w:color="auto" w:fill="FEFEFE"/>
          </w:rPr>
          <w:t>de las escuelas públicas de EEUU</w:t>
        </w:r>
        <w:r w:rsidR="00656D9D" w:rsidRPr="00656D9D">
          <w:rPr>
            <w:rStyle w:val="Hipervnculo"/>
            <w:rFonts w:ascii="Times New Roman" w:hAnsi="Times New Roman" w:cs="Times New Roman"/>
            <w:i/>
            <w:iCs/>
            <w:color w:val="auto"/>
            <w:sz w:val="24"/>
            <w:szCs w:val="24"/>
            <w:u w:val="none"/>
            <w:shd w:val="clear" w:color="auto" w:fill="FEFEFE"/>
          </w:rPr>
          <w:t xml:space="preserve"> y los tiendetuberías de Dakota del Norte </w:t>
        </w:r>
      </w:hyperlink>
    </w:p>
    <w:p w:rsidR="00656D9D" w:rsidRPr="00656D9D" w:rsidRDefault="004C1509" w:rsidP="00656D9D">
      <w:pPr>
        <w:spacing w:line="240" w:lineRule="auto"/>
        <w:jc w:val="both"/>
        <w:rPr>
          <w:rFonts w:ascii="Times New Roman" w:hAnsi="Times New Roman" w:cs="Times New Roman"/>
          <w:sz w:val="24"/>
          <w:szCs w:val="24"/>
        </w:rPr>
      </w:pPr>
      <w:hyperlink r:id="rId76" w:tgtFrame="_blank" w:history="1">
        <w:r w:rsidR="00656D9D" w:rsidRPr="00656D9D">
          <w:rPr>
            <w:rStyle w:val="Hipervnculo"/>
            <w:rFonts w:ascii="Times New Roman" w:hAnsi="Times New Roman" w:cs="Times New Roman"/>
            <w:i/>
            <w:iCs/>
            <w:color w:val="auto"/>
            <w:sz w:val="24"/>
            <w:szCs w:val="24"/>
            <w:u w:val="none"/>
            <w:shd w:val="clear" w:color="auto" w:fill="FEFEFE"/>
          </w:rPr>
          <w:t>Comedias de situación y acciones: un análisis estadístico de la relación entre las calificaciones de la temporada de Two and a Half Men y el precio de las acciones de Paychex </w:t>
        </w:r>
      </w:hyperlink>
    </w:p>
    <w:p w:rsidR="00656D9D" w:rsidRPr="00656D9D" w:rsidRDefault="004C1509" w:rsidP="00656D9D">
      <w:pPr>
        <w:spacing w:line="240" w:lineRule="auto"/>
        <w:jc w:val="both"/>
        <w:rPr>
          <w:rFonts w:ascii="Times New Roman" w:hAnsi="Times New Roman" w:cs="Times New Roman"/>
          <w:sz w:val="24"/>
          <w:szCs w:val="24"/>
        </w:rPr>
      </w:pPr>
      <w:hyperlink r:id="rId77" w:tgtFrame="_blank" w:history="1">
        <w:r w:rsidR="00656D9D" w:rsidRPr="00656D9D">
          <w:rPr>
            <w:rStyle w:val="Hipervnculo"/>
            <w:rFonts w:ascii="Times New Roman" w:hAnsi="Times New Roman" w:cs="Times New Roman"/>
            <w:i/>
            <w:iCs/>
            <w:color w:val="auto"/>
            <w:sz w:val="24"/>
            <w:szCs w:val="24"/>
            <w:u w:val="none"/>
            <w:shd w:val="clear" w:color="auto" w:fill="FEFEFE"/>
          </w:rPr>
          <w:t>Touchdowns y compensaciones: análisis del impacto económico de las victorias de temporada de los San Francisco 49ers en el PIB per cápita de Canadá </w:t>
        </w:r>
      </w:hyperlink>
    </w:p>
    <w:p w:rsidR="00656D9D" w:rsidRDefault="00656D9D" w:rsidP="00656D9D">
      <w:pPr>
        <w:spacing w:line="240" w:lineRule="auto"/>
        <w:jc w:val="both"/>
        <w:rPr>
          <w:rFonts w:ascii="Times New Roman" w:hAnsi="Times New Roman" w:cs="Times New Roman"/>
          <w:i/>
          <w:sz w:val="24"/>
          <w:szCs w:val="24"/>
        </w:rPr>
      </w:pPr>
      <w:r w:rsidRPr="008659ED">
        <w:rPr>
          <w:rFonts w:ascii="Times New Roman" w:hAnsi="Times New Roman" w:cs="Times New Roman"/>
          <w:i/>
          <w:sz w:val="24"/>
          <w:szCs w:val="24"/>
        </w:rPr>
        <w:t>Un asunto de Streamy: Revelando la correlación</w:t>
      </w:r>
      <w:r w:rsidR="00D261B9">
        <w:rPr>
          <w:rFonts w:ascii="Times New Roman" w:hAnsi="Times New Roman" w:cs="Times New Roman"/>
          <w:i/>
          <w:sz w:val="24"/>
          <w:szCs w:val="24"/>
        </w:rPr>
        <w:t xml:space="preserve"> entre las búsquedas de Google “</w:t>
      </w:r>
      <w:r w:rsidRPr="008659ED">
        <w:rPr>
          <w:rFonts w:ascii="Times New Roman" w:hAnsi="Times New Roman" w:cs="Times New Roman"/>
          <w:i/>
          <w:sz w:val="24"/>
          <w:szCs w:val="24"/>
        </w:rPr>
        <w:t>¿Dónde</w:t>
      </w:r>
      <w:r w:rsidR="00D261B9">
        <w:rPr>
          <w:rFonts w:ascii="Times New Roman" w:hAnsi="Times New Roman" w:cs="Times New Roman"/>
          <w:i/>
          <w:sz w:val="24"/>
          <w:szCs w:val="24"/>
        </w:rPr>
        <w:t xml:space="preserve"> puedo transmitir a mis amigos?”</w:t>
      </w:r>
      <w:r w:rsidRPr="008659ED">
        <w:rPr>
          <w:rFonts w:ascii="Times New Roman" w:hAnsi="Times New Roman" w:cs="Times New Roman"/>
          <w:i/>
          <w:sz w:val="24"/>
          <w:szCs w:val="24"/>
        </w:rPr>
        <w:t xml:space="preserve"> y el programa de precios de las acciones de Lululemon </w:t>
      </w:r>
    </w:p>
    <w:p w:rsidR="00656D9D" w:rsidRDefault="00656D9D" w:rsidP="00656D9D">
      <w:pPr>
        <w:spacing w:line="240" w:lineRule="auto"/>
        <w:jc w:val="both"/>
        <w:rPr>
          <w:rFonts w:ascii="Times New Roman" w:hAnsi="Times New Roman" w:cs="Times New Roman"/>
          <w:i/>
          <w:sz w:val="24"/>
          <w:szCs w:val="24"/>
        </w:rPr>
      </w:pPr>
      <w:r w:rsidRPr="008659ED">
        <w:rPr>
          <w:rFonts w:ascii="Times New Roman" w:hAnsi="Times New Roman" w:cs="Times New Roman"/>
          <w:i/>
          <w:sz w:val="24"/>
          <w:szCs w:val="24"/>
        </w:rPr>
        <w:t>La conexión cursi: exploración de la correlación entre el maíz transgénico en Michigan y las motocicletas Yamaha en el Reino Unido</w:t>
      </w:r>
    </w:p>
    <w:p w:rsidR="00656D9D" w:rsidRPr="008659ED" w:rsidRDefault="00656D9D" w:rsidP="00656D9D">
      <w:pPr>
        <w:spacing w:line="240" w:lineRule="auto"/>
        <w:jc w:val="both"/>
        <w:rPr>
          <w:rFonts w:ascii="Times New Roman" w:hAnsi="Times New Roman" w:cs="Times New Roman"/>
          <w:i/>
          <w:sz w:val="24"/>
          <w:szCs w:val="24"/>
        </w:rPr>
      </w:pPr>
      <w:r w:rsidRPr="008659ED">
        <w:rPr>
          <w:rFonts w:ascii="Times New Roman" w:hAnsi="Times New Roman" w:cs="Times New Roman"/>
          <w:i/>
          <w:sz w:val="24"/>
          <w:szCs w:val="24"/>
        </w:rPr>
        <w:t>La contribución severa de Saturno: la relación cósmica entre la distancia orbital y la persistencia de la energía de biomasa de la India</w:t>
      </w:r>
    </w:p>
    <w:p w:rsidR="00656D9D" w:rsidRPr="008659ED" w:rsidRDefault="00656D9D" w:rsidP="00656D9D">
      <w:pPr>
        <w:spacing w:line="240" w:lineRule="auto"/>
        <w:jc w:val="both"/>
        <w:rPr>
          <w:rFonts w:ascii="Times New Roman" w:hAnsi="Times New Roman" w:cs="Times New Roman"/>
          <w:i/>
          <w:sz w:val="24"/>
          <w:szCs w:val="24"/>
        </w:rPr>
      </w:pPr>
      <w:r w:rsidRPr="008659ED">
        <w:rPr>
          <w:rFonts w:ascii="Times New Roman" w:hAnsi="Times New Roman" w:cs="Times New Roman"/>
          <w:i/>
          <w:sz w:val="24"/>
          <w:szCs w:val="24"/>
        </w:rPr>
        <w:t>Fuera de este mundo: la conexión estelar entre el nombre Brooklyn y los avistamientos de ovnis en el estado de Bluegrass</w:t>
      </w:r>
    </w:p>
    <w:p w:rsidR="00656D9D" w:rsidRDefault="00656D9D" w:rsidP="00656D9D">
      <w:pPr>
        <w:spacing w:line="240" w:lineRule="auto"/>
        <w:jc w:val="both"/>
        <w:rPr>
          <w:rFonts w:ascii="Times New Roman" w:hAnsi="Times New Roman" w:cs="Times New Roman"/>
          <w:i/>
          <w:sz w:val="24"/>
          <w:szCs w:val="24"/>
        </w:rPr>
      </w:pPr>
      <w:r w:rsidRPr="008659ED">
        <w:rPr>
          <w:rFonts w:ascii="Times New Roman" w:hAnsi="Times New Roman" w:cs="Times New Roman"/>
          <w:i/>
          <w:sz w:val="24"/>
          <w:szCs w:val="24"/>
        </w:rPr>
        <w:lastRenderedPageBreak/>
        <w:t>Goteo, goteo, gota: la curiosa conexión entre las precipitaciones en San Francisco y la cantidad de operadores de imprentas en Rhode Island</w:t>
      </w:r>
    </w:p>
    <w:p w:rsidR="00656D9D" w:rsidRDefault="00656D9D" w:rsidP="00656D9D">
      <w:pPr>
        <w:spacing w:line="240" w:lineRule="auto"/>
        <w:jc w:val="both"/>
        <w:rPr>
          <w:rFonts w:ascii="Times New Roman" w:hAnsi="Times New Roman" w:cs="Times New Roman"/>
          <w:i/>
          <w:sz w:val="24"/>
          <w:szCs w:val="24"/>
        </w:rPr>
      </w:pPr>
      <w:r w:rsidRPr="008659ED">
        <w:rPr>
          <w:rFonts w:ascii="Times New Roman" w:hAnsi="Times New Roman" w:cs="Times New Roman"/>
          <w:i/>
          <w:sz w:val="24"/>
          <w:szCs w:val="24"/>
        </w:rPr>
        <w:t>El meme del éxito: un análisis es</w:t>
      </w:r>
      <w:r w:rsidR="00D261B9">
        <w:rPr>
          <w:rFonts w:ascii="Times New Roman" w:hAnsi="Times New Roman" w:cs="Times New Roman"/>
          <w:i/>
          <w:sz w:val="24"/>
          <w:szCs w:val="24"/>
        </w:rPr>
        <w:t>tadístico de la popularidad de “Success Kid”</w:t>
      </w:r>
      <w:r w:rsidRPr="008659ED">
        <w:rPr>
          <w:rFonts w:ascii="Times New Roman" w:hAnsi="Times New Roman" w:cs="Times New Roman"/>
          <w:i/>
          <w:sz w:val="24"/>
          <w:szCs w:val="24"/>
        </w:rPr>
        <w:t xml:space="preserve"> y su influencia en la participación de Numberphile en YouTube.</w:t>
      </w:r>
    </w:p>
    <w:p w:rsidR="00656D9D" w:rsidRDefault="00656D9D" w:rsidP="00656D9D">
      <w:pPr>
        <w:spacing w:line="240" w:lineRule="auto"/>
        <w:jc w:val="both"/>
        <w:rPr>
          <w:rFonts w:ascii="Times New Roman" w:hAnsi="Times New Roman" w:cs="Times New Roman"/>
          <w:i/>
          <w:sz w:val="24"/>
          <w:szCs w:val="24"/>
        </w:rPr>
      </w:pPr>
      <w:r w:rsidRPr="008659ED">
        <w:rPr>
          <w:rFonts w:ascii="Times New Roman" w:hAnsi="Times New Roman" w:cs="Times New Roman"/>
          <w:i/>
          <w:sz w:val="24"/>
          <w:szCs w:val="24"/>
        </w:rPr>
        <w:t>Núcleo de la verdad: exploración de la conexión entre los títulos de maestría en educación y el uso de maíz transgénico en Ohio</w:t>
      </w:r>
    </w:p>
    <w:p w:rsidR="00656D9D" w:rsidRPr="00FB0E49" w:rsidRDefault="00656D9D" w:rsidP="00656D9D">
      <w:pPr>
        <w:spacing w:line="240" w:lineRule="auto"/>
        <w:jc w:val="both"/>
        <w:rPr>
          <w:rFonts w:ascii="Times New Roman" w:hAnsi="Times New Roman" w:cs="Times New Roman"/>
          <w:sz w:val="24"/>
          <w:szCs w:val="24"/>
        </w:rPr>
      </w:pPr>
      <w:r w:rsidRPr="00FB0E49">
        <w:rPr>
          <w:rFonts w:ascii="Times New Roman" w:hAnsi="Times New Roman" w:cs="Times New Roman"/>
          <w:b/>
          <w:sz w:val="24"/>
          <w:szCs w:val="24"/>
        </w:rPr>
        <w:t>Nota</w:t>
      </w:r>
      <w:r>
        <w:rPr>
          <w:rFonts w:ascii="Times New Roman" w:hAnsi="Times New Roman" w:cs="Times New Roman"/>
          <w:sz w:val="24"/>
          <w:szCs w:val="24"/>
        </w:rPr>
        <w:t xml:space="preserve">: hay muchos más ejemplos de </w:t>
      </w:r>
      <w:r w:rsidR="00D261B9">
        <w:rPr>
          <w:rFonts w:ascii="Times New Roman" w:hAnsi="Times New Roman" w:cs="Times New Roman"/>
          <w:sz w:val="24"/>
          <w:szCs w:val="24"/>
        </w:rPr>
        <w:t>“</w:t>
      </w:r>
      <w:r>
        <w:rPr>
          <w:rFonts w:ascii="Times New Roman" w:hAnsi="Times New Roman" w:cs="Times New Roman"/>
          <w:sz w:val="24"/>
          <w:szCs w:val="24"/>
        </w:rPr>
        <w:t>correlaciones espurias</w:t>
      </w:r>
      <w:r w:rsidR="00D261B9">
        <w:rPr>
          <w:rFonts w:ascii="Times New Roman" w:hAnsi="Times New Roman" w:cs="Times New Roman"/>
          <w:sz w:val="24"/>
          <w:szCs w:val="24"/>
        </w:rPr>
        <w:t>”</w:t>
      </w:r>
      <w:r>
        <w:rPr>
          <w:rFonts w:ascii="Times New Roman" w:hAnsi="Times New Roman" w:cs="Times New Roman"/>
          <w:sz w:val="24"/>
          <w:szCs w:val="24"/>
        </w:rPr>
        <w:t xml:space="preserve"> establecidas por IA, pero creo que a los efectos demostrativos, resulta suficiente. Los interesados en ver las representaciones gráficas de las correlaciones señaladas, así como una mayor información, pueden ir </w:t>
      </w:r>
      <w:r w:rsidRPr="00765388">
        <w:rPr>
          <w:rFonts w:ascii="Times New Roman" w:hAnsi="Times New Roman" w:cs="Times New Roman"/>
          <w:sz w:val="24"/>
          <w:szCs w:val="24"/>
        </w:rPr>
        <w:t xml:space="preserve">directamente a la página del autor </w:t>
      </w:r>
      <w:r w:rsidRPr="00656D9D">
        <w:rPr>
          <w:rFonts w:ascii="Times New Roman" w:hAnsi="Times New Roman" w:cs="Times New Roman"/>
          <w:sz w:val="24"/>
          <w:szCs w:val="24"/>
        </w:rPr>
        <w:t>(</w:t>
      </w:r>
      <w:hyperlink r:id="rId78" w:history="1">
        <w:r w:rsidRPr="00656D9D">
          <w:rPr>
            <w:rStyle w:val="Hipervnculo"/>
            <w:rFonts w:ascii="Times New Roman" w:hAnsi="Times New Roman" w:cs="Times New Roman"/>
            <w:color w:val="auto"/>
            <w:sz w:val="24"/>
            <w:szCs w:val="24"/>
            <w:u w:val="none"/>
          </w:rPr>
          <w:t>https://tylervigen.com/spurious-correlations</w:t>
        </w:r>
      </w:hyperlink>
      <w:r w:rsidRPr="00656D9D">
        <w:rPr>
          <w:rFonts w:ascii="Times New Roman" w:hAnsi="Times New Roman" w:cs="Times New Roman"/>
          <w:sz w:val="24"/>
          <w:szCs w:val="24"/>
        </w:rPr>
        <w:t xml:space="preserve">?). </w:t>
      </w:r>
      <w:r w:rsidRPr="00765388">
        <w:rPr>
          <w:rFonts w:ascii="Times New Roman" w:hAnsi="Times New Roman" w:cs="Times New Roman"/>
          <w:sz w:val="24"/>
          <w:szCs w:val="24"/>
        </w:rPr>
        <w:t xml:space="preserve">Les </w:t>
      </w:r>
      <w:r>
        <w:rPr>
          <w:rFonts w:ascii="Times New Roman" w:hAnsi="Times New Roman" w:cs="Times New Roman"/>
          <w:sz w:val="24"/>
          <w:szCs w:val="24"/>
        </w:rPr>
        <w:t>a</w:t>
      </w:r>
      <w:r w:rsidR="00D261B9">
        <w:rPr>
          <w:rFonts w:ascii="Times New Roman" w:hAnsi="Times New Roman" w:cs="Times New Roman"/>
          <w:sz w:val="24"/>
          <w:szCs w:val="24"/>
        </w:rPr>
        <w:t xml:space="preserve">seguro que podrán pasar un </w:t>
      </w:r>
      <w:r>
        <w:rPr>
          <w:rFonts w:ascii="Times New Roman" w:hAnsi="Times New Roman" w:cs="Times New Roman"/>
          <w:sz w:val="24"/>
          <w:szCs w:val="24"/>
        </w:rPr>
        <w:t>rato</w:t>
      </w:r>
      <w:r w:rsidR="00D261B9">
        <w:rPr>
          <w:rFonts w:ascii="Times New Roman" w:hAnsi="Times New Roman" w:cs="Times New Roman"/>
          <w:sz w:val="24"/>
          <w:szCs w:val="24"/>
        </w:rPr>
        <w:t xml:space="preserve"> entretenido</w:t>
      </w:r>
      <w:r>
        <w:rPr>
          <w:rFonts w:ascii="Times New Roman" w:hAnsi="Times New Roman" w:cs="Times New Roman"/>
          <w:sz w:val="24"/>
          <w:szCs w:val="24"/>
        </w:rPr>
        <w:t>.</w:t>
      </w:r>
    </w:p>
    <w:p w:rsidR="00656D9D" w:rsidRPr="008659ED" w:rsidRDefault="00656D9D" w:rsidP="00656D9D">
      <w:pPr>
        <w:pStyle w:val="Ttulo1"/>
        <w:spacing w:before="0" w:beforeAutospacing="0" w:after="450" w:afterAutospacing="0"/>
        <w:jc w:val="both"/>
        <w:rPr>
          <w:sz w:val="24"/>
          <w:szCs w:val="24"/>
        </w:rPr>
      </w:pPr>
      <w:r w:rsidRPr="008659ED">
        <w:rPr>
          <w:sz w:val="24"/>
          <w:szCs w:val="24"/>
        </w:rPr>
        <w:t>¿Por qué funciona esto?</w:t>
      </w:r>
    </w:p>
    <w:p w:rsidR="00656D9D" w:rsidRPr="008659ED" w:rsidRDefault="00656D9D" w:rsidP="00656D9D">
      <w:pPr>
        <w:numPr>
          <w:ilvl w:val="0"/>
          <w:numId w:val="4"/>
        </w:numPr>
        <w:spacing w:before="120" w:after="120" w:line="240" w:lineRule="auto"/>
        <w:jc w:val="both"/>
        <w:rPr>
          <w:rFonts w:ascii="Times New Roman" w:hAnsi="Times New Roman" w:cs="Times New Roman"/>
          <w:sz w:val="24"/>
          <w:szCs w:val="24"/>
        </w:rPr>
      </w:pPr>
      <w:r w:rsidRPr="008659ED">
        <w:rPr>
          <w:rFonts w:ascii="Times New Roman" w:hAnsi="Times New Roman" w:cs="Times New Roman"/>
          <w:b/>
          <w:bCs/>
          <w:sz w:val="24"/>
          <w:szCs w:val="24"/>
        </w:rPr>
        <w:t>Dragado de datos:</w:t>
      </w:r>
      <w:r w:rsidRPr="008659ED">
        <w:rPr>
          <w:rFonts w:ascii="Times New Roman" w:hAnsi="Times New Roman" w:cs="Times New Roman"/>
          <w:sz w:val="24"/>
          <w:szCs w:val="24"/>
        </w:rPr>
        <w:t xml:space="preserve"> Tengo 25.237 variables en mi base de datos. Las comparo entre sí para encontrar las que coinciden aleatoriamente. ¡Eso equivale a 636.906.169 cálculos de correlación! Esto se llama </w:t>
      </w:r>
      <w:r w:rsidR="00D261B9">
        <w:rPr>
          <w:rFonts w:ascii="Times New Roman" w:hAnsi="Times New Roman" w:cs="Times New Roman"/>
          <w:sz w:val="24"/>
          <w:szCs w:val="24"/>
        </w:rPr>
        <w:t>“</w:t>
      </w:r>
      <w:hyperlink r:id="rId79" w:history="1">
        <w:r w:rsidRPr="00656D9D">
          <w:rPr>
            <w:rStyle w:val="Hipervnculo"/>
            <w:rFonts w:ascii="Times New Roman" w:hAnsi="Times New Roman" w:cs="Times New Roman"/>
            <w:color w:val="auto"/>
            <w:sz w:val="24"/>
            <w:szCs w:val="24"/>
            <w:u w:val="none"/>
          </w:rPr>
          <w:t>dragado de datos</w:t>
        </w:r>
      </w:hyperlink>
      <w:r w:rsidR="00D261B9">
        <w:rPr>
          <w:rFonts w:ascii="Times New Roman" w:hAnsi="Times New Roman" w:cs="Times New Roman"/>
          <w:sz w:val="24"/>
          <w:szCs w:val="24"/>
        </w:rPr>
        <w:t>”</w:t>
      </w:r>
      <w:r w:rsidRPr="00656D9D">
        <w:rPr>
          <w:rFonts w:ascii="Times New Roman" w:hAnsi="Times New Roman" w:cs="Times New Roman"/>
          <w:sz w:val="24"/>
          <w:szCs w:val="24"/>
        </w:rPr>
        <w:t>. </w:t>
      </w:r>
      <w:r w:rsidRPr="008659ED">
        <w:rPr>
          <w:rFonts w:ascii="Times New Roman" w:hAnsi="Times New Roman" w:cs="Times New Roman"/>
          <w:sz w:val="24"/>
          <w:szCs w:val="24"/>
        </w:rPr>
        <w:t>En lugar de empezar con una hipótesis y comprobarla, licué un montón de datos para ver qué correlaciones se obtenían. Es una forma peligrosa de analizar, ya que cualquier conjunto de datos suficientemente grande producirá correlaciones fuertes de forma completamente aleatoria.</w:t>
      </w:r>
    </w:p>
    <w:p w:rsidR="00656D9D" w:rsidRPr="008659ED" w:rsidRDefault="00656D9D" w:rsidP="00656D9D">
      <w:pPr>
        <w:numPr>
          <w:ilvl w:val="0"/>
          <w:numId w:val="4"/>
        </w:numPr>
        <w:spacing w:before="120" w:after="120" w:line="240" w:lineRule="auto"/>
        <w:jc w:val="both"/>
        <w:rPr>
          <w:rFonts w:ascii="Times New Roman" w:hAnsi="Times New Roman" w:cs="Times New Roman"/>
          <w:sz w:val="24"/>
          <w:szCs w:val="24"/>
        </w:rPr>
      </w:pPr>
      <w:r w:rsidRPr="008659ED">
        <w:rPr>
          <w:rFonts w:ascii="Times New Roman" w:hAnsi="Times New Roman" w:cs="Times New Roman"/>
          <w:b/>
          <w:bCs/>
          <w:sz w:val="24"/>
          <w:szCs w:val="24"/>
        </w:rPr>
        <w:t>Falta de conexión causal:</w:t>
      </w:r>
      <w:r w:rsidRPr="008659ED">
        <w:rPr>
          <w:rFonts w:ascii="Times New Roman" w:hAnsi="Times New Roman" w:cs="Times New Roman"/>
          <w:sz w:val="24"/>
          <w:szCs w:val="24"/>
        </w:rPr>
        <w:t> Probablemente no exista una conexión directa entre estas variables, a pesar de lo que indica la IA anteriormente. Esto se ve ag</w:t>
      </w:r>
      <w:r w:rsidR="00D261B9">
        <w:rPr>
          <w:rFonts w:ascii="Times New Roman" w:hAnsi="Times New Roman" w:cs="Times New Roman"/>
          <w:sz w:val="24"/>
          <w:szCs w:val="24"/>
        </w:rPr>
        <w:t>ravado por el hecho de que usé “Años”</w:t>
      </w:r>
      <w:r w:rsidRPr="008659ED">
        <w:rPr>
          <w:rFonts w:ascii="Times New Roman" w:hAnsi="Times New Roman" w:cs="Times New Roman"/>
          <w:sz w:val="24"/>
          <w:szCs w:val="24"/>
        </w:rPr>
        <w:t xml:space="preserve"> como variable base. ¡En un año ocurren muchas cosas que no están relacionadas entre sí! La mayoría de los </w:t>
      </w:r>
      <w:r w:rsidR="00D261B9">
        <w:rPr>
          <w:rFonts w:ascii="Times New Roman" w:hAnsi="Times New Roman" w:cs="Times New Roman"/>
          <w:sz w:val="24"/>
          <w:szCs w:val="24"/>
        </w:rPr>
        <w:t>estudios utilizarían algo como “una persona” en lugar de “un año” como el “objeto”</w:t>
      </w:r>
      <w:r w:rsidRPr="008659ED">
        <w:rPr>
          <w:rFonts w:ascii="Times New Roman" w:hAnsi="Times New Roman" w:cs="Times New Roman"/>
          <w:sz w:val="24"/>
          <w:szCs w:val="24"/>
        </w:rPr>
        <w:t xml:space="preserve"> estudiado.</w:t>
      </w:r>
    </w:p>
    <w:p w:rsidR="00656D9D" w:rsidRPr="008659ED" w:rsidRDefault="00656D9D" w:rsidP="00656D9D">
      <w:pPr>
        <w:numPr>
          <w:ilvl w:val="0"/>
          <w:numId w:val="4"/>
        </w:numPr>
        <w:spacing w:before="120" w:after="120" w:line="240" w:lineRule="auto"/>
        <w:jc w:val="both"/>
        <w:rPr>
          <w:rFonts w:ascii="Times New Roman" w:hAnsi="Times New Roman" w:cs="Times New Roman"/>
          <w:sz w:val="24"/>
          <w:szCs w:val="24"/>
        </w:rPr>
      </w:pPr>
      <w:r w:rsidRPr="008659ED">
        <w:rPr>
          <w:rFonts w:ascii="Times New Roman" w:hAnsi="Times New Roman" w:cs="Times New Roman"/>
          <w:b/>
          <w:bCs/>
          <w:sz w:val="24"/>
          <w:szCs w:val="24"/>
        </w:rPr>
        <w:t>Observaciones no independientes:</w:t>
      </w:r>
      <w:r w:rsidRPr="008659ED">
        <w:rPr>
          <w:rFonts w:ascii="Times New Roman" w:hAnsi="Times New Roman" w:cs="Times New Roman"/>
          <w:sz w:val="24"/>
          <w:szCs w:val="24"/>
        </w:rPr>
        <w:t> Para muchas variables, los años secuenciales no son independientes entre sí. A menudo se observa la formación de líneas de tendencia. Si una población realiza una actividad continuamente todos los días, no hay razón para pensar que cambiarán repentinamente </w:t>
      </w:r>
      <w:r w:rsidRPr="008659ED">
        <w:rPr>
          <w:rFonts w:ascii="Times New Roman" w:hAnsi="Times New Roman" w:cs="Times New Roman"/>
          <w:i/>
          <w:iCs/>
          <w:sz w:val="24"/>
          <w:szCs w:val="24"/>
        </w:rPr>
        <w:t>su</w:t>
      </w:r>
      <w:r w:rsidRPr="008659ED">
        <w:rPr>
          <w:rFonts w:ascii="Times New Roman" w:hAnsi="Times New Roman" w:cs="Times New Roman"/>
          <w:sz w:val="24"/>
          <w:szCs w:val="24"/>
        </w:rPr>
        <w:t> comportamiento el 1 de enero. Un cálculo simple del valor </w:t>
      </w:r>
      <w:r w:rsidRPr="008659ED">
        <w:rPr>
          <w:rFonts w:ascii="Times New Roman" w:hAnsi="Times New Roman" w:cs="Times New Roman"/>
          <w:i/>
          <w:iCs/>
          <w:sz w:val="24"/>
          <w:szCs w:val="24"/>
        </w:rPr>
        <w:t>p</w:t>
      </w:r>
      <w:r w:rsidRPr="008659ED">
        <w:rPr>
          <w:rFonts w:ascii="Times New Roman" w:hAnsi="Times New Roman" w:cs="Times New Roman"/>
          <w:sz w:val="24"/>
          <w:szCs w:val="24"/>
        </w:rPr>
        <w:t> no tiene esto en cuenta. </w:t>
      </w:r>
    </w:p>
    <w:p w:rsidR="00656D9D" w:rsidRPr="008659ED" w:rsidRDefault="00656D9D" w:rsidP="00656D9D">
      <w:pPr>
        <w:numPr>
          <w:ilvl w:val="0"/>
          <w:numId w:val="4"/>
        </w:numPr>
        <w:spacing w:before="120" w:after="120" w:line="240" w:lineRule="auto"/>
        <w:jc w:val="both"/>
        <w:rPr>
          <w:rFonts w:ascii="Times New Roman" w:hAnsi="Times New Roman" w:cs="Times New Roman"/>
          <w:sz w:val="24"/>
          <w:szCs w:val="24"/>
        </w:rPr>
      </w:pPr>
      <w:r w:rsidRPr="008659ED">
        <w:rPr>
          <w:rFonts w:ascii="Times New Roman" w:hAnsi="Times New Roman" w:cs="Times New Roman"/>
          <w:b/>
          <w:bCs/>
          <w:sz w:val="24"/>
          <w:szCs w:val="24"/>
        </w:rPr>
        <w:t>El eje Y no empieza en cero:</w:t>
      </w:r>
      <w:r w:rsidRPr="008659ED">
        <w:rPr>
          <w:rFonts w:ascii="Times New Roman" w:hAnsi="Times New Roman" w:cs="Times New Roman"/>
          <w:sz w:val="24"/>
          <w:szCs w:val="24"/>
        </w:rPr>
        <w:t> trunqué el eje Y de los gráficos anteriores. También usé un gráfico de líneas, lo que resalta la conexión visual más de lo que merece. Matemáticamente, lo que mostré es cierto, pero es intencionalmente engañoso. Si hace clic en cualquiera de los gráficos que abusan de esto, puede desplazarse hacia abajo para ver una versión que empieza en cero.</w:t>
      </w:r>
    </w:p>
    <w:p w:rsidR="00656D9D" w:rsidRPr="008659ED" w:rsidRDefault="00656D9D" w:rsidP="00656D9D">
      <w:pPr>
        <w:numPr>
          <w:ilvl w:val="0"/>
          <w:numId w:val="4"/>
        </w:numPr>
        <w:spacing w:before="120" w:after="120" w:line="240" w:lineRule="auto"/>
        <w:jc w:val="both"/>
        <w:rPr>
          <w:rFonts w:ascii="Times New Roman" w:hAnsi="Times New Roman" w:cs="Times New Roman"/>
          <w:sz w:val="24"/>
          <w:szCs w:val="24"/>
        </w:rPr>
      </w:pPr>
      <w:r w:rsidRPr="008659ED">
        <w:rPr>
          <w:rFonts w:ascii="Times New Roman" w:hAnsi="Times New Roman" w:cs="Times New Roman"/>
          <w:b/>
          <w:bCs/>
          <w:sz w:val="24"/>
          <w:szCs w:val="24"/>
        </w:rPr>
        <w:t>Variable de confusión:</w:t>
      </w:r>
      <w:r w:rsidRPr="008659ED">
        <w:rPr>
          <w:rFonts w:ascii="Times New Roman" w:hAnsi="Times New Roman" w:cs="Times New Roman"/>
          <w:sz w:val="24"/>
          <w:szCs w:val="24"/>
        </w:rPr>
        <w:t xml:space="preserve"> Las variables de confusión (como las pandemias globales) harán que dos variables parezcan conectadas cuando, </w:t>
      </w:r>
      <w:r w:rsidR="00467CE7">
        <w:rPr>
          <w:rFonts w:ascii="Times New Roman" w:hAnsi="Times New Roman" w:cs="Times New Roman"/>
          <w:sz w:val="24"/>
          <w:szCs w:val="24"/>
        </w:rPr>
        <w:t>de hecho, una tercera variable “furtiva”</w:t>
      </w:r>
      <w:r w:rsidRPr="008659ED">
        <w:rPr>
          <w:rFonts w:ascii="Times New Roman" w:hAnsi="Times New Roman" w:cs="Times New Roman"/>
          <w:sz w:val="24"/>
          <w:szCs w:val="24"/>
        </w:rPr>
        <w:t xml:space="preserve"> está influyendo en ambas detrás de escena.</w:t>
      </w:r>
    </w:p>
    <w:p w:rsidR="00656D9D" w:rsidRPr="008659ED" w:rsidRDefault="00656D9D" w:rsidP="00656D9D">
      <w:pPr>
        <w:numPr>
          <w:ilvl w:val="0"/>
          <w:numId w:val="4"/>
        </w:numPr>
        <w:spacing w:before="120" w:after="120" w:line="240" w:lineRule="auto"/>
        <w:jc w:val="both"/>
        <w:rPr>
          <w:rFonts w:ascii="Times New Roman" w:hAnsi="Times New Roman" w:cs="Times New Roman"/>
          <w:sz w:val="24"/>
          <w:szCs w:val="24"/>
        </w:rPr>
      </w:pPr>
      <w:r w:rsidRPr="008659ED">
        <w:rPr>
          <w:rFonts w:ascii="Times New Roman" w:hAnsi="Times New Roman" w:cs="Times New Roman"/>
          <w:b/>
          <w:bCs/>
          <w:sz w:val="24"/>
          <w:szCs w:val="24"/>
        </w:rPr>
        <w:t>Valores atípicos:</w:t>
      </w:r>
      <w:r w:rsidRPr="008659ED">
        <w:rPr>
          <w:rFonts w:ascii="Times New Roman" w:hAnsi="Times New Roman" w:cs="Times New Roman"/>
          <w:sz w:val="24"/>
          <w:szCs w:val="24"/>
        </w:rPr>
        <w:t> Algunos conjuntos de datos aquí presentan valores atípicos que aumentan la correlación. Cabe destacar que gestioné incorrectamente los valores atípicos intencionalmente, lo que hace que la correlación parezca especialmente fuerte.</w:t>
      </w:r>
    </w:p>
    <w:p w:rsidR="00656D9D" w:rsidRDefault="00656D9D" w:rsidP="00656D9D">
      <w:pPr>
        <w:numPr>
          <w:ilvl w:val="0"/>
          <w:numId w:val="4"/>
        </w:numPr>
        <w:spacing w:before="120" w:after="120" w:line="240" w:lineRule="auto"/>
        <w:jc w:val="both"/>
        <w:rPr>
          <w:rFonts w:ascii="Times New Roman" w:hAnsi="Times New Roman" w:cs="Times New Roman"/>
          <w:sz w:val="24"/>
          <w:szCs w:val="24"/>
        </w:rPr>
      </w:pPr>
      <w:r w:rsidRPr="008659ED">
        <w:rPr>
          <w:rFonts w:ascii="Times New Roman" w:hAnsi="Times New Roman" w:cs="Times New Roman"/>
          <w:b/>
          <w:bCs/>
          <w:i/>
          <w:iCs/>
          <w:sz w:val="24"/>
          <w:szCs w:val="24"/>
        </w:rPr>
        <w:lastRenderedPageBreak/>
        <w:t>N</w:t>
      </w:r>
      <w:r w:rsidRPr="008659ED">
        <w:rPr>
          <w:rFonts w:ascii="Times New Roman" w:hAnsi="Times New Roman" w:cs="Times New Roman"/>
          <w:b/>
          <w:bCs/>
          <w:sz w:val="24"/>
          <w:szCs w:val="24"/>
        </w:rPr>
        <w:t> bajo:</w:t>
      </w:r>
      <w:r w:rsidRPr="008659ED">
        <w:rPr>
          <w:rFonts w:ascii="Times New Roman" w:hAnsi="Times New Roman" w:cs="Times New Roman"/>
          <w:sz w:val="24"/>
          <w:szCs w:val="24"/>
        </w:rPr>
        <w:t> Algunos de estos gráficos no incluyen muchos puntos de datos. Incluso si el valor p es alto, debemos sospechar de usar tan pocos puntos de datos en una correlación.</w:t>
      </w:r>
    </w:p>
    <w:p w:rsidR="00656D9D" w:rsidRPr="00656D9D" w:rsidRDefault="00656D9D" w:rsidP="00656D9D">
      <w:pPr>
        <w:spacing w:before="120" w:after="120" w:line="240" w:lineRule="auto"/>
        <w:jc w:val="both"/>
        <w:rPr>
          <w:rFonts w:ascii="Times New Roman" w:hAnsi="Times New Roman" w:cs="Times New Roman"/>
          <w:bCs/>
          <w:iCs/>
          <w:sz w:val="24"/>
          <w:szCs w:val="24"/>
        </w:rPr>
      </w:pPr>
      <w:r>
        <w:rPr>
          <w:rFonts w:ascii="Times New Roman" w:hAnsi="Times New Roman" w:cs="Times New Roman"/>
          <w:b/>
          <w:bCs/>
          <w:iCs/>
          <w:sz w:val="24"/>
          <w:szCs w:val="24"/>
        </w:rPr>
        <w:t xml:space="preserve">Nota I: </w:t>
      </w:r>
      <w:r w:rsidR="00467CE7">
        <w:rPr>
          <w:rFonts w:ascii="Times New Roman" w:hAnsi="Times New Roman" w:cs="Times New Roman"/>
          <w:bCs/>
          <w:iCs/>
          <w:sz w:val="24"/>
          <w:szCs w:val="24"/>
        </w:rPr>
        <w:t>L</w:t>
      </w:r>
      <w:r w:rsidRPr="001D1129">
        <w:rPr>
          <w:rFonts w:ascii="Times New Roman" w:hAnsi="Times New Roman" w:cs="Times New Roman"/>
          <w:bCs/>
          <w:iCs/>
          <w:sz w:val="24"/>
          <w:szCs w:val="24"/>
        </w:rPr>
        <w:t>a página web de Tyler</w:t>
      </w:r>
      <w:r w:rsidR="00467CE7">
        <w:rPr>
          <w:rFonts w:ascii="Times New Roman" w:hAnsi="Times New Roman" w:cs="Times New Roman"/>
          <w:bCs/>
          <w:iCs/>
          <w:sz w:val="24"/>
          <w:szCs w:val="24"/>
        </w:rPr>
        <w:t xml:space="preserve"> Virgen, abogado de Harvard, </w:t>
      </w:r>
      <w:r w:rsidRPr="001D1129">
        <w:rPr>
          <w:rFonts w:ascii="Times New Roman" w:hAnsi="Times New Roman" w:cs="Times New Roman"/>
          <w:bCs/>
          <w:iCs/>
          <w:sz w:val="24"/>
          <w:szCs w:val="24"/>
        </w:rPr>
        <w:t>desde hace años mantiene un experimento estadístico y de datos llamado Spurious Correlations,</w:t>
      </w:r>
    </w:p>
    <w:p w:rsidR="00656D9D" w:rsidRPr="00207713" w:rsidRDefault="00656D9D" w:rsidP="00656D9D">
      <w:pPr>
        <w:spacing w:before="120" w:after="120" w:line="240" w:lineRule="auto"/>
        <w:jc w:val="both"/>
        <w:rPr>
          <w:rFonts w:ascii="Times New Roman" w:hAnsi="Times New Roman" w:cs="Times New Roman"/>
          <w:sz w:val="24"/>
          <w:szCs w:val="24"/>
        </w:rPr>
      </w:pPr>
      <w:r w:rsidRPr="001D1129">
        <w:rPr>
          <w:rFonts w:ascii="Times New Roman" w:hAnsi="Times New Roman" w:cs="Times New Roman"/>
          <w:b/>
          <w:sz w:val="24"/>
          <w:szCs w:val="24"/>
        </w:rPr>
        <w:t>Nota II</w:t>
      </w:r>
      <w:r>
        <w:rPr>
          <w:rFonts w:ascii="Times New Roman" w:hAnsi="Times New Roman" w:cs="Times New Roman"/>
          <w:sz w:val="24"/>
          <w:szCs w:val="24"/>
        </w:rPr>
        <w:t xml:space="preserve">: Si se miran las </w:t>
      </w:r>
      <w:r w:rsidRPr="00207713">
        <w:rPr>
          <w:rFonts w:ascii="Times New Roman" w:hAnsi="Times New Roman" w:cs="Times New Roman"/>
          <w:sz w:val="24"/>
          <w:szCs w:val="24"/>
        </w:rPr>
        <w:t>gráficas detenidamente, parte del encanto de estas correlaciones espurias está en la elección de las métricas comparativas. Es más fácil hacer pasar como fenómenos relacionados dos hechos si equiparamos miles de millones de dólares en recreativas con expediciones de títulos del orden de cientos. El plan es manipular los rangos para que los datos se alineen, y no al contrario.</w:t>
      </w:r>
      <w:r>
        <w:rPr>
          <w:rFonts w:ascii="Times New Roman" w:hAnsi="Times New Roman" w:cs="Times New Roman"/>
          <w:sz w:val="24"/>
          <w:szCs w:val="24"/>
        </w:rPr>
        <w:t xml:space="preserve"> </w:t>
      </w:r>
      <w:r w:rsidRPr="00656D9D">
        <w:rPr>
          <w:rFonts w:ascii="Times New Roman" w:hAnsi="Times New Roman" w:cs="Times New Roman"/>
          <w:sz w:val="24"/>
          <w:szCs w:val="24"/>
        </w:rPr>
        <w:t>(</w:t>
      </w:r>
      <w:hyperlink r:id="rId80" w:history="1">
        <w:r w:rsidRPr="00656D9D">
          <w:rPr>
            <w:rStyle w:val="Hipervnculo"/>
            <w:rFonts w:ascii="Times New Roman" w:hAnsi="Times New Roman" w:cs="Times New Roman"/>
            <w:color w:val="auto"/>
            <w:sz w:val="24"/>
            <w:szCs w:val="24"/>
            <w:u w:val="none"/>
          </w:rPr>
          <w:t>https://www.xataka.com/magnet/</w:t>
        </w:r>
      </w:hyperlink>
      <w:r w:rsidRPr="00467CE7">
        <w:rPr>
          <w:rFonts w:ascii="Times New Roman" w:hAnsi="Times New Roman" w:cs="Times New Roman"/>
          <w:sz w:val="24"/>
          <w:szCs w:val="24"/>
        </w:rPr>
        <w:t xml:space="preserve"> -</w:t>
      </w:r>
      <w:r w:rsidRPr="001D1129">
        <w:rPr>
          <w:rFonts w:ascii="Times New Roman" w:hAnsi="Times New Roman" w:cs="Times New Roman"/>
          <w:sz w:val="24"/>
          <w:szCs w:val="24"/>
        </w:rPr>
        <w:t xml:space="preserve"> </w:t>
      </w:r>
      <w:r>
        <w:rPr>
          <w:rFonts w:ascii="Times New Roman" w:hAnsi="Times New Roman" w:cs="Times New Roman"/>
          <w:sz w:val="24"/>
          <w:szCs w:val="24"/>
        </w:rPr>
        <w:t>18/10/19)</w:t>
      </w:r>
    </w:p>
    <w:p w:rsidR="00656D9D" w:rsidRPr="00467CE7" w:rsidRDefault="00656D9D" w:rsidP="00656D9D">
      <w:pPr>
        <w:spacing w:before="120" w:after="120" w:line="240" w:lineRule="auto"/>
        <w:jc w:val="both"/>
        <w:rPr>
          <w:rFonts w:ascii="Times New Roman" w:hAnsi="Times New Roman" w:cs="Times New Roman"/>
          <w:sz w:val="24"/>
          <w:szCs w:val="24"/>
        </w:rPr>
      </w:pPr>
      <w:r w:rsidRPr="00467CE7">
        <w:rPr>
          <w:rFonts w:ascii="Times New Roman" w:hAnsi="Times New Roman" w:cs="Times New Roman"/>
          <w:sz w:val="24"/>
          <w:szCs w:val="24"/>
        </w:rPr>
        <w:t xml:space="preserve">Esta divertida crítica en formato de gráficas disparatadas, tampoco tiene como objetivo desmontar el mismo sistema de correlaciones. A fin de cuentas, estas existen y son necesarias. Hay acciones que provocan ciertas reacciones. </w:t>
      </w:r>
    </w:p>
    <w:p w:rsidR="00656D9D" w:rsidRPr="00207713" w:rsidRDefault="00656D9D" w:rsidP="00656D9D">
      <w:pPr>
        <w:spacing w:before="120" w:after="120" w:line="240" w:lineRule="auto"/>
        <w:jc w:val="both"/>
        <w:rPr>
          <w:rFonts w:ascii="Times New Roman" w:hAnsi="Times New Roman" w:cs="Times New Roman"/>
          <w:sz w:val="24"/>
          <w:szCs w:val="24"/>
        </w:rPr>
      </w:pPr>
      <w:r w:rsidRPr="00207713">
        <w:rPr>
          <w:rFonts w:ascii="Times New Roman" w:hAnsi="Times New Roman" w:cs="Times New Roman"/>
          <w:sz w:val="24"/>
          <w:szCs w:val="24"/>
        </w:rPr>
        <w:t xml:space="preserve">Una correlación también se crea si vemos que a los pacientes que tomen determinado medicamento empiezan a salirles sarpullidos. Y no todas las correlaciones deben medirse igual, como el hecho de que al jugar al rugby tengas una probabilidad (inventada, ficticia) del 8% de hacerte un moratón frente a que si comes un tipo de pescado exótico tienes esa misma probabilidad de morirte. </w:t>
      </w:r>
    </w:p>
    <w:p w:rsidR="00656D9D" w:rsidRPr="00207713" w:rsidRDefault="00656D9D" w:rsidP="00656D9D">
      <w:pPr>
        <w:spacing w:before="120" w:after="120" w:line="240" w:lineRule="auto"/>
        <w:jc w:val="both"/>
        <w:rPr>
          <w:rFonts w:ascii="Times New Roman" w:hAnsi="Times New Roman" w:cs="Times New Roman"/>
          <w:sz w:val="24"/>
          <w:szCs w:val="24"/>
        </w:rPr>
      </w:pPr>
      <w:r w:rsidRPr="00207713">
        <w:rPr>
          <w:rFonts w:ascii="Times New Roman" w:hAnsi="Times New Roman" w:cs="Times New Roman"/>
          <w:sz w:val="24"/>
          <w:szCs w:val="24"/>
        </w:rPr>
        <w:t>Claro que también se han dado casos de error a la hora de determinar el orden de los factores: ¿estaba más limpia y sana la gente que tenía piojos o iban los piojos a las cabezas de la gente más limpia y sana?</w:t>
      </w:r>
    </w:p>
    <w:p w:rsidR="00656D9D" w:rsidRPr="00207713" w:rsidRDefault="00656D9D" w:rsidP="00656D9D">
      <w:pPr>
        <w:spacing w:before="120" w:after="120" w:line="240" w:lineRule="auto"/>
        <w:jc w:val="both"/>
        <w:rPr>
          <w:rFonts w:ascii="Times New Roman" w:hAnsi="Times New Roman" w:cs="Times New Roman"/>
          <w:sz w:val="24"/>
          <w:szCs w:val="24"/>
        </w:rPr>
      </w:pPr>
      <w:r w:rsidRPr="00207713">
        <w:rPr>
          <w:rFonts w:ascii="Times New Roman" w:hAnsi="Times New Roman" w:cs="Times New Roman"/>
          <w:sz w:val="24"/>
          <w:szCs w:val="24"/>
        </w:rPr>
        <w:t>El problema es que los científicos trabajan en ocasiones analizando cientos de miles de cadenas de datos, más en la era del big data, en la que es muy fácil disponer de mucha información y por la que a veces se encuentran relaciones peregrinas. De hecho, unos científicos dijeron demostrar que las grandes bases de datos tienden a contener correlaciones arbitrarias que aparecen sólo debido al tamaño (no a su naturaleza) de los datos. Que es fácil generar correlaciones si la muestra es lo suficientemente grande, con lo que se trata de un problema que irá a más.</w:t>
      </w:r>
    </w:p>
    <w:p w:rsidR="00656D9D" w:rsidRDefault="00656D9D" w:rsidP="00656D9D">
      <w:pPr>
        <w:spacing w:before="120" w:after="120" w:line="240" w:lineRule="auto"/>
        <w:jc w:val="both"/>
        <w:rPr>
          <w:rFonts w:ascii="Times New Roman" w:hAnsi="Times New Roman" w:cs="Times New Roman"/>
          <w:sz w:val="24"/>
          <w:szCs w:val="24"/>
        </w:rPr>
      </w:pPr>
      <w:r w:rsidRPr="00207713">
        <w:rPr>
          <w:rFonts w:ascii="Times New Roman" w:hAnsi="Times New Roman" w:cs="Times New Roman"/>
          <w:sz w:val="24"/>
          <w:szCs w:val="24"/>
        </w:rPr>
        <w:t>¿Cómo sabemos entonces que esa unión de dos cadenas de información no es fortuita? Porque hay un trabajo posterior de atribución de probabilidad de las correlaciones, y en ocasiones hay hechos que, aunque no se nos había ocurrido que podían tener una relación causal, sí la tienen. Es con esos descubrimientos con los que también se hace que la ciencia avance.</w:t>
      </w:r>
    </w:p>
    <w:p w:rsidR="00F01C05" w:rsidRPr="00F01C05" w:rsidRDefault="00F01C05" w:rsidP="00656D9D">
      <w:pPr>
        <w:spacing w:before="120" w:after="12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uso </w:t>
      </w:r>
      <w:r w:rsidRPr="00F01C05">
        <w:rPr>
          <w:rFonts w:ascii="Times New Roman" w:hAnsi="Times New Roman" w:cs="Times New Roman"/>
          <w:b/>
          <w:sz w:val="24"/>
          <w:szCs w:val="24"/>
        </w:rPr>
        <w:t>de cualquier herramienta de inteligencia artificial</w:t>
      </w:r>
      <w:r>
        <w:rPr>
          <w:rFonts w:ascii="Times New Roman" w:hAnsi="Times New Roman" w:cs="Times New Roman"/>
          <w:b/>
          <w:sz w:val="24"/>
          <w:szCs w:val="24"/>
        </w:rPr>
        <w:t xml:space="preserve"> (¿un amplificador de fallos?)</w:t>
      </w:r>
    </w:p>
    <w:p w:rsidR="00F01C05" w:rsidRPr="006F472A" w:rsidRDefault="00F01C05" w:rsidP="00F01C05">
      <w:pPr>
        <w:spacing w:line="240" w:lineRule="auto"/>
        <w:jc w:val="both"/>
        <w:rPr>
          <w:rFonts w:ascii="Times New Roman" w:hAnsi="Times New Roman" w:cs="Times New Roman"/>
          <w:b/>
          <w:sz w:val="24"/>
          <w:szCs w:val="24"/>
        </w:rPr>
      </w:pPr>
      <w:r w:rsidRPr="006F472A">
        <w:rPr>
          <w:rFonts w:ascii="Times New Roman" w:hAnsi="Times New Roman" w:cs="Times New Roman"/>
          <w:b/>
          <w:sz w:val="24"/>
          <w:szCs w:val="24"/>
        </w:rPr>
        <w:t>De acuerdo con el informe 2025 AI Index Report de la Universidad de Stanford, las instituciones basadas en EEUU produjeron 40 modelos de IA destacados el año pasado, comparados con los 15 de China y tres de Europa.</w:t>
      </w:r>
    </w:p>
    <w:p w:rsidR="006F472A" w:rsidRDefault="006F472A" w:rsidP="006F472A">
      <w:pPr>
        <w:spacing w:line="240" w:lineRule="auto"/>
        <w:jc w:val="both"/>
        <w:rPr>
          <w:rFonts w:ascii="Times New Roman" w:hAnsi="Times New Roman" w:cs="Times New Roman"/>
          <w:b/>
          <w:sz w:val="24"/>
          <w:szCs w:val="24"/>
        </w:rPr>
      </w:pPr>
      <w:r w:rsidRPr="006F472A">
        <w:rPr>
          <w:rFonts w:ascii="Times New Roman" w:hAnsi="Times New Roman" w:cs="Times New Roman"/>
          <w:b/>
          <w:sz w:val="24"/>
          <w:szCs w:val="24"/>
        </w:rPr>
        <w:t>“</w:t>
      </w:r>
      <w:r w:rsidR="00F01C05" w:rsidRPr="006F472A">
        <w:rPr>
          <w:rFonts w:ascii="Times New Roman" w:hAnsi="Times New Roman" w:cs="Times New Roman"/>
          <w:b/>
          <w:sz w:val="24"/>
          <w:szCs w:val="24"/>
        </w:rPr>
        <w:t xml:space="preserve">La IA podría darte una respuesta, pero no es necesariamente acertada o verdadera, Los modelos de IA pueden inventarse cosas que no existen, tan sólo porque suenan verosímiles. </w:t>
      </w:r>
      <w:r w:rsidRPr="006F472A">
        <w:rPr>
          <w:rFonts w:ascii="Times New Roman" w:hAnsi="Times New Roman" w:cs="Times New Roman"/>
          <w:b/>
          <w:sz w:val="24"/>
          <w:szCs w:val="24"/>
        </w:rPr>
        <w:t>Los sistemas de IA funcionan en torno a la recopilación de enormes cantidades de datos y los usan para entrenar el modelo. Esto significa que la información que metes, ya sea una foto o texto, pude ser almacenada, analizada y usada por el sistema para influir las respuestas futuras”, sostiene la científica de la informática canadiense Sasha Luccioni”</w:t>
      </w:r>
      <w:r>
        <w:rPr>
          <w:rFonts w:ascii="Times New Roman" w:hAnsi="Times New Roman" w:cs="Times New Roman"/>
          <w:b/>
          <w:sz w:val="24"/>
          <w:szCs w:val="24"/>
        </w:rPr>
        <w:t xml:space="preserve">. </w:t>
      </w:r>
    </w:p>
    <w:p w:rsidR="006F472A" w:rsidRDefault="006F472A" w:rsidP="006F472A">
      <w:pPr>
        <w:spacing w:line="240" w:lineRule="auto"/>
        <w:jc w:val="both"/>
        <w:rPr>
          <w:rFonts w:ascii="Times New Roman" w:hAnsi="Times New Roman" w:cs="Times New Roman"/>
          <w:b/>
          <w:sz w:val="24"/>
          <w:szCs w:val="24"/>
        </w:rPr>
      </w:pPr>
      <w:r>
        <w:rPr>
          <w:rFonts w:ascii="Times New Roman" w:hAnsi="Times New Roman" w:cs="Times New Roman"/>
          <w:b/>
          <w:sz w:val="24"/>
          <w:szCs w:val="24"/>
        </w:rPr>
        <w:t>Cuidado con el uso (y abuso) de la IA, puede terminar siendo un amplificador de fallos.</w:t>
      </w:r>
    </w:p>
    <w:p w:rsidR="00530ABC" w:rsidRPr="002C5383" w:rsidRDefault="00530ABC" w:rsidP="006F472A">
      <w:pPr>
        <w:spacing w:line="240" w:lineRule="auto"/>
        <w:jc w:val="both"/>
        <w:rPr>
          <w:rFonts w:ascii="Times New Roman" w:hAnsi="Times New Roman" w:cs="Times New Roman"/>
          <w:b/>
          <w:sz w:val="24"/>
          <w:szCs w:val="24"/>
        </w:rPr>
      </w:pPr>
      <w:r w:rsidRPr="002C5383">
        <w:rPr>
          <w:rFonts w:ascii="Times New Roman" w:hAnsi="Times New Roman" w:cs="Times New Roman"/>
          <w:b/>
          <w:sz w:val="24"/>
          <w:szCs w:val="24"/>
        </w:rPr>
        <w:lastRenderedPageBreak/>
        <w:t>- El día que Fibonacci “lloró”</w:t>
      </w:r>
    </w:p>
    <w:p w:rsidR="00467CE7" w:rsidRDefault="00467CE7" w:rsidP="00530ABC">
      <w:pPr>
        <w:spacing w:before="120" w:after="120" w:line="240" w:lineRule="auto"/>
        <w:jc w:val="both"/>
        <w:rPr>
          <w:rFonts w:ascii="Times New Roman" w:hAnsi="Times New Roman" w:cs="Times New Roman"/>
          <w:b/>
          <w:color w:val="FF0000"/>
          <w:sz w:val="24"/>
          <w:szCs w:val="24"/>
        </w:rPr>
      </w:pPr>
      <w:r>
        <w:rPr>
          <w:noProof/>
          <w:lang w:eastAsia="es-ES"/>
        </w:rPr>
        <w:drawing>
          <wp:inline distT="0" distB="0" distL="0" distR="0" wp14:anchorId="25D3BB87" wp14:editId="46CDE05E">
            <wp:extent cx="5733163" cy="3901044"/>
            <wp:effectExtent l="0" t="0" r="1270" b="4445"/>
            <wp:docPr id="17" name="Imagen 17" descr="Peter Tuchman, badge #588: The expressive New York Stock Exchange trader  through the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eter Tuchman, badge #588: The expressive New York Stock Exchange trader  through the years"/>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1510" cy="3899919"/>
                    </a:xfrm>
                    <a:prstGeom prst="rect">
                      <a:avLst/>
                    </a:prstGeom>
                    <a:noFill/>
                    <a:ln>
                      <a:noFill/>
                    </a:ln>
                  </pic:spPr>
                </pic:pic>
              </a:graphicData>
            </a:graphic>
          </wp:inline>
        </w:drawing>
      </w:r>
    </w:p>
    <w:p w:rsidR="005A5088" w:rsidRPr="005A5088" w:rsidRDefault="005A5088" w:rsidP="00530ABC">
      <w:pPr>
        <w:spacing w:before="120" w:after="120" w:line="240" w:lineRule="auto"/>
        <w:jc w:val="both"/>
        <w:rPr>
          <w:rFonts w:ascii="Times New Roman" w:hAnsi="Times New Roman" w:cs="Times New Roman"/>
          <w:b/>
          <w:sz w:val="24"/>
          <w:szCs w:val="24"/>
        </w:rPr>
      </w:pPr>
      <w:r w:rsidRPr="005A5088">
        <w:rPr>
          <w:rFonts w:ascii="Times New Roman" w:hAnsi="Times New Roman" w:cs="Times New Roman"/>
          <w:b/>
          <w:sz w:val="24"/>
          <w:szCs w:val="24"/>
        </w:rPr>
        <w:t>Obe</w:t>
      </w:r>
      <w:r>
        <w:rPr>
          <w:rFonts w:ascii="Times New Roman" w:hAnsi="Times New Roman" w:cs="Times New Roman"/>
          <w:b/>
          <w:sz w:val="24"/>
          <w:szCs w:val="24"/>
        </w:rPr>
        <w:t>rtura: ¿Quién fue</w:t>
      </w:r>
      <w:r w:rsidRPr="005A5088">
        <w:rPr>
          <w:rFonts w:ascii="Times New Roman" w:hAnsi="Times New Roman" w:cs="Times New Roman"/>
          <w:b/>
          <w:sz w:val="24"/>
          <w:szCs w:val="24"/>
        </w:rPr>
        <w:t xml:space="preserve"> </w:t>
      </w:r>
      <w:r w:rsidR="00C44162" w:rsidRPr="005A5088">
        <w:rPr>
          <w:rFonts w:ascii="Times New Roman" w:hAnsi="Times New Roman" w:cs="Times New Roman"/>
          <w:b/>
          <w:sz w:val="24"/>
          <w:szCs w:val="24"/>
        </w:rPr>
        <w:t>Fibonacci</w:t>
      </w:r>
      <w:r w:rsidRPr="005A5088">
        <w:rPr>
          <w:rFonts w:ascii="Times New Roman" w:hAnsi="Times New Roman" w:cs="Times New Roman"/>
          <w:b/>
          <w:sz w:val="24"/>
          <w:szCs w:val="24"/>
        </w:rPr>
        <w:t xml:space="preserve">, qué descubrió, y cómo </w:t>
      </w:r>
      <w:r>
        <w:rPr>
          <w:rFonts w:ascii="Times New Roman" w:hAnsi="Times New Roman" w:cs="Times New Roman"/>
          <w:b/>
          <w:sz w:val="24"/>
          <w:szCs w:val="24"/>
        </w:rPr>
        <w:t>se utilizó (o malversó) su serie</w:t>
      </w:r>
      <w:r w:rsidRPr="005A5088">
        <w:rPr>
          <w:rFonts w:ascii="Times New Roman" w:hAnsi="Times New Roman" w:cs="Times New Roman"/>
          <w:b/>
          <w:sz w:val="24"/>
          <w:szCs w:val="24"/>
        </w:rPr>
        <w:t>?</w:t>
      </w:r>
    </w:p>
    <w:p w:rsidR="00530ABC" w:rsidRPr="00D339F9" w:rsidRDefault="00530ABC" w:rsidP="00530ABC">
      <w:pPr>
        <w:spacing w:before="120" w:after="120" w:line="240" w:lineRule="auto"/>
        <w:jc w:val="both"/>
        <w:rPr>
          <w:rFonts w:ascii="Times New Roman" w:hAnsi="Times New Roman" w:cs="Times New Roman"/>
          <w:sz w:val="24"/>
          <w:szCs w:val="24"/>
        </w:rPr>
      </w:pPr>
      <w:r w:rsidRPr="00D339F9">
        <w:rPr>
          <w:rFonts w:ascii="Times New Roman" w:hAnsi="Times New Roman" w:cs="Times New Roman"/>
          <w:sz w:val="24"/>
          <w:szCs w:val="24"/>
        </w:rPr>
        <w:t>Leonardo de Pisa (Pisa, 1170 - 1240), o a veces también llamado Leonardo Pisano, Leonardo Bigollo Pisano (Leonardo el viajero de Pisa) o simplemente Fibonacci, fue un matemático italiano de la República de Pisa, considerado “el matemático occidental de mayor talento de la Edad Media”. Difundió en Europa la utilidad práctica del sistema de numeración indo-arábigo frente a la numeración romana y fue el primer europeo en describir la sucesión numérica que precisamente lleva su nombre.</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 xml:space="preserve">La secuencia de Fibonacci es una serie infinita de números donde cada número es la suma de los dos anteriores, comenzando con 0 y 1. La secuencia se ve así: 0, 1, 1, 2, 3, 5, 8, 13, 21, 34, y así sucesivamente. Esta secuencia tiene aplicaciones en matemáticas, ciencias de la computación, teoría de juegos y en la naturaleza, apareciendo en la disposición de hojas y pétalos de plantas, entre otros. </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 xml:space="preserve">En detalle, la secuencia se construye de la siguiente manera: </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Comienza con los números 0 y 1.</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El tercer número se obtiene sumando los dos anteriores (0 + 1 = 1).</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El cuarto número se obtiene sumando los dos anteriores (1 + 1 = 2).</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Este proceso continúa, sumando siempre los dos números previos para obtener el siguiente en la secuencia.</w:t>
      </w:r>
    </w:p>
    <w:p w:rsidR="00530ABC"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La secuencia de Fibonacci es conocida por su relación con la razón áurea (aproximadamente 1.618), que se obtiene al dividir un número de la secuencia por su predecesor. Esta proporción aparece en diversas formas en la naturaleza y es considerada estéticamente agradable en el arte y el diseño.</w:t>
      </w:r>
    </w:p>
    <w:p w:rsidR="0008631D" w:rsidRDefault="0008631D" w:rsidP="00530ABC">
      <w:pPr>
        <w:spacing w:before="120" w:after="120" w:line="240" w:lineRule="auto"/>
        <w:jc w:val="both"/>
        <w:rPr>
          <w:rFonts w:ascii="Times New Roman" w:hAnsi="Times New Roman" w:cs="Times New Roman"/>
          <w:sz w:val="24"/>
          <w:szCs w:val="24"/>
        </w:rPr>
      </w:pPr>
      <w:r w:rsidRPr="0008631D">
        <w:rPr>
          <w:rFonts w:ascii="Times New Roman" w:hAnsi="Times New Roman" w:cs="Times New Roman"/>
          <w:sz w:val="24"/>
          <w:szCs w:val="24"/>
        </w:rPr>
        <w:lastRenderedPageBreak/>
        <w:t>La sucesión fue descrit</w:t>
      </w:r>
      <w:r>
        <w:rPr>
          <w:rFonts w:ascii="Times New Roman" w:hAnsi="Times New Roman" w:cs="Times New Roman"/>
          <w:sz w:val="24"/>
          <w:szCs w:val="24"/>
        </w:rPr>
        <w:t xml:space="preserve">a y dada a conocer </w:t>
      </w:r>
      <w:r w:rsidRPr="0008631D">
        <w:rPr>
          <w:rFonts w:ascii="Times New Roman" w:hAnsi="Times New Roman" w:cs="Times New Roman"/>
          <w:sz w:val="24"/>
          <w:szCs w:val="24"/>
        </w:rPr>
        <w:t xml:space="preserve">por Fibonacci ejemplificándolo con la solución a un problema de la cría de conejos, </w:t>
      </w:r>
    </w:p>
    <w:p w:rsidR="0008631D" w:rsidRDefault="0008631D" w:rsidP="00530ABC">
      <w:pPr>
        <w:spacing w:before="120" w:after="120" w:line="240" w:lineRule="auto"/>
        <w:jc w:val="both"/>
        <w:rPr>
          <w:rFonts w:ascii="Times New Roman" w:hAnsi="Times New Roman" w:cs="Times New Roman"/>
          <w:sz w:val="24"/>
          <w:szCs w:val="24"/>
        </w:rPr>
      </w:pPr>
      <w:r w:rsidRPr="0008631D">
        <w:rPr>
          <w:rFonts w:ascii="Times New Roman" w:hAnsi="Times New Roman" w:cs="Times New Roman"/>
          <w:noProof/>
          <w:sz w:val="24"/>
          <w:szCs w:val="24"/>
          <w:lang w:eastAsia="es-ES"/>
        </w:rPr>
        <w:drawing>
          <wp:inline distT="0" distB="0" distL="0" distR="0" wp14:anchorId="03CE1FC6" wp14:editId="0CF2B15D">
            <wp:extent cx="5727700" cy="3848100"/>
            <wp:effectExtent l="0" t="0" r="635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0014" cy="3849655"/>
                    </a:xfrm>
                    <a:prstGeom prst="rect">
                      <a:avLst/>
                    </a:prstGeom>
                  </pic:spPr>
                </pic:pic>
              </a:graphicData>
            </a:graphic>
          </wp:inline>
        </w:drawing>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¿Dónde se utiliza la sucesión de Fibonacci en la vida cotidiana?</w:t>
      </w:r>
    </w:p>
    <w:p w:rsidR="00530ABC"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En el caso del análisis financiero, Fibonacci puede aparecer en predicciones de fluctuaciones de precios en los mercados; también en los niveles de retroceso de Fibonacci se utilizan para el análisis técnico y la gestión de inversiones o finanzas personales</w:t>
      </w:r>
      <w:r>
        <w:rPr>
          <w:rFonts w:ascii="Times New Roman" w:hAnsi="Times New Roman" w:cs="Times New Roman"/>
          <w:sz w:val="24"/>
          <w:szCs w:val="24"/>
        </w:rPr>
        <w:t>.</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b/>
          <w:sz w:val="24"/>
          <w:szCs w:val="24"/>
        </w:rPr>
        <w:t>¿Qué es la estrategia Fibonacci?</w:t>
      </w:r>
      <w:r>
        <w:rPr>
          <w:rFonts w:ascii="Times New Roman" w:hAnsi="Times New Roman" w:cs="Times New Roman"/>
          <w:b/>
          <w:sz w:val="24"/>
          <w:szCs w:val="24"/>
        </w:rPr>
        <w:t xml:space="preserve"> </w:t>
      </w:r>
      <w:r>
        <w:rPr>
          <w:rFonts w:ascii="Times New Roman" w:hAnsi="Times New Roman" w:cs="Times New Roman"/>
          <w:sz w:val="24"/>
          <w:szCs w:val="24"/>
        </w:rPr>
        <w:t>(Fuente: Avatrade - Inversores profesionales)</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 xml:space="preserve">La sucesión de Fibonacci es una secuencia de números en la que, después del 0 y del 1, cada número de la serie se obtiene sumando los dos anteriores. De </w:t>
      </w:r>
      <w:r>
        <w:rPr>
          <w:rFonts w:ascii="Times New Roman" w:hAnsi="Times New Roman" w:cs="Times New Roman"/>
          <w:sz w:val="24"/>
          <w:szCs w:val="24"/>
        </w:rPr>
        <w:t>esta manera la secuencia sería: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0, 1, 1, 2, 3, 5, 8, 13, 21, 34, 55, 89, 1</w:t>
      </w:r>
      <w:r>
        <w:rPr>
          <w:rFonts w:ascii="Times New Roman" w:hAnsi="Times New Roman" w:cs="Times New Roman"/>
          <w:sz w:val="24"/>
          <w:szCs w:val="24"/>
        </w:rPr>
        <w:t>44, 233, 377, 610, 987, 1.597….</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Por ejemplo, el número 21 es resultado de sumar 8 y 13, el número 34 resultado de sumar 13 y 21, y así la secuencia continúa, pudiendo prolongarse hasta el infinito. El nombre de esta serie se debe al matemático italiano Leonardo Pisano, nacido en Pisa en 1170 y cuyo apodo era precisamente Fibonacci. Este matemático fue el primero que dio a conocer e</w:t>
      </w:r>
      <w:r>
        <w:rPr>
          <w:rFonts w:ascii="Times New Roman" w:hAnsi="Times New Roman" w:cs="Times New Roman"/>
          <w:sz w:val="24"/>
          <w:szCs w:val="24"/>
        </w:rPr>
        <w:t>sta serie de números en Europa.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La sucesión de Fibonacci presenta algu</w:t>
      </w:r>
      <w:r>
        <w:rPr>
          <w:rFonts w:ascii="Times New Roman" w:hAnsi="Times New Roman" w:cs="Times New Roman"/>
          <w:sz w:val="24"/>
          <w:szCs w:val="24"/>
        </w:rPr>
        <w:t>nas características singulares:</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Todo número de la serie es, aproximadamente, el 61,8 % del siguiente: 21/34 = 0,61764; 34/55 = 0,61818; 55/89 = 0,61797. De este modo, a medida que la secuencia avanza, la división entre dos números consecutivos se acerca cada vez más a 0,618.</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Como contrapartida, todo número de la serie es, aproximadamente, el 38,2 % del número posterior al siguiente: 21/55 = 0,31818; 34/89 = 0,38202; 89/233 = 0,38197. En este caso, también, el número se acerca cada vez más a 0,382 al avanzar la secuencia.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lastRenderedPageBreak/>
        <w:t>Todo número de la serie es, aproximadamente, el 23,6 % del segundo número posterior al siguiente: 21/89 = 0,23595; 89/377 = 0,23607; 377/1597 = 0,23606.</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Este es, por tanto, el origen de los porcentajes que se usan en la teoría de Fibonacci aplicada al trading que se desarrolla en el punto</w:t>
      </w:r>
      <w:r>
        <w:rPr>
          <w:rFonts w:ascii="Times New Roman" w:hAnsi="Times New Roman" w:cs="Times New Roman"/>
          <w:sz w:val="24"/>
          <w:szCs w:val="24"/>
        </w:rPr>
        <w:t xml:space="preserve"> siguiente.</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Teoría de Fibonacci aplicada al trading.</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Los 3 porcentajes señalados en el punto anterior son esenciales a la hora de aplicar la secuencia de Fibonacci en trading de valores. Además, se les suma el 50 %, por su relevancia estadística, y el 76,4 %, resultado de res</w:t>
      </w:r>
      <w:r>
        <w:rPr>
          <w:rFonts w:ascii="Times New Roman" w:hAnsi="Times New Roman" w:cs="Times New Roman"/>
          <w:sz w:val="24"/>
          <w:szCs w:val="24"/>
        </w:rPr>
        <w:t>tar a 100 % el ratio de 23,6 %.</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De esta manera se completa el marco de análisis de Fi</w:t>
      </w:r>
      <w:r>
        <w:rPr>
          <w:rFonts w:ascii="Times New Roman" w:hAnsi="Times New Roman" w:cs="Times New Roman"/>
          <w:sz w:val="24"/>
          <w:szCs w:val="24"/>
        </w:rPr>
        <w:t>bonacci para su aplicación en:</w:t>
      </w:r>
    </w:p>
    <w:p w:rsidR="00530ABC" w:rsidRPr="00304DC0" w:rsidRDefault="00530ABC" w:rsidP="00530ABC">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23,6%; 38,2%; 50%; 61,8%; 76,4%</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Estos porcentajes se suelen denominar en trading “retroc</w:t>
      </w:r>
      <w:r>
        <w:rPr>
          <w:rFonts w:ascii="Times New Roman" w:hAnsi="Times New Roman" w:cs="Times New Roman"/>
          <w:sz w:val="24"/>
          <w:szCs w:val="24"/>
        </w:rPr>
        <w:t>esos de Fibonacci”. Ahora bien:</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w:t>
      </w:r>
      <w:r w:rsidR="00C44162" w:rsidRPr="00304DC0">
        <w:rPr>
          <w:rFonts w:ascii="Times New Roman" w:hAnsi="Times New Roman" w:cs="Times New Roman"/>
          <w:sz w:val="24"/>
          <w:szCs w:val="24"/>
        </w:rPr>
        <w:t>Cómo</w:t>
      </w:r>
      <w:r w:rsidRPr="00304DC0">
        <w:rPr>
          <w:rFonts w:ascii="Times New Roman" w:hAnsi="Times New Roman" w:cs="Times New Roman"/>
          <w:sz w:val="24"/>
          <w:szCs w:val="24"/>
        </w:rPr>
        <w:t xml:space="preserve"> se usan estos porcentajes en técnicas de a</w:t>
      </w:r>
      <w:r>
        <w:rPr>
          <w:rFonts w:ascii="Times New Roman" w:hAnsi="Times New Roman" w:cs="Times New Roman"/>
          <w:sz w:val="24"/>
          <w:szCs w:val="24"/>
        </w:rPr>
        <w:t>nálisis de trading?</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La teoría de Fibonacci aplicada al trading se fundamenta en que está comprobado que, una vez iniciada una corrección en una tendencia consolidada, y cuando dicha corrección supone un porcentaje de variación igual a uno de los retrocesos de Fibonacci (38,2 %, 50 % o 61,8 %), se suele producir un cambio en la mentalidad del mercado que provoca una vuelta a la tendencia primaria y, en consecuencia, un abandon</w:t>
      </w:r>
      <w:r>
        <w:rPr>
          <w:rFonts w:ascii="Times New Roman" w:hAnsi="Times New Roman" w:cs="Times New Roman"/>
          <w:sz w:val="24"/>
          <w:szCs w:val="24"/>
        </w:rPr>
        <w:t>o del movimiento de corrección.</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En otras palabras, se puede decir que la aplicación de los porcentajes de Fibonacci a las técnicas del trading se basa en esta suposición: la corrección que sucede a una tendencia suele acabarse alrededor de los retrocesos de Fibonacci (38,2 %, 50 % o 61,8 %). Si esto se da así, la tendencia volverá a ser la misma que la anterior a la corrección.</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Los retrocesos de Fibonacci se usan, por tanto, para tratar de identificar soportes cuando la tendencia primaria es alcista o resistencias cuando la</w:t>
      </w:r>
      <w:r>
        <w:rPr>
          <w:rFonts w:ascii="Times New Roman" w:hAnsi="Times New Roman" w:cs="Times New Roman"/>
          <w:sz w:val="24"/>
          <w:szCs w:val="24"/>
        </w:rPr>
        <w:t xml:space="preserve"> tendencia primaria es bajista.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Normalmente, esta técnica se usa en combinación con otras herramientas de análisis de mercados, para confirmar la formación de dichos niveles psicoló</w:t>
      </w:r>
      <w:r>
        <w:rPr>
          <w:rFonts w:ascii="Times New Roman" w:hAnsi="Times New Roman" w:cs="Times New Roman"/>
          <w:sz w:val="24"/>
          <w:szCs w:val="24"/>
        </w:rPr>
        <w:t>gicos de soporte o resistencia.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Retrocesos de Fibonacci en una tendencia alcista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La manera de emplear los retrocesos de Fibonacci es relativamente sencilla. En primer lugar, es necesario identificar los extremos de la tendencia primaria sobre la que se ha iniciado la corrección. Como se indicaba en el punto anterior, para que esta herramienta de análisis sea efectiva, la tendencia primaria debe de estar consolidada. En el caso de que esta tendencia previa al retroceso</w:t>
      </w:r>
      <w:r>
        <w:rPr>
          <w:rFonts w:ascii="Times New Roman" w:hAnsi="Times New Roman" w:cs="Times New Roman"/>
          <w:sz w:val="24"/>
          <w:szCs w:val="24"/>
        </w:rPr>
        <w:t xml:space="preserve"> fuera alcista se identificará:</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Cotización mínima durante la tendencia previa (1)</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Cotización máxima durante la tendencia previa (2)</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Una vez identificadas estas cotizaciones se calcula el valor de la diferencia entre las mismas. Conocido este valor, se obtienen las cotizaciones objetivo asociadas a cada retroceso d</w:t>
      </w:r>
      <w:r>
        <w:rPr>
          <w:rFonts w:ascii="Times New Roman" w:hAnsi="Times New Roman" w:cs="Times New Roman"/>
          <w:sz w:val="24"/>
          <w:szCs w:val="24"/>
        </w:rPr>
        <w:t>e Fibonacci según esta fórmula: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Retroceso (23,6%) = Cotización (2) – (23,6% x (Co</w:t>
      </w:r>
      <w:r>
        <w:rPr>
          <w:rFonts w:ascii="Times New Roman" w:hAnsi="Times New Roman" w:cs="Times New Roman"/>
          <w:sz w:val="24"/>
          <w:szCs w:val="24"/>
        </w:rPr>
        <w:t>tización (2) – Cotización (1)))</w:t>
      </w:r>
    </w:p>
    <w:p w:rsidR="00530ABC"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En el siguiente gráfico, que representa la cotización diaria del  se muestra un ejemplo de la aplicación de los retrocesos.</w:t>
      </w:r>
    </w:p>
    <w:p w:rsidR="00530ABC" w:rsidRPr="00304DC0" w:rsidRDefault="00530ABC" w:rsidP="00530ABC">
      <w:pPr>
        <w:spacing w:before="120" w:after="120" w:line="240" w:lineRule="auto"/>
        <w:jc w:val="both"/>
        <w:rPr>
          <w:rFonts w:ascii="Times New Roman" w:hAnsi="Times New Roman" w:cs="Times New Roman"/>
          <w:sz w:val="24"/>
          <w:szCs w:val="24"/>
        </w:rPr>
      </w:pPr>
      <w:r>
        <w:rPr>
          <w:noProof/>
          <w:lang w:eastAsia="es-ES"/>
        </w:rPr>
        <w:lastRenderedPageBreak/>
        <w:drawing>
          <wp:inline distT="0" distB="0" distL="0" distR="0" wp14:anchorId="03DB0EF8" wp14:editId="05D9E9AF">
            <wp:extent cx="5733073" cy="3187700"/>
            <wp:effectExtent l="0" t="0" r="1270" b="0"/>
            <wp:docPr id="68" name="Imagen 68" descr="ejemplo fibonac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jemplo fibonacci"/>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3186831"/>
                    </a:xfrm>
                    <a:prstGeom prst="rect">
                      <a:avLst/>
                    </a:prstGeom>
                    <a:noFill/>
                    <a:ln>
                      <a:noFill/>
                    </a:ln>
                  </pic:spPr>
                </pic:pic>
              </a:graphicData>
            </a:graphic>
          </wp:inline>
        </w:drawing>
      </w:r>
    </w:p>
    <w:p w:rsidR="00530ABC" w:rsidRPr="00304DC0" w:rsidRDefault="00530ABC" w:rsidP="00530ABC">
      <w:pPr>
        <w:spacing w:before="120" w:after="120" w:line="240" w:lineRule="auto"/>
        <w:jc w:val="both"/>
        <w:rPr>
          <w:rFonts w:ascii="Times New Roman" w:hAnsi="Times New Roman" w:cs="Times New Roman"/>
          <w:sz w:val="24"/>
          <w:szCs w:val="24"/>
        </w:rPr>
      </w:pP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 xml:space="preserve">Como se puede ver, la tendencia primaria es alcista. Para calcular los retrocesos de Fibonacci se considera el tramo alcista que registró el índice entre los meses </w:t>
      </w:r>
      <w:r>
        <w:rPr>
          <w:rFonts w:ascii="Times New Roman" w:hAnsi="Times New Roman" w:cs="Times New Roman"/>
          <w:sz w:val="24"/>
          <w:szCs w:val="24"/>
        </w:rPr>
        <w:t>de abril y mayo. En este tramo:</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La cotización mínima fue 5340,9.</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La cotización máxima fue 5726,6.</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La diferencia numérica entre ambas cotizaciones es de 385,7. Con este valor se calculan los retrocesos de Fibonacci. Por ejemplo, para el retroceso correspondi</w:t>
      </w:r>
      <w:r>
        <w:rPr>
          <w:rFonts w:ascii="Times New Roman" w:hAnsi="Times New Roman" w:cs="Times New Roman"/>
          <w:sz w:val="24"/>
          <w:szCs w:val="24"/>
        </w:rPr>
        <w:t>ente al 38,2% el cálculo sería: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Retroceso (38,2%) = 5726</w:t>
      </w:r>
      <w:r>
        <w:rPr>
          <w:rFonts w:ascii="Times New Roman" w:hAnsi="Times New Roman" w:cs="Times New Roman"/>
          <w:sz w:val="24"/>
          <w:szCs w:val="24"/>
        </w:rPr>
        <w:t>,6 – (38,2% x (385,7)) = 5579,3</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En el ejemplo mostrado, este retroceso actuó claramente como un soporte. Cuando la cotización llegó a este nivel, se detuvo la corrección y el índice volvió a</w:t>
      </w:r>
      <w:r>
        <w:rPr>
          <w:rFonts w:ascii="Times New Roman" w:hAnsi="Times New Roman" w:cs="Times New Roman"/>
          <w:sz w:val="24"/>
          <w:szCs w:val="24"/>
        </w:rPr>
        <w:t xml:space="preserve"> su tendencia alcista primaria.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Estudiando el movimiento posterior del índice, concretamente el rebote del mes de julio, se puede ver cómo, una vez un retroceso de Fibonacci actúa, la cotización asociada a dicho retroceso a</w:t>
      </w:r>
      <w:r>
        <w:rPr>
          <w:rFonts w:ascii="Times New Roman" w:hAnsi="Times New Roman" w:cs="Times New Roman"/>
          <w:sz w:val="24"/>
          <w:szCs w:val="24"/>
        </w:rPr>
        <w:t>ctúa como un soporte del valor.</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Retrocesos de Fibonacci en una tendencia bajista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En el caso de una tendencia primaria bajista, el cálculo de los retrocesos de Fibonacci es muy similar. Básicamente, se emplea el mismo cálculo, aunque cambiando el orden entre las cotizaciones mínimas y máximas con respecto a las de una tendencia alcista</w:t>
      </w:r>
      <w:r>
        <w:rPr>
          <w:rFonts w:ascii="Times New Roman" w:hAnsi="Times New Roman" w:cs="Times New Roman"/>
          <w:sz w:val="24"/>
          <w:szCs w:val="24"/>
        </w:rPr>
        <w:t>. En este caso se identificará:</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Cotización máxima durante la tendencia previa (1)</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Cotización mínima durante la tendencia previa (2)</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Una vez identificadas estas cotizaciones se calcula el valor de la diferencia entre las mismas. Conocido este valor se obtienen las cotizaciones objetivo asociadas a cada retroceso d</w:t>
      </w:r>
      <w:r>
        <w:rPr>
          <w:rFonts w:ascii="Times New Roman" w:hAnsi="Times New Roman" w:cs="Times New Roman"/>
          <w:sz w:val="24"/>
          <w:szCs w:val="24"/>
        </w:rPr>
        <w:t>e Fibonacci según esta fórmula: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lastRenderedPageBreak/>
        <w:t>Retroceso (23,6%) = Cotización (2) + (23,6% x (Co</w:t>
      </w:r>
      <w:r>
        <w:rPr>
          <w:rFonts w:ascii="Times New Roman" w:hAnsi="Times New Roman" w:cs="Times New Roman"/>
          <w:sz w:val="24"/>
          <w:szCs w:val="24"/>
        </w:rPr>
        <w:t>tización (1) – Cotización (2)))</w:t>
      </w:r>
    </w:p>
    <w:p w:rsidR="00530ABC"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En el siguiente gráfico, que representa la cotización diaria del par dólar euro () se muestra un ejemplo de la aplicación de los retrocesos en una tendencia bajista:</w:t>
      </w:r>
    </w:p>
    <w:p w:rsidR="00530ABC" w:rsidRPr="00304DC0" w:rsidRDefault="00530ABC" w:rsidP="00530ABC">
      <w:pPr>
        <w:spacing w:before="120" w:after="120" w:line="240" w:lineRule="auto"/>
        <w:jc w:val="both"/>
        <w:rPr>
          <w:rFonts w:ascii="Times New Roman" w:hAnsi="Times New Roman" w:cs="Times New Roman"/>
          <w:sz w:val="24"/>
          <w:szCs w:val="24"/>
        </w:rPr>
      </w:pPr>
      <w:r>
        <w:rPr>
          <w:noProof/>
          <w:lang w:eastAsia="es-ES"/>
        </w:rPr>
        <w:drawing>
          <wp:inline distT="0" distB="0" distL="0" distR="0" wp14:anchorId="4F82239E" wp14:editId="4E9D45E1">
            <wp:extent cx="5726900" cy="2889250"/>
            <wp:effectExtent l="0" t="0" r="7620" b="6350"/>
            <wp:docPr id="69" name="Imagen 69" descr="grafica fibonac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fica fibonacci"/>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1510" cy="2891576"/>
                    </a:xfrm>
                    <a:prstGeom prst="rect">
                      <a:avLst/>
                    </a:prstGeom>
                    <a:noFill/>
                    <a:ln>
                      <a:noFill/>
                    </a:ln>
                  </pic:spPr>
                </pic:pic>
              </a:graphicData>
            </a:graphic>
          </wp:inline>
        </w:drawing>
      </w:r>
    </w:p>
    <w:p w:rsidR="00530ABC" w:rsidRPr="00304DC0" w:rsidRDefault="00530ABC" w:rsidP="00530ABC">
      <w:pPr>
        <w:spacing w:before="120" w:after="120" w:line="240" w:lineRule="auto"/>
        <w:jc w:val="both"/>
        <w:rPr>
          <w:rFonts w:ascii="Times New Roman" w:hAnsi="Times New Roman" w:cs="Times New Roman"/>
          <w:sz w:val="24"/>
          <w:szCs w:val="24"/>
        </w:rPr>
      </w:pP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Para calcular los retrocesos de Fibonacci se considera el tramo bajista que registró el par entre el 19 de diciembre de 2016 y el 31 d</w:t>
      </w:r>
      <w:r>
        <w:rPr>
          <w:rFonts w:ascii="Times New Roman" w:hAnsi="Times New Roman" w:cs="Times New Roman"/>
          <w:sz w:val="24"/>
          <w:szCs w:val="24"/>
        </w:rPr>
        <w:t>e enero de 2017. En este tramo:</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La cotización máxima fue 0,9623.</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La cotización mínima fue 0,9256.</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La diferencia numérica entre ambos valores es de 0,0367. Con este valor se calculan los retrocesos de Fibonacci. Para el retroceso correspondi</w:t>
      </w:r>
      <w:r>
        <w:rPr>
          <w:rFonts w:ascii="Times New Roman" w:hAnsi="Times New Roman" w:cs="Times New Roman"/>
          <w:sz w:val="24"/>
          <w:szCs w:val="24"/>
        </w:rPr>
        <w:t>ente al 61,8% el cálculo sería: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 xml:space="preserve">Retroceso (61,8%) = 0,9256 + (61,8% x (0,0367)) </w:t>
      </w:r>
      <w:r>
        <w:rPr>
          <w:rFonts w:ascii="Times New Roman" w:hAnsi="Times New Roman" w:cs="Times New Roman"/>
          <w:sz w:val="24"/>
          <w:szCs w:val="24"/>
        </w:rPr>
        <w:t>= 0,9483</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 xml:space="preserve">En el ejemplo mostrado este retroceso actuó como línea de resistencia y marcó la vuelta a la tendencia bajista a principios del mes de marzo. Otro retroceso que también actuó como soporte fue el de 50% que claramente marcó la vuelta a la tendencia bajista primaria de los </w:t>
      </w:r>
      <w:r>
        <w:rPr>
          <w:rFonts w:ascii="Times New Roman" w:hAnsi="Times New Roman" w:cs="Times New Roman"/>
          <w:sz w:val="24"/>
          <w:szCs w:val="24"/>
        </w:rPr>
        <w:t>primeros días del mes de abril.</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En ambos casos, las correcciones contra la tendencia primaria estuvieron asociadas a diferentes retrocesos de Fibonacci. Por lo que se ve que la sucesión de Fibonacci y sus retrocesos asociados pueden ayudar a las predicciones de un trader sobre un mercado y, en más de una oca</w:t>
      </w:r>
      <w:r>
        <w:rPr>
          <w:rFonts w:ascii="Times New Roman" w:hAnsi="Times New Roman" w:cs="Times New Roman"/>
          <w:sz w:val="24"/>
          <w:szCs w:val="24"/>
        </w:rPr>
        <w:t>sión, sobre la misma tendencia.</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Sin embargo, como cualquier otra herramienta de predicción de tendencias, los niveles de Fibonacci no son siempre infalibles. Por eso, es aconsejable combinar su aplicación con otras técnicas de análisis de trading para confirmar niveles de soporte y resistencia en la evolución de las c</w:t>
      </w:r>
      <w:r>
        <w:rPr>
          <w:rFonts w:ascii="Times New Roman" w:hAnsi="Times New Roman" w:cs="Times New Roman"/>
          <w:sz w:val="24"/>
          <w:szCs w:val="24"/>
        </w:rPr>
        <w:t>otizaciones de cualquier valor.</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Otras aplicaciones de la secuencia de Fibonacci al trading</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Si bien la forma más fácil de adaptar la secuencia de números de Fibonacci al trading es mediante los retrocesos, existen también otras aplicaciones que pueden servir a los traders para obtener más gananci</w:t>
      </w:r>
      <w:r>
        <w:rPr>
          <w:rFonts w:ascii="Times New Roman" w:hAnsi="Times New Roman" w:cs="Times New Roman"/>
          <w:sz w:val="24"/>
          <w:szCs w:val="24"/>
        </w:rPr>
        <w:t>as a partir de sus inversiones.</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lastRenderedPageBreak/>
        <w:t>Extensiones de Fibonacci: si bien esta herramienta surge a partir de los retrocesos de Fibonacci, suele ser empleada con otro objetivo. Gracias a ello, un trader puede anticipar la fortaleza de una tendencia, pues es con esta estrategia que puede establecer objetivos óptimos a corto o largo plazo para sus operaciones.</w:t>
      </w:r>
    </w:p>
    <w:p w:rsidR="00530ABC" w:rsidRPr="00304DC0"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Zonas de tiempo de Fibonacci: basados en la frecuencia de los números que componen la secuencia de Fibonacci, muchos traders establecen líneas verticales en los gráficos de tendencias a través del tiempo. Con estas líneas, que forman zonas de tiempo, se pronostican cambios en las tendencias de los precios.</w:t>
      </w:r>
    </w:p>
    <w:p w:rsidR="00530ABC" w:rsidRDefault="00530ABC" w:rsidP="00530ABC">
      <w:pPr>
        <w:spacing w:before="120" w:after="120" w:line="240" w:lineRule="auto"/>
        <w:jc w:val="both"/>
        <w:rPr>
          <w:rFonts w:ascii="Times New Roman" w:hAnsi="Times New Roman" w:cs="Times New Roman"/>
          <w:sz w:val="24"/>
          <w:szCs w:val="24"/>
        </w:rPr>
      </w:pPr>
      <w:r w:rsidRPr="00304DC0">
        <w:rPr>
          <w:rFonts w:ascii="Times New Roman" w:hAnsi="Times New Roman" w:cs="Times New Roman"/>
          <w:sz w:val="24"/>
          <w:szCs w:val="24"/>
        </w:rPr>
        <w:t>Patrones armónicos: se pueden construir patrones de alzas y bajas que se traducen en los gráficos de tendencias en los mercados. Por ejemplo, la sucesión de varios números de Fibonacci puede ser la base de una predicción acerca de los puntos de inflexión en el precio de una acción u otro activo.</w:t>
      </w:r>
    </w:p>
    <w:p w:rsidR="005A5088" w:rsidRPr="005A5088" w:rsidRDefault="005A5088" w:rsidP="00530ABC">
      <w:pPr>
        <w:spacing w:before="120" w:after="120" w:line="240" w:lineRule="auto"/>
        <w:jc w:val="both"/>
        <w:rPr>
          <w:rFonts w:ascii="Times New Roman" w:hAnsi="Times New Roman" w:cs="Times New Roman"/>
          <w:b/>
          <w:sz w:val="24"/>
          <w:szCs w:val="24"/>
        </w:rPr>
      </w:pPr>
      <w:r w:rsidRPr="005A5088">
        <w:rPr>
          <w:rFonts w:ascii="Times New Roman" w:hAnsi="Times New Roman" w:cs="Times New Roman"/>
          <w:b/>
          <w:sz w:val="24"/>
          <w:szCs w:val="24"/>
        </w:rPr>
        <w:t xml:space="preserve">La madre de todas las falacias </w:t>
      </w:r>
      <w:r>
        <w:rPr>
          <w:rFonts w:ascii="Times New Roman" w:hAnsi="Times New Roman" w:cs="Times New Roman"/>
          <w:b/>
          <w:sz w:val="24"/>
          <w:szCs w:val="24"/>
        </w:rPr>
        <w:t>(cómo</w:t>
      </w:r>
      <w:r w:rsidR="002C5383">
        <w:rPr>
          <w:rFonts w:ascii="Times New Roman" w:hAnsi="Times New Roman" w:cs="Times New Roman"/>
          <w:b/>
          <w:sz w:val="24"/>
          <w:szCs w:val="24"/>
        </w:rPr>
        <w:t>,</w:t>
      </w:r>
      <w:r>
        <w:rPr>
          <w:rFonts w:ascii="Times New Roman" w:hAnsi="Times New Roman" w:cs="Times New Roman"/>
          <w:b/>
          <w:sz w:val="24"/>
          <w:szCs w:val="24"/>
        </w:rPr>
        <w:t xml:space="preserve"> los “creadores de mercado”</w:t>
      </w:r>
      <w:r w:rsidR="002C5383">
        <w:rPr>
          <w:rFonts w:ascii="Times New Roman" w:hAnsi="Times New Roman" w:cs="Times New Roman"/>
          <w:b/>
          <w:sz w:val="24"/>
          <w:szCs w:val="24"/>
        </w:rPr>
        <w:t>,</w:t>
      </w:r>
      <w:r>
        <w:rPr>
          <w:rFonts w:ascii="Times New Roman" w:hAnsi="Times New Roman" w:cs="Times New Roman"/>
          <w:b/>
          <w:sz w:val="24"/>
          <w:szCs w:val="24"/>
        </w:rPr>
        <w:t xml:space="preserve"> arrean la manada)</w:t>
      </w:r>
    </w:p>
    <w:p w:rsidR="00530ABC" w:rsidRDefault="00530ABC" w:rsidP="00530ABC">
      <w:pPr>
        <w:spacing w:before="120" w:after="120" w:line="240" w:lineRule="auto"/>
        <w:jc w:val="both"/>
        <w:rPr>
          <w:rFonts w:ascii="Times New Roman" w:hAnsi="Times New Roman" w:cs="Times New Roman"/>
          <w:sz w:val="24"/>
          <w:szCs w:val="24"/>
        </w:rPr>
      </w:pPr>
      <w:r w:rsidRPr="00867AF3">
        <w:rPr>
          <w:rFonts w:ascii="Times New Roman" w:hAnsi="Times New Roman" w:cs="Times New Roman"/>
          <w:b/>
          <w:sz w:val="24"/>
          <w:szCs w:val="24"/>
        </w:rPr>
        <w:t>Análisis fundamental vs análisis técnico</w:t>
      </w:r>
      <w:r>
        <w:rPr>
          <w:rFonts w:ascii="Times New Roman" w:hAnsi="Times New Roman" w:cs="Times New Roman"/>
          <w:b/>
          <w:sz w:val="24"/>
          <w:szCs w:val="24"/>
        </w:rPr>
        <w:t xml:space="preserve"> </w:t>
      </w:r>
      <w:r>
        <w:rPr>
          <w:rFonts w:ascii="Times New Roman" w:hAnsi="Times New Roman" w:cs="Times New Roman"/>
          <w:sz w:val="24"/>
          <w:szCs w:val="24"/>
        </w:rPr>
        <w:t>(Fuente: BBVA Trader - 22/7/24)</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¿En qué co</w:t>
      </w:r>
      <w:r>
        <w:rPr>
          <w:rFonts w:ascii="Times New Roman" w:hAnsi="Times New Roman" w:cs="Times New Roman"/>
          <w:sz w:val="24"/>
          <w:szCs w:val="24"/>
        </w:rPr>
        <w:t>nsiste el análisis fundamental?</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Introducido por Benjamin Graham y David Dodd, en 1934, este tipo de análisis trata de calcular el valor real de las acciones mediante los datos de los balances. Por supuesto, no realiza un análisis tan básico como la mera observación de los beneficios o pérdidas de la sociedad.</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xml:space="preserve">El análisis fundamental intenta calcular el valor real de un título mediante el análisis de balances y lo compara con el valor de mercado, para así descubrir si en un momento determinado el precio del mismo está infravalorado. Siempre teniendo en cuenta que los resultados de los balances y los precios se encuentran en constante cambio y que la cotización se puede ver influenciada también por otros factores entre los que se incluyen </w:t>
      </w:r>
      <w:r>
        <w:rPr>
          <w:rFonts w:ascii="Times New Roman" w:hAnsi="Times New Roman" w:cs="Times New Roman"/>
          <w:sz w:val="24"/>
          <w:szCs w:val="24"/>
        </w:rPr>
        <w:t>los políticos y los económicos.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Con todo, el análisis fundamental es una herramienta que permite evaluar el riesgo financiero de las empresas a partir de un análisis del entorno, el cálculo de ciertos ratios clave y la valoración de las propias empresas. Fuera de este análisis quedarían las tendencias de mercado y las gráficas de bolsa, que son el objeto de estudio principal del análisis técnico.</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¿Cómo funciona el análisis técnico?</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Surgido a finales del siglo XIX, en Estados Unidos, a manos de Charles Henry Dow, este método prescinde del estudio de riesgo financiero propio a las sociedades y en su lugar estudia la acción del mercado, principalmente a través del uso de gráficas, con el propósito de predecir f</w:t>
      </w:r>
      <w:r>
        <w:rPr>
          <w:rFonts w:ascii="Times New Roman" w:hAnsi="Times New Roman" w:cs="Times New Roman"/>
          <w:sz w:val="24"/>
          <w:szCs w:val="24"/>
        </w:rPr>
        <w:t>uturas tendencias en el precio.</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¿Cómo comprar y vender acciones?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Este estudio, que observa la cotización de la acción, el volumen bursátil y el interés abierto, utilizado principalmente en futuros y opciones, puede verse influenciado en gran medida por la p</w:t>
      </w:r>
      <w:r>
        <w:rPr>
          <w:rFonts w:ascii="Times New Roman" w:hAnsi="Times New Roman" w:cs="Times New Roman"/>
          <w:sz w:val="24"/>
          <w:szCs w:val="24"/>
        </w:rPr>
        <w:t>ropia perspectiva del analista.</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La capacidad de determinar tendencias alcistas o bajistas complementa al análisis fundamental, haciendo que la suma de am</w:t>
      </w:r>
      <w:r>
        <w:rPr>
          <w:rFonts w:ascii="Times New Roman" w:hAnsi="Times New Roman" w:cs="Times New Roman"/>
          <w:sz w:val="24"/>
          <w:szCs w:val="24"/>
        </w:rPr>
        <w:t>bos tipos de análisis nos ayude</w:t>
      </w:r>
      <w:r w:rsidRPr="008430C5">
        <w:rPr>
          <w:rFonts w:ascii="Times New Roman" w:hAnsi="Times New Roman" w:cs="Times New Roman"/>
          <w:sz w:val="24"/>
          <w:szCs w:val="24"/>
        </w:rPr>
        <w:t xml:space="preserve"> a comprender mejor hacia dónde se moverá el precio de las acciones.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Gráficos y cifras</w:t>
      </w:r>
    </w:p>
    <w:p w:rsidR="00530ABC"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xml:space="preserve">En conclusión, el análisis fundamental es un buen punto de partida para analizar dónde invertir según la salud financiera del valor. El análisis técnico es una herramienta </w:t>
      </w:r>
      <w:r w:rsidRPr="008430C5">
        <w:rPr>
          <w:rFonts w:ascii="Times New Roman" w:hAnsi="Times New Roman" w:cs="Times New Roman"/>
          <w:sz w:val="24"/>
          <w:szCs w:val="24"/>
        </w:rPr>
        <w:lastRenderedPageBreak/>
        <w:t>complementaria que nos puede dar buenas pistas sobre cuándo comprar o vender según las tendencias y la evolución del mercado.</w:t>
      </w:r>
      <w:r>
        <w:rPr>
          <w:rFonts w:ascii="Times New Roman" w:hAnsi="Times New Roman" w:cs="Times New Roman"/>
          <w:sz w:val="24"/>
          <w:szCs w:val="24"/>
        </w:rPr>
        <w:t xml:space="preserve"> </w:t>
      </w:r>
    </w:p>
    <w:p w:rsidR="00530ABC"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b/>
          <w:sz w:val="24"/>
          <w:szCs w:val="24"/>
        </w:rPr>
        <w:t>Teorías y Técnicas de Análisis Bursátil</w:t>
      </w:r>
      <w:r>
        <w:rPr>
          <w:rFonts w:ascii="Times New Roman" w:hAnsi="Times New Roman" w:cs="Times New Roman"/>
          <w:b/>
          <w:sz w:val="24"/>
          <w:szCs w:val="24"/>
        </w:rPr>
        <w:t xml:space="preserve"> </w:t>
      </w:r>
      <w:r w:rsidRPr="008430C5">
        <w:rPr>
          <w:rFonts w:ascii="Times New Roman" w:hAnsi="Times New Roman" w:cs="Times New Roman"/>
          <w:sz w:val="24"/>
          <w:szCs w:val="24"/>
        </w:rPr>
        <w:t>(</w:t>
      </w:r>
      <w:hyperlink r:id="rId85" w:history="1">
        <w:r w:rsidRPr="0008631D">
          <w:rPr>
            <w:rStyle w:val="Hipervnculo"/>
            <w:rFonts w:ascii="Times New Roman" w:hAnsi="Times New Roman" w:cs="Times New Roman"/>
            <w:color w:val="auto"/>
            <w:sz w:val="24"/>
            <w:szCs w:val="24"/>
            <w:u w:val="none"/>
          </w:rPr>
          <w:t>https://www.cpba.com.ar/</w:t>
        </w:r>
      </w:hyperlink>
      <w:r w:rsidRPr="0008631D">
        <w:rPr>
          <w:rFonts w:ascii="Times New Roman" w:hAnsi="Times New Roman" w:cs="Times New Roman"/>
          <w:sz w:val="24"/>
          <w:szCs w:val="24"/>
        </w:rPr>
        <w:t>)</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Principios Básicos del Análisis Fundamental</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La esencia del análisis fundamental de valores, es la utilización de datos financieros y económicos de un gobierno o empresa y de su entorno, para poder evaluar su liquidez, solvencia, eficiencia y el potencial de beneficios. Con esta información se busca calcular la valoración de los activos negociados, así como sus futuras rentabilidades y tasas de crecimiento.</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Los cuatro puntos concretos en los que se basa el análisis fundamental son: el valor bursátil, contable, de liquidación y teórico o intrínseco del título o acción.</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El valor bursátil de un título valor depende de la oferta y la demanda, así como de la evolución de los mercados financieros en general, lo que incluye rumores, estados de opinión, etc. Es lo que se conoce como cotización.</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El valor contable de un título valor es el que le corresponde según los libros de contabilidad del emisor. Su utilidad en bolsa es escasa, pues los libros contables siempre se refieren a etapas pasadas.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El valor de liquidación de un título valor, representa el valor que se obtendría por la compañía en el caso que se liquidara, vendiendo sus activos por separado y pagando sus deudas. El remanente que iría a los accionistas representa el valor liquidativo.</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El valor teórico o intrínseco de un título valor, es lo que se conoce en bolsa, como precio objetivo, y es el valor que debería tener el mismo, considerando los datos previstos del emisor en el futuro. Este valor es distinto al liquidativo, ya que el intrínseco presupone la continuidad de la actividad del emisor.</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La idea central del análisis fundamental es que tarde o temprano, las discrepancias que pueden existir entre los distintos valores que tiene un título valor, tenderán a aproximarse al valor intrínseco (precio objetivo), de modo que los criterios de compra o venta de los valores deberán establecerse en torno a estas discrepancias. Puede suceder que un título valor tenga un valor intrínseco alto, pero que éste no se refleje en su valor bu</w:t>
      </w:r>
      <w:r>
        <w:rPr>
          <w:rFonts w:ascii="Times New Roman" w:hAnsi="Times New Roman" w:cs="Times New Roman"/>
          <w:sz w:val="24"/>
          <w:szCs w:val="24"/>
        </w:rPr>
        <w:t>rsátil, y también a la inversa.</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Metodologías de Análisis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La diversidad de sectores cotizados hace que apenas se pueda hablar de reglas generales, ya que no son aplicables los mismos criterios de valoración y análisis a todos los sectores. Por lo tanto no podemos hablar de una metodología de análisis fundamental, sino más bien de varias en función del sector que se analice. En base a esto, se pueden clasificar las empresas en cuatro grupos: las sociedades financieras (que incluye las sociedades de bolsa y los bancos), las sociedades conocidas como utilities, las sociedades industriales y las comerciales.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En las sociedades financieras se han de distinguir las sociedades tenedoras de bienes y los bancos. Las sociedades tenedoras de bienes, como los holdings o sociedades de bolsa, se valoran fundamentalmente por su valor liquidativo, el cual se reduce por los posibles impuestos a pagar y por la calidad de su gestión. En los bancos se presta más atención al resultado operativo (margen financiero más comisiones menos gastos de explotación), ajustándose por la morosidad. Se suelen utilizar ratios como el PER o el cash flow.</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xml:space="preserve">Las utilities, que son empresas que ofrecen servicios públicos como gas o electricidad, tienen crecimientos muy estables. Por lo tanto, es relativamente sencillo poder extrapolar su cuenta </w:t>
      </w:r>
      <w:r w:rsidRPr="008430C5">
        <w:rPr>
          <w:rFonts w:ascii="Times New Roman" w:hAnsi="Times New Roman" w:cs="Times New Roman"/>
          <w:sz w:val="24"/>
          <w:szCs w:val="24"/>
        </w:rPr>
        <w:lastRenderedPageBreak/>
        <w:t>de explotación. Se debe hacer una mención especial a los posibles cambios regulatorios, que pueden introducir incertidumbre a la hora de calcular los resultados futuros. En este caso el método de descuentos de flujos puede tener poca validez.</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En las empresas industriales y de comercio, el análisis fundamental se basa en ratios financieros. De todas formas no se debe olvidar que, aunque los instrumentos de análisis sean los mismos para un mismo grupo de empresas, el análisis estratégico puede ser muy distinto. Este hecho se da incluso entre empresas de un mismo sector, ya que pueden tener un grado de</w:t>
      </w:r>
      <w:r>
        <w:rPr>
          <w:rFonts w:ascii="Times New Roman" w:hAnsi="Times New Roman" w:cs="Times New Roman"/>
          <w:sz w:val="24"/>
          <w:szCs w:val="24"/>
        </w:rPr>
        <w:t xml:space="preserve"> diversificación muy diferente.</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Métodos de Análisis Fundamental</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Existen varias técnicas o métodos de análisis dentro del análisis fundamental, que exigen conocimientos contables y financieros muy profundos, siendo el de los ratios financieros el más antiguo y conocido. En la actualidad, se están imponiendo otros métodos más complejos, como es el caso de</w:t>
      </w:r>
      <w:r>
        <w:rPr>
          <w:rFonts w:ascii="Times New Roman" w:hAnsi="Times New Roman" w:cs="Times New Roman"/>
          <w:sz w:val="24"/>
          <w:szCs w:val="24"/>
        </w:rPr>
        <w:t>l método de los flujos de caja.</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Método de los ratios financieros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Para valorar las discrepancias entre el valor intrínseco y el valor bursátil, el análisis fundamental se sirve del método de los ratios financieros. Este método utiliza la comparación entre los distintos estados financieros de una empresa con el fin de relacionarlos con otros valores de empresas similares, o con los datos obtenidos en ejercicios anteriores (es importante usar la misma unidad monetaria en todas las va</w:t>
      </w:r>
      <w:r>
        <w:rPr>
          <w:rFonts w:ascii="Times New Roman" w:hAnsi="Times New Roman" w:cs="Times New Roman"/>
          <w:sz w:val="24"/>
          <w:szCs w:val="24"/>
        </w:rPr>
        <w:t>riables que componen el ratio).</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Los ratios se clasifican en: ratios de liquidez; ratios de solvencia; ratios de eficiencia; ratios de rentabilidad; y ratios de inversión.</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Entre los ratios de liquidez se encuentran: el ratio de liquidez propiamente dicho, el ratio de tesorería y e</w:t>
      </w:r>
      <w:r>
        <w:rPr>
          <w:rFonts w:ascii="Times New Roman" w:hAnsi="Times New Roman" w:cs="Times New Roman"/>
          <w:sz w:val="24"/>
          <w:szCs w:val="24"/>
        </w:rPr>
        <w:t>l ratio de tesorería inmediata.</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Ratio de liquidez: es la relación entre el activo circulante y el pasivo circulante. Llamamos activo circulante al activo cuyo plazo de realización es inferior a un año, y pasivo circulante al pasivo cuyo plazo de exigibilidad es inferior a un año. Sirve para valorar la liquidez de una empresa y aprecia su solvencia a corto plazo. Debe ser superior a 1, pues si es inferior a 1, significa que la empresa no puede hacer frente a sus deudas a corto plazo.</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Ratio de tesorería: es la relación entre el activo circulante (sin contar las existencias) y el pasivo circulante. Lo normal es que sea inferior a 1.</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xml:space="preserve">- Ratio de tesorería inmediata: es la relación entre el activo disponible y el pasivo circulante. Hace referencia a la capacidad de la empresa para hacer frente a sus deudas en efectivo. Hay que tener en cuenta que un exceso de tesorería puede significar que la empresa no utiliza correctamente sus recursos financieros, por lo que corre el riesgo de ver erosionada su rentabilidad. Un exceso de tesorería también puede significar que la empresa no muestra una adecuada agresividad en el mercado. Se considera que una empresa se encuentra en esta situación cuando </w:t>
      </w:r>
      <w:r>
        <w:rPr>
          <w:rFonts w:ascii="Times New Roman" w:hAnsi="Times New Roman" w:cs="Times New Roman"/>
          <w:sz w:val="24"/>
          <w:szCs w:val="24"/>
        </w:rPr>
        <w:t>dicho ratio es superior a 0,20.</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Entre los ratios de solvencia se encuentran: el ratio de endeudamiento</w:t>
      </w:r>
      <w:r>
        <w:rPr>
          <w:rFonts w:ascii="Times New Roman" w:hAnsi="Times New Roman" w:cs="Times New Roman"/>
          <w:sz w:val="24"/>
          <w:szCs w:val="24"/>
        </w:rPr>
        <w:t xml:space="preserve"> y el ratio de intereses por el beneficio.</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Ratio de endeudamiento: marca la relación entre recursos propios (capital social más reservas) y los recursos ajenos (préstamos, obligaciones, etc.). Se expresa mediante la relación entre la deuda total de la empresa y los recursos propios de la empresa.</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lastRenderedPageBreak/>
        <w:t>- Ratio del grado de cobertura de los intereses por el beneficio: mide la capacidad de una empresa para hacer frente al pago de los intereses de las deudas que tienen contraídas. Se expresa mediante la relación entre el beneficio antes de intereses e impuestos y los intereses.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Los ratios de eficiencia son el ratio cotización/ventas y el ratio del margen bruto.</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Ratio cotización/ventas: muestra la relación entre las ventas y el valor bursátil (cotización) de una acción. Indica el número de veces que las ventas correspondientes a una acción están contenidas en su precio. Se expresa mediante la relación entre la cotización y las ventas por acción, la cual a su vez se calcula dividiendo las ventas entre el número de acciones. Este ratio es de suma importancia porque relaciona las ventas de la empresa con el valor bursátil de la sociedad. En resumen, lo que este ratio nos facilita es la valoración en sí de la empresa, de forma que la podamos comparar con las demás empresas y ver si está infravalorada o sobrevalorada por el mercado.</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Ratio del margen bruto: mide la rentabilidad sobre las ventas. Se expresa mediante la relación entre el beneficio de las ventas (ventas menos costo de las ventas) y las ventas.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Entre los principales ratios de rentabilidad se encuentran: el de rentabilidad sobre activos y el de rentabilidad sobre recursos propios.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Ratio de rentabilidad sobre activos: es el índice que mide en forma de porcentaje la rentabilidad producida por los activos de una empresa. Se expresa mediante la relación entre el beneficio neto de la empresa y la suma total de los activos de la empresa. Si comparamos el ratio actual con los de los ejercicios anteriores, nos muestra de una forma eficaz como ha evolucionado la empresa, siendo positivo que muestre un ratio creciente a lo largo de sucesivos ejercicios económicos.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Ratio de rentabilidad sobre recursos propios: mide cuánto gana una sociedad después de impuestos en términos de recursos propios (es decir, los recursos aportados por los accionistas). Se expresa mediante la relación entre el beneficio neto y los recursos propios. Al igual que en el caso anterior es conveniente compar</w:t>
      </w:r>
      <w:r>
        <w:rPr>
          <w:rFonts w:ascii="Times New Roman" w:hAnsi="Times New Roman" w:cs="Times New Roman"/>
          <w:sz w:val="24"/>
          <w:szCs w:val="24"/>
        </w:rPr>
        <w:t>ar varios ejercicios sucesivos.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Entre los ratios de inversión, los más conocidos son el PER, el ratio cotización/cash flow y el ratio c</w:t>
      </w:r>
      <w:r>
        <w:rPr>
          <w:rFonts w:ascii="Times New Roman" w:hAnsi="Times New Roman" w:cs="Times New Roman"/>
          <w:sz w:val="24"/>
          <w:szCs w:val="24"/>
        </w:rPr>
        <w:t>otización/valor contable.</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PER (Price Earnig Ratio o ratio cotización/beneficio): es, probablemente el ratio más conocido, y uno de los métodos más utilizados para saber si una acción se encuentra sobrevalorada o infravalorada con respecto a las demás. El PER expresa la relación entre los beneficios y la cotización, indicando el número de veces que el beneficio por acción está contenido en la cotización. Se expresa mediante la relación entre la cotización y el beneficio por acción. Así pues, el PER es el cociente entre la cotización y el último beneficio por acción (BPA) de la empresa. El PER, al indicar el número de veces que los beneficios por acción están contenidos en su precio, también indica el número de años necesarios para recuperar la inversión que se hizo en esta acción, reflejando al mismo tiempo las expectativas de los inversores acerca de la empresa.</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 Ratio cotización/cash flow: es la relación existente entre el cash flow (beneficio neto más las amortizaciones) de una empresa y su cotización. Se expresa mediante la relación entre la cotización y el cash flow correspondiente a una acción. Como el cash flow es un concepto que abarca algo más que la mera referencia a los beneficios, puesto que incluye además de los beneficios, la parte dedicada a las amortizaciones, este ratio es más preciso que el PER, porque evita las posibles distorsiones que pudieran producirse en función de la política de amortizaciones y previsiones de la empresa.</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lastRenderedPageBreak/>
        <w:t>- Ratio cotización/valor contable: es la relación existente entre la cotización y el valor contable con el que figura en el balance de la empresa. Se expresa mediante la relación entre la cotización y el valor contable de la acción (capital de la empresa dividida por el número de acciones). Debe entenderse que si este ratio es superior a 1, la empresa está teóricamente sobrevalorada, aunque puede haber condiciones que lo justifiquen pues no se tienen en cuenta las expectativas de futuro, el va</w:t>
      </w:r>
      <w:r>
        <w:rPr>
          <w:rFonts w:ascii="Times New Roman" w:hAnsi="Times New Roman" w:cs="Times New Roman"/>
          <w:sz w:val="24"/>
          <w:szCs w:val="24"/>
        </w:rPr>
        <w:t>lor comercial de la marca, etc.</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Metodología en el método de los ratios</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El método o procedimiento a seguir en la aplicación del análisis fundamental por ratios para decidir una inversión, pasa por las siguientes fases: pronóstico sobre el comportamiento global de la economía; análisis de los ratios de empresas y sectores económicos; análisis de beneficios y dividendos; y pronóstico basados en el PER.</w:t>
      </w:r>
    </w:p>
    <w:p w:rsidR="00530ABC" w:rsidRPr="008430C5"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En el pronóstico sobre el comportamiento global de la economía, el inversor deberá establecer criterios sobre las previsiones de la economía a lo largo de los doce a veinticuatro meses siguientes, teniendo en cuenta el ciclo económico, la previsión de beneficios de las empresas, la inflación, los tipos de interés, etc. En el análisis de los ratios de las empresas y de sectores económicos, se debe determinar el sector o sectores más favorables para la inversión, y dentro de ellos, las empresas potencialmente consideradas como objeto de la inversión. Primero se deben analizar los ratios económicos de esas empresas y después se deben comparar con los de otras empresas del sector y con los de la misma empresa en ejercicios anteriores. En el análisis de beneficios y dividendos, se debe examinar qué beneficios ha repartido la empresa a lo largo de los últimos años y realizar una predicción razonable de cuál será su evolución en el futuro. En el pronóstico basado en el PER, se trata de estimar en qué proporción el mercado va a pagar por el crecimiento esperado de los beneficios, es decir basándonos en el beneficio estimado, se calcula el PER estimado a uno, dos o tres años, y se compara con los PER actuales. De esta forma, a través del PER se puede calcular el precio objetivo de la acción.</w:t>
      </w:r>
    </w:p>
    <w:p w:rsidR="00530ABC"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sz w:val="24"/>
          <w:szCs w:val="24"/>
        </w:rPr>
        <w:t>Todos los métodos descriptos anteriormente, son igualmente útiles para el análisis de títulos públicos, lo que conlleva a aplicar los ratios financieros y económicos -con las correspondientes modificaciones en sus componentes- sobre Gobiernos u organismos, que sean emisores de dichos títulos.</w:t>
      </w:r>
    </w:p>
    <w:p w:rsidR="00530ABC" w:rsidRPr="0089420F" w:rsidRDefault="00530ABC" w:rsidP="00530ABC">
      <w:pPr>
        <w:spacing w:before="120" w:after="120" w:line="240" w:lineRule="auto"/>
        <w:jc w:val="both"/>
        <w:rPr>
          <w:rFonts w:ascii="Times New Roman" w:hAnsi="Times New Roman" w:cs="Times New Roman"/>
          <w:sz w:val="24"/>
          <w:szCs w:val="24"/>
        </w:rPr>
      </w:pPr>
      <w:r w:rsidRPr="00875ED5">
        <w:rPr>
          <w:rStyle w:val="mntl-sc-block-headingtext"/>
          <w:rFonts w:ascii="Times New Roman" w:hAnsi="Times New Roman" w:cs="Times New Roman"/>
          <w:color w:val="111111"/>
          <w:spacing w:val="1"/>
          <w:sz w:val="24"/>
          <w:szCs w:val="24"/>
        </w:rPr>
        <w:t>¿Qué es el análisis técnico?</w:t>
      </w:r>
      <w:r>
        <w:rPr>
          <w:rStyle w:val="mntl-sc-block-headingtext"/>
          <w:rFonts w:ascii="Times New Roman" w:hAnsi="Times New Roman" w:cs="Times New Roman"/>
          <w:color w:val="111111"/>
          <w:spacing w:val="1"/>
          <w:sz w:val="24"/>
          <w:szCs w:val="24"/>
        </w:rPr>
        <w:t xml:space="preserve">  </w:t>
      </w:r>
      <w:r>
        <w:rPr>
          <w:rFonts w:ascii="Times New Roman" w:hAnsi="Times New Roman" w:cs="Times New Roman"/>
          <w:sz w:val="24"/>
          <w:szCs w:val="24"/>
        </w:rPr>
        <w:t>(Fuente: investopedia - 31/5/25)</w:t>
      </w:r>
    </w:p>
    <w:p w:rsidR="00530ABC" w:rsidRPr="00875ED5" w:rsidRDefault="00530ABC" w:rsidP="00530ABC">
      <w:pPr>
        <w:pStyle w:val="comp"/>
        <w:shd w:val="clear" w:color="auto" w:fill="FFFFFF"/>
        <w:spacing w:before="0" w:beforeAutospacing="0"/>
        <w:ind w:left="30"/>
        <w:jc w:val="both"/>
        <w:rPr>
          <w:rStyle w:val="mntl-inline-citation"/>
          <w:color w:val="0000EE"/>
          <w:spacing w:val="17"/>
        </w:rPr>
      </w:pPr>
      <w:r w:rsidRPr="00875ED5">
        <w:rPr>
          <w:color w:val="111111"/>
          <w:spacing w:val="1"/>
        </w:rPr>
        <w:t>El análisis técnico evalúa activos financieros, como acciones, divisas o materias primas, mediante la revisión de datos históricos de precios y volumen. A diferencia del análisis fundamental, que se centra en el valor intrínseco de un activo, el análisis técnico examina el volumen y el precio de las</w:t>
      </w:r>
      <w:r w:rsidR="002C5383">
        <w:rPr>
          <w:color w:val="111111"/>
          <w:spacing w:val="1"/>
        </w:rPr>
        <w:t xml:space="preserve"> acciones a lo largo del tiempo.</w:t>
      </w:r>
    </w:p>
    <w:p w:rsidR="00530ABC" w:rsidRPr="00875ED5" w:rsidRDefault="00530ABC" w:rsidP="00530ABC">
      <w:pPr>
        <w:pStyle w:val="comp"/>
        <w:shd w:val="clear" w:color="auto" w:fill="FFFFFF"/>
        <w:spacing w:before="0" w:beforeAutospacing="0"/>
        <w:jc w:val="both"/>
        <w:rPr>
          <w:color w:val="111111"/>
          <w:spacing w:val="1"/>
        </w:rPr>
      </w:pPr>
      <w:r w:rsidRPr="00875ED5">
        <w:rPr>
          <w:color w:val="111111"/>
          <w:spacing w:val="1"/>
        </w:rPr>
        <w:t>Simplificando un poco, donde los que utilizan el análisis fundamental se presentan como investigadores sobrios que descubren el valor real en la economía, quienes utilizan el análisis técnico parten de la perspectiva de que los mercados son ineficientes y los patrones de precios y las tendencias en los datos del mercado pueden ser explotados para obtener ganancias potenciales.</w:t>
      </w:r>
    </w:p>
    <w:p w:rsidR="00530ABC" w:rsidRPr="00875ED5" w:rsidRDefault="00530ABC" w:rsidP="00530ABC">
      <w:pPr>
        <w:pStyle w:val="Ttulo3"/>
        <w:shd w:val="clear" w:color="auto" w:fill="FFFFFF"/>
        <w:jc w:val="both"/>
        <w:rPr>
          <w:rFonts w:ascii="Times New Roman" w:hAnsi="Times New Roman" w:cs="Times New Roman"/>
          <w:b w:val="0"/>
          <w:bCs w:val="0"/>
          <w:color w:val="111111"/>
          <w:spacing w:val="1"/>
          <w:sz w:val="24"/>
          <w:szCs w:val="24"/>
        </w:rPr>
      </w:pPr>
      <w:r w:rsidRPr="00875ED5">
        <w:rPr>
          <w:rStyle w:val="mntl-sc-block-subheadingtext"/>
          <w:rFonts w:ascii="Times New Roman" w:hAnsi="Times New Roman" w:cs="Times New Roman"/>
          <w:b w:val="0"/>
          <w:bCs w:val="0"/>
          <w:color w:val="111111"/>
          <w:spacing w:val="1"/>
          <w:sz w:val="24"/>
          <w:szCs w:val="24"/>
        </w:rPr>
        <w:t>Las principales herramientas del análisis técnico</w:t>
      </w:r>
    </w:p>
    <w:p w:rsidR="00530ABC" w:rsidRPr="00875ED5" w:rsidRDefault="00530ABC" w:rsidP="00530ABC">
      <w:pPr>
        <w:pStyle w:val="comp"/>
        <w:shd w:val="clear" w:color="auto" w:fill="FFFFFF"/>
        <w:spacing w:before="0" w:beforeAutospacing="0"/>
        <w:jc w:val="both"/>
        <w:rPr>
          <w:color w:val="111111"/>
          <w:spacing w:val="1"/>
        </w:rPr>
      </w:pPr>
      <w:r w:rsidRPr="00875ED5">
        <w:rPr>
          <w:color w:val="111111"/>
          <w:spacing w:val="1"/>
        </w:rPr>
        <w:t>Estas son las herramientas más utilizadas en los análisis técnicos:</w:t>
      </w:r>
    </w:p>
    <w:p w:rsidR="00530ABC" w:rsidRPr="00875ED5" w:rsidRDefault="00530ABC" w:rsidP="00530ABC">
      <w:pPr>
        <w:numPr>
          <w:ilvl w:val="0"/>
          <w:numId w:val="7"/>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lastRenderedPageBreak/>
        <w:t>Indicadores de análisis técnico</w:t>
      </w:r>
      <w:r w:rsidRPr="00875ED5">
        <w:rPr>
          <w:rFonts w:ascii="Times New Roman" w:hAnsi="Times New Roman" w:cs="Times New Roman"/>
          <w:color w:val="111111"/>
          <w:spacing w:val="1"/>
          <w:sz w:val="24"/>
          <w:szCs w:val="24"/>
        </w:rPr>
        <w:t>: Son cálculos matemáticos basados ​​en el precio, el volumen o </w:t>
      </w:r>
      <w:hyperlink r:id="rId86" w:history="1">
        <w:r w:rsidRPr="002C5383">
          <w:rPr>
            <w:rStyle w:val="Hipervnculo"/>
            <w:rFonts w:ascii="Times New Roman" w:hAnsi="Times New Roman" w:cs="Times New Roman"/>
            <w:color w:val="auto"/>
            <w:spacing w:val="1"/>
            <w:sz w:val="24"/>
            <w:szCs w:val="24"/>
            <w:u w:val="none"/>
          </w:rPr>
          <w:t>el interés abierto</w:t>
        </w:r>
      </w:hyperlink>
      <w:r w:rsidRPr="002C5383">
        <w:rPr>
          <w:rFonts w:ascii="Times New Roman" w:hAnsi="Times New Roman" w:cs="Times New Roman"/>
          <w:color w:val="111111"/>
          <w:spacing w:val="1"/>
          <w:sz w:val="24"/>
          <w:szCs w:val="24"/>
        </w:rPr>
        <w:t> </w:t>
      </w:r>
      <w:r w:rsidRPr="00875ED5">
        <w:rPr>
          <w:rFonts w:ascii="Times New Roman" w:hAnsi="Times New Roman" w:cs="Times New Roman"/>
          <w:color w:val="111111"/>
          <w:spacing w:val="1"/>
          <w:sz w:val="24"/>
          <w:szCs w:val="24"/>
        </w:rPr>
        <w:t>para predecir precios futuros. Estos indicadores generalmente se basan en el momentum o la reversión a la media.</w:t>
      </w:r>
    </w:p>
    <w:p w:rsidR="00530ABC" w:rsidRPr="00875ED5" w:rsidRDefault="00530ABC" w:rsidP="00530ABC">
      <w:pPr>
        <w:numPr>
          <w:ilvl w:val="0"/>
          <w:numId w:val="7"/>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t>Análisis de volumen</w:t>
      </w:r>
      <w:r w:rsidRPr="00875ED5">
        <w:rPr>
          <w:rFonts w:ascii="Times New Roman" w:hAnsi="Times New Roman" w:cs="Times New Roman"/>
          <w:color w:val="111111"/>
          <w:spacing w:val="1"/>
          <w:sz w:val="24"/>
          <w:szCs w:val="24"/>
        </w:rPr>
        <w:t>: estudia el número de acciones, lotes o contratos negociados en un valor o mercado durante un período determinado.</w:t>
      </w:r>
    </w:p>
    <w:p w:rsidR="00530ABC" w:rsidRPr="00875ED5" w:rsidRDefault="00530ABC" w:rsidP="00530ABC">
      <w:pPr>
        <w:numPr>
          <w:ilvl w:val="0"/>
          <w:numId w:val="7"/>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t>Fuerza relativa</w:t>
      </w:r>
      <w:r w:rsidRPr="00875ED5">
        <w:rPr>
          <w:rFonts w:ascii="Times New Roman" w:hAnsi="Times New Roman" w:cs="Times New Roman"/>
          <w:color w:val="111111"/>
          <w:spacing w:val="1"/>
          <w:sz w:val="24"/>
          <w:szCs w:val="24"/>
        </w:rPr>
        <w:t>: esta métrica compara el rendimiento de un activo con un índice de referencia para medir su impulso.</w:t>
      </w:r>
    </w:p>
    <w:p w:rsidR="00530ABC" w:rsidRPr="00875ED5" w:rsidRDefault="00530ABC" w:rsidP="00530ABC">
      <w:pPr>
        <w:numPr>
          <w:ilvl w:val="0"/>
          <w:numId w:val="7"/>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t>Análisis de patrones gráficos</w:t>
      </w:r>
      <w:r w:rsidRPr="00875ED5">
        <w:rPr>
          <w:rFonts w:ascii="Times New Roman" w:hAnsi="Times New Roman" w:cs="Times New Roman"/>
          <w:color w:val="111111"/>
          <w:spacing w:val="1"/>
          <w:sz w:val="24"/>
          <w:szCs w:val="24"/>
        </w:rPr>
        <w:t>: el estudio de los movimientos de precios en un mercado identifica patrones que pueden sugerir actividad futura.</w:t>
      </w:r>
    </w:p>
    <w:p w:rsidR="00530ABC" w:rsidRDefault="00530ABC" w:rsidP="00530ABC">
      <w:pPr>
        <w:numPr>
          <w:ilvl w:val="0"/>
          <w:numId w:val="7"/>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t>Análisis de patrones de velas</w:t>
      </w:r>
      <w:r w:rsidRPr="00875ED5">
        <w:rPr>
          <w:rFonts w:ascii="Times New Roman" w:hAnsi="Times New Roman" w:cs="Times New Roman"/>
          <w:color w:val="111111"/>
          <w:spacing w:val="1"/>
          <w:sz w:val="24"/>
          <w:szCs w:val="24"/>
        </w:rPr>
        <w:t>: este tipo de gráfico financiero se utiliza para los movimientos de precios para indicar el sentimiento de los inversores, las tendencias del mercado o las reversiones de esas tendencias.</w:t>
      </w:r>
    </w:p>
    <w:p w:rsidR="00530ABC" w:rsidRPr="0089420F" w:rsidRDefault="00530ABC" w:rsidP="00530ABC">
      <w:p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9420F">
        <w:rPr>
          <w:rFonts w:ascii="Times New Roman" w:hAnsi="Times New Roman" w:cs="Times New Roman"/>
          <w:noProof/>
          <w:color w:val="111111"/>
          <w:spacing w:val="1"/>
          <w:sz w:val="24"/>
          <w:szCs w:val="24"/>
          <w:lang w:eastAsia="es-ES"/>
        </w:rPr>
        <w:drawing>
          <wp:inline distT="0" distB="0" distL="0" distR="0" wp14:anchorId="600138CE" wp14:editId="29ED2BBA">
            <wp:extent cx="5624641" cy="337820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630061" cy="3381455"/>
                    </a:xfrm>
                    <a:prstGeom prst="rect">
                      <a:avLst/>
                    </a:prstGeom>
                  </pic:spPr>
                </pic:pic>
              </a:graphicData>
            </a:graphic>
          </wp:inline>
        </w:drawing>
      </w:r>
    </w:p>
    <w:p w:rsidR="00530ABC" w:rsidRPr="00875ED5" w:rsidRDefault="00530ABC" w:rsidP="00530ABC">
      <w:pPr>
        <w:spacing w:line="240" w:lineRule="auto"/>
        <w:jc w:val="both"/>
        <w:rPr>
          <w:rFonts w:ascii="Times New Roman" w:hAnsi="Times New Roman" w:cs="Times New Roman"/>
          <w:sz w:val="24"/>
          <w:szCs w:val="24"/>
        </w:rPr>
      </w:pPr>
      <w:r w:rsidRPr="00875ED5">
        <w:rPr>
          <w:rStyle w:val="figure-article-caption-text"/>
          <w:rFonts w:ascii="Times New Roman" w:hAnsi="Times New Roman" w:cs="Times New Roman"/>
          <w:sz w:val="24"/>
          <w:szCs w:val="24"/>
        </w:rPr>
        <w:t>Un patrón de velas en los gráficos consiste en cuerpos rectangulares que muestran los precios de apertura y cierre, con delgadas líneas verticales llamadas mechas o sombras que se extienden por encima y por debajo para indicar los precios máximos y mínimos del período. El cuerpo suele tener diferentes colores (a menudo verde/blanco para movimientos alcistas y rojo/negro para movimientos bajistas) para indicar rápidamente si el precio cerró más alto o más bajo que al abrir durante ese período.</w:t>
      </w:r>
    </w:p>
    <w:p w:rsidR="00530ABC" w:rsidRPr="00875ED5" w:rsidRDefault="00530ABC" w:rsidP="00530ABC">
      <w:pPr>
        <w:numPr>
          <w:ilvl w:val="0"/>
          <w:numId w:val="8"/>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t>Soporte y resistencia</w:t>
      </w:r>
      <w:r w:rsidRPr="00875ED5">
        <w:rPr>
          <w:rFonts w:ascii="Times New Roman" w:hAnsi="Times New Roman" w:cs="Times New Roman"/>
          <w:color w:val="111111"/>
          <w:spacing w:val="1"/>
          <w:sz w:val="24"/>
          <w:szCs w:val="24"/>
        </w:rPr>
        <w:t>: son líneas horizontales dibujadas en un gráfico de precios para indicar los posibles techos y pisos de los movimientos de precios de un activo.</w:t>
      </w:r>
    </w:p>
    <w:p w:rsidR="00530ABC" w:rsidRPr="00875ED5" w:rsidRDefault="00530ABC" w:rsidP="00530ABC">
      <w:pPr>
        <w:numPr>
          <w:ilvl w:val="0"/>
          <w:numId w:val="8"/>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t>Análisis de tendencias</w:t>
      </w:r>
      <w:r w:rsidRPr="00875ED5">
        <w:rPr>
          <w:rFonts w:ascii="Times New Roman" w:hAnsi="Times New Roman" w:cs="Times New Roman"/>
          <w:color w:val="111111"/>
          <w:spacing w:val="1"/>
          <w:sz w:val="24"/>
          <w:szCs w:val="24"/>
        </w:rPr>
        <w:t>: Consiste en interpretar las fluctuaciones pasadas y presentes del mercado para predecir los precios futuros de los activos. Los precios históricos y el volumen de operaciones son los más utilizados.</w:t>
      </w:r>
    </w:p>
    <w:p w:rsidR="00530ABC" w:rsidRPr="0089420F" w:rsidRDefault="00530ABC" w:rsidP="00530ABC">
      <w:pPr>
        <w:pStyle w:val="comp"/>
        <w:shd w:val="clear" w:color="auto" w:fill="FFFFFF"/>
        <w:spacing w:before="0" w:beforeAutospacing="0"/>
        <w:jc w:val="both"/>
        <w:rPr>
          <w:color w:val="111111"/>
          <w:spacing w:val="1"/>
        </w:rPr>
      </w:pPr>
      <w:r w:rsidRPr="00875ED5">
        <w:rPr>
          <w:color w:val="111111"/>
          <w:spacing w:val="1"/>
        </w:rPr>
        <w:t>Cada elemento permite a los inversores analizar el comportamiento de una acción o del mercado.</w:t>
      </w:r>
    </w:p>
    <w:p w:rsidR="00530ABC" w:rsidRDefault="00530ABC" w:rsidP="00530ABC">
      <w:pPr>
        <w:spacing w:before="120" w:after="120" w:line="240" w:lineRule="auto"/>
        <w:jc w:val="both"/>
        <w:rPr>
          <w:rFonts w:ascii="Times New Roman" w:hAnsi="Times New Roman" w:cs="Times New Roman"/>
          <w:sz w:val="24"/>
          <w:szCs w:val="24"/>
        </w:rPr>
      </w:pPr>
      <w:r w:rsidRPr="008430C5">
        <w:rPr>
          <w:rFonts w:ascii="Times New Roman" w:hAnsi="Times New Roman" w:cs="Times New Roman"/>
          <w:b/>
          <w:sz w:val="24"/>
          <w:szCs w:val="24"/>
        </w:rPr>
        <w:lastRenderedPageBreak/>
        <w:t>Análisis fundamental vs. análisis técnico: ¿cuál es la diferencia?</w:t>
      </w:r>
      <w:r>
        <w:rPr>
          <w:rFonts w:ascii="Times New Roman" w:hAnsi="Times New Roman" w:cs="Times New Roman"/>
          <w:b/>
          <w:sz w:val="24"/>
          <w:szCs w:val="24"/>
        </w:rPr>
        <w:t xml:space="preserve"> </w:t>
      </w:r>
      <w:r>
        <w:rPr>
          <w:rFonts w:ascii="Times New Roman" w:hAnsi="Times New Roman" w:cs="Times New Roman"/>
          <w:sz w:val="24"/>
          <w:szCs w:val="24"/>
        </w:rPr>
        <w:t>(Fuente: investopedia - 31/5/25)</w:t>
      </w:r>
    </w:p>
    <w:p w:rsidR="00530ABC" w:rsidRDefault="00530ABC" w:rsidP="00530ABC">
      <w:pPr>
        <w:pStyle w:val="comp"/>
        <w:shd w:val="clear" w:color="auto" w:fill="FFFFFF"/>
        <w:spacing w:before="0" w:beforeAutospacing="0"/>
        <w:jc w:val="both"/>
        <w:rPr>
          <w:color w:val="111111"/>
          <w:spacing w:val="1"/>
        </w:rPr>
      </w:pPr>
      <w:r w:rsidRPr="00875ED5">
        <w:rPr>
          <w:color w:val="111111"/>
          <w:spacing w:val="1"/>
        </w:rPr>
        <w:t>Existen dos corrientes de pensamiento principales al evaluar inversiones y tomar decisiones de trading: el análisis fundamental y el análisis técnico. El análisis fundamental examina el valor intrínseco de un activo mediante el análisis de factores económicos y financieros, mientras que el análisis técnico se centra únicamente en la acción del precio y los patrones gráficos. </w:t>
      </w:r>
    </w:p>
    <w:p w:rsidR="00530ABC" w:rsidRPr="00875ED5" w:rsidRDefault="00530ABC" w:rsidP="00530ABC">
      <w:pPr>
        <w:pStyle w:val="comp"/>
        <w:shd w:val="clear" w:color="auto" w:fill="FFFFFF"/>
        <w:spacing w:before="0" w:beforeAutospacing="0"/>
        <w:jc w:val="both"/>
        <w:rPr>
          <w:color w:val="111111"/>
          <w:spacing w:val="1"/>
        </w:rPr>
      </w:pPr>
      <w:r>
        <w:rPr>
          <w:color w:val="111111"/>
          <w:spacing w:val="1"/>
        </w:rPr>
        <w:t>Conclusiones clave</w:t>
      </w:r>
    </w:p>
    <w:p w:rsidR="00530ABC" w:rsidRPr="00875ED5" w:rsidRDefault="00530ABC" w:rsidP="00530ABC">
      <w:pPr>
        <w:numPr>
          <w:ilvl w:val="0"/>
          <w:numId w:val="5"/>
        </w:numPr>
        <w:shd w:val="clear" w:color="auto" w:fill="FFFFFF"/>
        <w:spacing w:before="100" w:beforeAutospacing="1" w:after="0" w:afterAutospacing="1" w:line="240" w:lineRule="auto"/>
        <w:jc w:val="both"/>
        <w:rPr>
          <w:rFonts w:ascii="Times New Roman" w:hAnsi="Times New Roman" w:cs="Times New Roman"/>
          <w:color w:val="111111"/>
          <w:spacing w:val="1"/>
          <w:sz w:val="24"/>
          <w:szCs w:val="24"/>
        </w:rPr>
      </w:pPr>
      <w:r w:rsidRPr="00875ED5">
        <w:rPr>
          <w:rFonts w:ascii="Times New Roman" w:hAnsi="Times New Roman" w:cs="Times New Roman"/>
          <w:color w:val="111111"/>
          <w:spacing w:val="1"/>
          <w:sz w:val="24"/>
          <w:szCs w:val="24"/>
        </w:rPr>
        <w:t>El análisis fundamental evalúa los valores intentando medir su valor intrínseco.</w:t>
      </w:r>
    </w:p>
    <w:p w:rsidR="00530ABC" w:rsidRPr="00875ED5" w:rsidRDefault="00530ABC" w:rsidP="00530ABC">
      <w:pPr>
        <w:numPr>
          <w:ilvl w:val="0"/>
          <w:numId w:val="5"/>
        </w:numPr>
        <w:shd w:val="clear" w:color="auto" w:fill="FFFFFF"/>
        <w:spacing w:before="100" w:beforeAutospacing="1" w:after="0" w:afterAutospacing="1" w:line="240" w:lineRule="auto"/>
        <w:jc w:val="both"/>
        <w:rPr>
          <w:rFonts w:ascii="Times New Roman" w:hAnsi="Times New Roman" w:cs="Times New Roman"/>
          <w:color w:val="111111"/>
          <w:spacing w:val="1"/>
          <w:sz w:val="24"/>
          <w:szCs w:val="24"/>
        </w:rPr>
      </w:pPr>
      <w:r w:rsidRPr="00875ED5">
        <w:rPr>
          <w:rFonts w:ascii="Times New Roman" w:hAnsi="Times New Roman" w:cs="Times New Roman"/>
          <w:color w:val="111111"/>
          <w:spacing w:val="1"/>
          <w:sz w:val="24"/>
          <w:szCs w:val="24"/>
        </w:rPr>
        <w:t>El análisis técnico se centra en las tendencias estadísticas del precio y el volumen de las acciones a lo largo del tiempo.</w:t>
      </w:r>
    </w:p>
    <w:p w:rsidR="00530ABC" w:rsidRPr="00875ED5" w:rsidRDefault="00530ABC" w:rsidP="00530ABC">
      <w:pPr>
        <w:numPr>
          <w:ilvl w:val="0"/>
          <w:numId w:val="5"/>
        </w:numPr>
        <w:shd w:val="clear" w:color="auto" w:fill="FFFFFF"/>
        <w:spacing w:before="100" w:beforeAutospacing="1" w:after="0" w:afterAutospacing="1" w:line="240" w:lineRule="auto"/>
        <w:jc w:val="both"/>
        <w:rPr>
          <w:rFonts w:ascii="Times New Roman" w:hAnsi="Times New Roman" w:cs="Times New Roman"/>
          <w:color w:val="111111"/>
          <w:spacing w:val="1"/>
          <w:sz w:val="24"/>
          <w:szCs w:val="24"/>
        </w:rPr>
      </w:pPr>
      <w:r w:rsidRPr="00875ED5">
        <w:rPr>
          <w:rFonts w:ascii="Times New Roman" w:hAnsi="Times New Roman" w:cs="Times New Roman"/>
          <w:color w:val="111111"/>
          <w:spacing w:val="1"/>
          <w:sz w:val="24"/>
          <w:szCs w:val="24"/>
        </w:rPr>
        <w:t>Ambos métodos sirven para investigar y pronosticar tendencias futuras en los precios de las acciones.</w:t>
      </w:r>
    </w:p>
    <w:p w:rsidR="00530ABC" w:rsidRPr="00875ED5" w:rsidRDefault="00530ABC" w:rsidP="00530ABC">
      <w:pPr>
        <w:numPr>
          <w:ilvl w:val="0"/>
          <w:numId w:val="5"/>
        </w:numPr>
        <w:shd w:val="clear" w:color="auto" w:fill="FFFFFF"/>
        <w:spacing w:before="100" w:beforeAutospacing="1" w:after="0" w:afterAutospacing="1" w:line="240" w:lineRule="auto"/>
        <w:jc w:val="both"/>
        <w:rPr>
          <w:rFonts w:ascii="Times New Roman" w:hAnsi="Times New Roman" w:cs="Times New Roman"/>
          <w:color w:val="111111"/>
          <w:spacing w:val="1"/>
          <w:sz w:val="24"/>
          <w:szCs w:val="24"/>
        </w:rPr>
      </w:pPr>
      <w:r w:rsidRPr="00875ED5">
        <w:rPr>
          <w:rFonts w:ascii="Times New Roman" w:hAnsi="Times New Roman" w:cs="Times New Roman"/>
          <w:color w:val="111111"/>
          <w:spacing w:val="1"/>
          <w:sz w:val="24"/>
          <w:szCs w:val="24"/>
        </w:rPr>
        <w:t>Ambos también tienen sus partidarios y críticos.</w:t>
      </w:r>
    </w:p>
    <w:p w:rsidR="00530ABC" w:rsidRPr="00875ED5" w:rsidRDefault="00530ABC" w:rsidP="00530ABC">
      <w:pPr>
        <w:numPr>
          <w:ilvl w:val="0"/>
          <w:numId w:val="5"/>
        </w:numPr>
        <w:shd w:val="clear" w:color="auto" w:fill="FFFFFF"/>
        <w:spacing w:before="100" w:beforeAutospacing="1" w:after="0" w:line="240" w:lineRule="auto"/>
        <w:jc w:val="both"/>
        <w:rPr>
          <w:rFonts w:ascii="Times New Roman" w:hAnsi="Times New Roman" w:cs="Times New Roman"/>
          <w:color w:val="111111"/>
          <w:spacing w:val="1"/>
          <w:sz w:val="24"/>
          <w:szCs w:val="24"/>
        </w:rPr>
      </w:pPr>
      <w:r w:rsidRPr="00875ED5">
        <w:rPr>
          <w:rFonts w:ascii="Times New Roman" w:hAnsi="Times New Roman" w:cs="Times New Roman"/>
          <w:color w:val="111111"/>
          <w:spacing w:val="1"/>
          <w:sz w:val="24"/>
          <w:szCs w:val="24"/>
        </w:rPr>
        <w:t>En la práctica, muchos inversores combinan aspectos de enfoques fundamentales y técnicos para fundamentar sus decisiones.</w:t>
      </w:r>
    </w:p>
    <w:p w:rsidR="00530ABC" w:rsidRDefault="00530ABC" w:rsidP="00530ABC">
      <w:pPr>
        <w:pStyle w:val="comp"/>
        <w:shd w:val="clear" w:color="auto" w:fill="FFFFFF"/>
        <w:spacing w:before="0" w:beforeAutospacing="0"/>
        <w:jc w:val="both"/>
        <w:rPr>
          <w:color w:val="111111"/>
          <w:spacing w:val="1"/>
        </w:rPr>
      </w:pPr>
    </w:p>
    <w:p w:rsidR="00530ABC" w:rsidRPr="00875ED5" w:rsidRDefault="00530ABC" w:rsidP="00530ABC">
      <w:pPr>
        <w:pStyle w:val="comp"/>
        <w:shd w:val="clear" w:color="auto" w:fill="FFFFFF"/>
        <w:spacing w:before="0" w:beforeAutospacing="0"/>
        <w:jc w:val="both"/>
        <w:rPr>
          <w:color w:val="111111"/>
          <w:spacing w:val="1"/>
        </w:rPr>
      </w:pPr>
      <w:r w:rsidRPr="00875ED5">
        <w:rPr>
          <w:color w:val="111111"/>
          <w:spacing w:val="1"/>
        </w:rPr>
        <w:t>El análisis fundamental analiza en profundidad los estados financieros de una empresa, las tendencias del sector, los indicadores económicos y factores cualitativos como la calidad de la gestión y las ventajas competitivas de la empresa. Quienes lo practican creen que, al comprender la salud y el potencial subyacentes de una empresa, pueden identificar activos infravalorados con potencial de crecimiento.</w:t>
      </w:r>
    </w:p>
    <w:p w:rsidR="00530ABC" w:rsidRDefault="00530ABC" w:rsidP="00530ABC">
      <w:pPr>
        <w:pStyle w:val="comp"/>
        <w:shd w:val="clear" w:color="auto" w:fill="FFFFFF"/>
        <w:spacing w:before="0" w:beforeAutospacing="0"/>
        <w:jc w:val="both"/>
        <w:rPr>
          <w:color w:val="111111"/>
          <w:spacing w:val="1"/>
        </w:rPr>
      </w:pPr>
      <w:r w:rsidRPr="00875ED5">
        <w:rPr>
          <w:color w:val="111111"/>
          <w:spacing w:val="1"/>
        </w:rPr>
        <w:t>Por otro lado, el análisis técnico se centra en patrones y tendencias recopilados de operaciones pasadas, como las fluctuaciones de precios y el volumen. Los analistas técnicos, a veces llamados chartistas, utilizan diversos indicadores para predecir las fluctuaciones futuras de los precios. Este enfoque se basa en la premisa de que los precios históricos indican la psicología del mercado que permite predecir tendencias.</w:t>
      </w:r>
    </w:p>
    <w:p w:rsidR="00530ABC" w:rsidRPr="00875ED5" w:rsidRDefault="00530ABC" w:rsidP="00530ABC">
      <w:pPr>
        <w:pStyle w:val="comp"/>
        <w:shd w:val="clear" w:color="auto" w:fill="FFFFFF"/>
        <w:jc w:val="both"/>
        <w:rPr>
          <w:color w:val="111111"/>
          <w:spacing w:val="1"/>
        </w:rPr>
      </w:pPr>
      <w:r w:rsidRPr="00875ED5">
        <w:rPr>
          <w:color w:val="111111"/>
          <w:spacing w:val="1"/>
        </w:rPr>
        <w:t>Ambos enfoques tienen sus fortalezas y debilidades, y muchos inversores los combinan para fundamentar sus decisiones. Comprender los principios del análisis fundamental y técnico es crucial para cualquier inversor que busque desenvolverse con éxito en los mercados financieros.</w:t>
      </w:r>
    </w:p>
    <w:p w:rsidR="00530ABC" w:rsidRPr="00875ED5" w:rsidRDefault="00530ABC" w:rsidP="00530ABC">
      <w:pPr>
        <w:pStyle w:val="comp"/>
        <w:shd w:val="clear" w:color="auto" w:fill="FFFFFF"/>
        <w:jc w:val="both"/>
        <w:rPr>
          <w:b/>
          <w:color w:val="111111"/>
          <w:spacing w:val="1"/>
        </w:rPr>
      </w:pPr>
      <w:r w:rsidRPr="00875ED5">
        <w:rPr>
          <w:b/>
          <w:color w:val="111111"/>
          <w:spacing w:val="1"/>
        </w:rPr>
        <w:t>Críticas al análisis fundamental</w:t>
      </w:r>
    </w:p>
    <w:p w:rsidR="00530ABC" w:rsidRPr="00875ED5" w:rsidRDefault="00530ABC" w:rsidP="00530ABC">
      <w:pPr>
        <w:pStyle w:val="comp"/>
        <w:shd w:val="clear" w:color="auto" w:fill="FFFFFF"/>
        <w:jc w:val="both"/>
        <w:rPr>
          <w:color w:val="111111"/>
          <w:spacing w:val="1"/>
        </w:rPr>
      </w:pPr>
      <w:r w:rsidRPr="00875ED5">
        <w:rPr>
          <w:color w:val="111111"/>
          <w:spacing w:val="1"/>
        </w:rPr>
        <w:t>A continuación se presentan algunas de las principales críticas al análisis fundamental:</w:t>
      </w:r>
    </w:p>
    <w:p w:rsidR="00530ABC" w:rsidRPr="00875ED5" w:rsidRDefault="00530ABC" w:rsidP="00530ABC">
      <w:pPr>
        <w:pStyle w:val="comp"/>
        <w:shd w:val="clear" w:color="auto" w:fill="FFFFFF"/>
        <w:spacing w:before="0" w:beforeAutospacing="0"/>
        <w:jc w:val="both"/>
        <w:rPr>
          <w:color w:val="111111"/>
          <w:spacing w:val="1"/>
        </w:rPr>
      </w:pPr>
      <w:r w:rsidRPr="00875ED5">
        <w:rPr>
          <w:color w:val="111111"/>
          <w:spacing w:val="1"/>
        </w:rPr>
        <w:t>Requiere mucho tiempo: el análisis fundamental requiere una amplia investigación y recopilación de datos, lo que puede demandar mucho tiempo.</w:t>
      </w:r>
    </w:p>
    <w:p w:rsidR="00530ABC" w:rsidRPr="00875ED5" w:rsidRDefault="00530ABC" w:rsidP="00530ABC">
      <w:pPr>
        <w:numPr>
          <w:ilvl w:val="0"/>
          <w:numId w:val="6"/>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t>Subjetividad</w:t>
      </w:r>
      <w:r w:rsidRPr="00875ED5">
        <w:rPr>
          <w:rFonts w:ascii="Times New Roman" w:hAnsi="Times New Roman" w:cs="Times New Roman"/>
          <w:color w:val="111111"/>
          <w:spacing w:val="1"/>
          <w:sz w:val="24"/>
          <w:szCs w:val="24"/>
        </w:rPr>
        <w:t>: Al igual que ocurre con el análisis técnico, distintos analistas pueden interpretar los mismos datos de manera distinta, lo que lleva a afirmar que los resultados terminan siendo subjetivos.</w:t>
      </w:r>
    </w:p>
    <w:p w:rsidR="00530ABC" w:rsidRPr="00875ED5" w:rsidRDefault="00530ABC" w:rsidP="00530ABC">
      <w:pPr>
        <w:numPr>
          <w:ilvl w:val="0"/>
          <w:numId w:val="6"/>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t>Retraso en la información</w:t>
      </w:r>
      <w:r w:rsidRPr="00875ED5">
        <w:rPr>
          <w:rFonts w:ascii="Times New Roman" w:hAnsi="Times New Roman" w:cs="Times New Roman"/>
          <w:color w:val="111111"/>
          <w:spacing w:val="1"/>
          <w:sz w:val="24"/>
          <w:szCs w:val="24"/>
        </w:rPr>
        <w:t>: los informes financieros y los datos económicos suelen publicarse con retraso, lo que puede hacer que el análisis quede obsoleto.</w:t>
      </w:r>
    </w:p>
    <w:p w:rsidR="00530ABC" w:rsidRPr="00875ED5" w:rsidRDefault="00530ABC" w:rsidP="00530ABC">
      <w:pPr>
        <w:numPr>
          <w:ilvl w:val="0"/>
          <w:numId w:val="6"/>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lastRenderedPageBreak/>
        <w:t>Dificultad para cuantificar factores cualitativos</w:t>
      </w:r>
      <w:r w:rsidRPr="00875ED5">
        <w:rPr>
          <w:rFonts w:ascii="Times New Roman" w:hAnsi="Times New Roman" w:cs="Times New Roman"/>
          <w:color w:val="111111"/>
          <w:spacing w:val="1"/>
          <w:sz w:val="24"/>
          <w:szCs w:val="24"/>
        </w:rPr>
        <w:t>: Aspectos como la calidad de la gestión o el valor de la marca son difíciles de medir objetivamente.</w:t>
      </w:r>
    </w:p>
    <w:p w:rsidR="00530ABC" w:rsidRPr="00875ED5" w:rsidRDefault="00530ABC" w:rsidP="00530ABC">
      <w:pPr>
        <w:numPr>
          <w:ilvl w:val="0"/>
          <w:numId w:val="6"/>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t>Supuesto de eficiencia del mercado</w:t>
      </w:r>
      <w:r w:rsidRPr="00875ED5">
        <w:rPr>
          <w:rFonts w:ascii="Times New Roman" w:hAnsi="Times New Roman" w:cs="Times New Roman"/>
          <w:color w:val="111111"/>
          <w:spacing w:val="1"/>
          <w:sz w:val="24"/>
          <w:szCs w:val="24"/>
        </w:rPr>
        <w:t>: El análisis fundamental suele asumir que los mercados son eficientes. Por lo tanto, el valor a largo plazo (los precios en el mercado bursátil) eventualmente coincidirá con la realidad subyacente o el valor intrínseco de la acción. Sin embargo, es posible que el largo plazo nunca se materialice, y mientras tanto, ¿cuál es la mejor estrategia para obtener ganancias de las fluctuaciones de precios?</w:t>
      </w:r>
    </w:p>
    <w:p w:rsidR="00530ABC" w:rsidRPr="00875ED5" w:rsidRDefault="00530ABC" w:rsidP="00530ABC">
      <w:pPr>
        <w:numPr>
          <w:ilvl w:val="0"/>
          <w:numId w:val="6"/>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t>Enfoque a largo plazo</w:t>
      </w:r>
      <w:r w:rsidRPr="00875ED5">
        <w:rPr>
          <w:rFonts w:ascii="Times New Roman" w:hAnsi="Times New Roman" w:cs="Times New Roman"/>
          <w:color w:val="111111"/>
          <w:spacing w:val="1"/>
          <w:sz w:val="24"/>
          <w:szCs w:val="24"/>
        </w:rPr>
        <w:t>: puede que no sea tan útil para decisiones comerciales a corto plazo.</w:t>
      </w:r>
    </w:p>
    <w:p w:rsidR="00530ABC" w:rsidRPr="00875ED5" w:rsidRDefault="00530ABC" w:rsidP="00530ABC">
      <w:pPr>
        <w:numPr>
          <w:ilvl w:val="0"/>
          <w:numId w:val="6"/>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t>Ignorar el sentimiento del mercado</w:t>
      </w:r>
      <w:r w:rsidRPr="00875ED5">
        <w:rPr>
          <w:rFonts w:ascii="Times New Roman" w:hAnsi="Times New Roman" w:cs="Times New Roman"/>
          <w:color w:val="111111"/>
          <w:spacing w:val="1"/>
          <w:sz w:val="24"/>
          <w:szCs w:val="24"/>
        </w:rPr>
        <w:t>: El análisis fundamental puede no reflejar adecuadamente la psicología del inversor ni las tendencias del mercado. Puede pasar por alto tendencias y patrones de precios importantes que el análisis técnico podría detectar.</w:t>
      </w:r>
    </w:p>
    <w:p w:rsidR="00530ABC" w:rsidRDefault="00530ABC" w:rsidP="00530ABC">
      <w:pPr>
        <w:numPr>
          <w:ilvl w:val="0"/>
          <w:numId w:val="6"/>
        </w:num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75ED5">
        <w:rPr>
          <w:rStyle w:val="Textoennegrita"/>
          <w:rFonts w:ascii="Times New Roman" w:hAnsi="Times New Roman" w:cs="Times New Roman"/>
          <w:color w:val="111111"/>
          <w:spacing w:val="1"/>
          <w:sz w:val="24"/>
          <w:szCs w:val="24"/>
        </w:rPr>
        <w:t>Vulnerabilidad a eventos inesperados</w:t>
      </w:r>
      <w:r w:rsidRPr="00875ED5">
        <w:rPr>
          <w:rFonts w:ascii="Times New Roman" w:hAnsi="Times New Roman" w:cs="Times New Roman"/>
          <w:color w:val="111111"/>
          <w:spacing w:val="1"/>
          <w:sz w:val="24"/>
          <w:szCs w:val="24"/>
        </w:rPr>
        <w:t>: eventos geopolíticos o económicos repentinos pueden hacer que el análisis fundamental se vuelva irrelevante rápidamente.</w:t>
      </w:r>
    </w:p>
    <w:p w:rsidR="00530ABC" w:rsidRPr="0089420F" w:rsidRDefault="00530ABC" w:rsidP="00530ABC">
      <w:p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9420F">
        <w:rPr>
          <w:rFonts w:ascii="Times New Roman" w:hAnsi="Times New Roman" w:cs="Times New Roman"/>
          <w:color w:val="111111"/>
          <w:spacing w:val="1"/>
          <w:sz w:val="24"/>
          <w:szCs w:val="24"/>
        </w:rPr>
        <w:t>Estas críticas resaltan por qué algunos inversores prefieren el análisis técnico o combinan ambos enfoques.</w:t>
      </w:r>
    </w:p>
    <w:p w:rsidR="00530ABC" w:rsidRPr="0089420F" w:rsidRDefault="00530ABC" w:rsidP="00530ABC">
      <w:pPr>
        <w:shd w:val="clear" w:color="auto" w:fill="FFFFFF"/>
        <w:spacing w:before="100" w:beforeAutospacing="1" w:after="100" w:afterAutospacing="1" w:line="240" w:lineRule="auto"/>
        <w:jc w:val="both"/>
        <w:rPr>
          <w:rFonts w:ascii="Times New Roman" w:hAnsi="Times New Roman" w:cs="Times New Roman"/>
          <w:b/>
          <w:color w:val="111111"/>
          <w:spacing w:val="1"/>
          <w:sz w:val="24"/>
          <w:szCs w:val="24"/>
        </w:rPr>
      </w:pPr>
      <w:r w:rsidRPr="0089420F">
        <w:rPr>
          <w:rFonts w:ascii="Times New Roman" w:hAnsi="Times New Roman" w:cs="Times New Roman"/>
          <w:b/>
          <w:color w:val="111111"/>
          <w:spacing w:val="1"/>
          <w:sz w:val="24"/>
          <w:szCs w:val="24"/>
        </w:rPr>
        <w:t>Críticas al análisis técnico</w:t>
      </w:r>
    </w:p>
    <w:p w:rsidR="00530ABC" w:rsidRPr="0089420F" w:rsidRDefault="00530ABC" w:rsidP="00530ABC">
      <w:p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9420F">
        <w:rPr>
          <w:rFonts w:ascii="Times New Roman" w:hAnsi="Times New Roman" w:cs="Times New Roman"/>
          <w:color w:val="111111"/>
          <w:spacing w:val="1"/>
          <w:sz w:val="24"/>
          <w:szCs w:val="24"/>
        </w:rPr>
        <w:t>Intentar predecir los precios de las acciones basándose en datos bursátiles históricos ha sido un tema de intenso debate durante mucho tiempo, y muchos académicos e inversores profesionales se muestran escépticos sobre su eficacia. Imagine intentar predecir el tiempo de mañana simplemente observando patrones meteorológicos pasados. Es similar a lo que hacen los analistas técnicos con los precios de las acciones.</w:t>
      </w:r>
    </w:p>
    <w:p w:rsidR="00530ABC" w:rsidRPr="0089420F" w:rsidRDefault="00530ABC" w:rsidP="00530ABC">
      <w:p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9420F">
        <w:rPr>
          <w:rFonts w:ascii="Times New Roman" w:hAnsi="Times New Roman" w:cs="Times New Roman"/>
          <w:color w:val="111111"/>
          <w:spacing w:val="1"/>
          <w:sz w:val="24"/>
          <w:szCs w:val="24"/>
        </w:rPr>
        <w:t>Escepticismo sobr</w:t>
      </w:r>
      <w:r>
        <w:rPr>
          <w:rFonts w:ascii="Times New Roman" w:hAnsi="Times New Roman" w:cs="Times New Roman"/>
          <w:color w:val="111111"/>
          <w:spacing w:val="1"/>
          <w:sz w:val="24"/>
          <w:szCs w:val="24"/>
        </w:rPr>
        <w:t>e la eficiencia de los mercados</w:t>
      </w:r>
    </w:p>
    <w:p w:rsidR="00530ABC" w:rsidRPr="0089420F" w:rsidRDefault="00530ABC" w:rsidP="00530ABC">
      <w:p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9420F">
        <w:rPr>
          <w:rFonts w:ascii="Times New Roman" w:hAnsi="Times New Roman" w:cs="Times New Roman"/>
          <w:color w:val="111111"/>
          <w:spacing w:val="1"/>
          <w:sz w:val="24"/>
          <w:szCs w:val="24"/>
        </w:rPr>
        <w:t xml:space="preserve">Una de las principales críticas al análisis técnico es que va en contra de la </w:t>
      </w:r>
      <w:r>
        <w:rPr>
          <w:rFonts w:ascii="Times New Roman" w:hAnsi="Times New Roman" w:cs="Times New Roman"/>
          <w:color w:val="111111"/>
          <w:spacing w:val="1"/>
          <w:sz w:val="24"/>
          <w:szCs w:val="24"/>
        </w:rPr>
        <w:t>hipótesis del mercado eficiente</w:t>
      </w:r>
      <w:r w:rsidRPr="0089420F">
        <w:rPr>
          <w:rFonts w:ascii="Times New Roman" w:hAnsi="Times New Roman" w:cs="Times New Roman"/>
          <w:color w:val="111111"/>
          <w:spacing w:val="1"/>
          <w:sz w:val="24"/>
          <w:szCs w:val="24"/>
        </w:rPr>
        <w:t>. Esta teoría económica sugiere que los precios de las acciones ya reflejan toda la información disponible, lo que hace imposible superar al mercado utilizando cualquier estrategia predefinida.</w:t>
      </w:r>
    </w:p>
    <w:p w:rsidR="00530ABC" w:rsidRPr="0089420F" w:rsidRDefault="00530ABC" w:rsidP="00530ABC">
      <w:p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9420F">
        <w:rPr>
          <w:rFonts w:ascii="Times New Roman" w:hAnsi="Times New Roman" w:cs="Times New Roman"/>
          <w:color w:val="111111"/>
          <w:spacing w:val="1"/>
          <w:sz w:val="24"/>
          <w:szCs w:val="24"/>
        </w:rPr>
        <w:t>Los críticos argumentan que, incluso si el análisis técnico funcionara, todos lo usarían y sus ventajas desaparecerían rápidamente. Sin embargo, sus defensores argumentan que los mercados no siempre son perfectamente eficientes y que analizar las tendencias de precios y los patrones de trading es valioso.</w:t>
      </w:r>
    </w:p>
    <w:p w:rsidR="00530ABC" w:rsidRPr="0089420F" w:rsidRDefault="00530ABC" w:rsidP="00530ABC">
      <w:p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9420F">
        <w:rPr>
          <w:rFonts w:ascii="Times New Roman" w:hAnsi="Times New Roman" w:cs="Times New Roman"/>
          <w:color w:val="111111"/>
          <w:spacing w:val="1"/>
          <w:sz w:val="24"/>
          <w:szCs w:val="24"/>
        </w:rPr>
        <w:t>La supuesta no o</w:t>
      </w:r>
      <w:r>
        <w:rPr>
          <w:rFonts w:ascii="Times New Roman" w:hAnsi="Times New Roman" w:cs="Times New Roman"/>
          <w:color w:val="111111"/>
          <w:spacing w:val="1"/>
          <w:sz w:val="24"/>
          <w:szCs w:val="24"/>
        </w:rPr>
        <w:t>bjetividad del análisis técnico</w:t>
      </w:r>
    </w:p>
    <w:p w:rsidR="00530ABC" w:rsidRPr="0089420F" w:rsidRDefault="00530ABC" w:rsidP="00530ABC">
      <w:p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9420F">
        <w:rPr>
          <w:rFonts w:ascii="Times New Roman" w:hAnsi="Times New Roman" w:cs="Times New Roman"/>
          <w:color w:val="111111"/>
          <w:spacing w:val="1"/>
          <w:sz w:val="24"/>
          <w:szCs w:val="24"/>
        </w:rPr>
        <w:t xml:space="preserve">Otro punto de controversia es la naturaleza a menudo subjetiva del análisis técnico. Al igual que cuando se ven formas en las nubes, diferentes analistas pueden interpretar los mismos patrones gráficos de forma distinta, lo que genera predicciones inconsistentes. Además, con la gran cantidad de datos financieros disponibles hoy en día, existe el riesgo de sobreajuste , es decir, encontrar patrones que parecen significativos pero que en realidad son meras coincidencias, similar a lanzar una moneda 10 veces, obtener cara cada vez y concluir erróneamente que está manipulada. Esto ha generado preocupación sobre la minería de </w:t>
      </w:r>
      <w:r w:rsidRPr="0089420F">
        <w:rPr>
          <w:rFonts w:ascii="Times New Roman" w:hAnsi="Times New Roman" w:cs="Times New Roman"/>
          <w:color w:val="111111"/>
          <w:spacing w:val="1"/>
          <w:sz w:val="24"/>
          <w:szCs w:val="24"/>
        </w:rPr>
        <w:lastRenderedPageBreak/>
        <w:t>datos, donde los patrones que parecen haber funcionado en el pasado carecen de un verdadero poder predictivo para el futuro.</w:t>
      </w:r>
    </w:p>
    <w:p w:rsidR="00530ABC" w:rsidRPr="0089420F" w:rsidRDefault="00530ABC" w:rsidP="00530ABC">
      <w:p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9420F">
        <w:rPr>
          <w:rFonts w:ascii="Times New Roman" w:hAnsi="Times New Roman" w:cs="Times New Roman"/>
          <w:color w:val="111111"/>
          <w:spacing w:val="1"/>
          <w:sz w:val="24"/>
          <w:szCs w:val="24"/>
        </w:rPr>
        <w:t>A pesar de estas críticas, el análisis técnico sigue siendo popular entre muchos operadores e inversores. Algunos argumentan que el análisis técnico puede parecer eficaz en algunos casos deb</w:t>
      </w:r>
      <w:r>
        <w:rPr>
          <w:rFonts w:ascii="Times New Roman" w:hAnsi="Times New Roman" w:cs="Times New Roman"/>
          <w:color w:val="111111"/>
          <w:spacing w:val="1"/>
          <w:sz w:val="24"/>
          <w:szCs w:val="24"/>
        </w:rPr>
        <w:t>ido a una profecía autocumplida</w:t>
      </w:r>
      <w:r w:rsidRPr="0089420F">
        <w:rPr>
          <w:rFonts w:ascii="Times New Roman" w:hAnsi="Times New Roman" w:cs="Times New Roman"/>
          <w:color w:val="111111"/>
          <w:spacing w:val="1"/>
          <w:sz w:val="24"/>
          <w:szCs w:val="24"/>
        </w:rPr>
        <w:t>: si suficientes operadores siguen las mismas señales técnicas, sus acciones colectivas podrían impulsar el mercado en la dirección prevista. Otros señalan que el análisis técnico puede ser una herramienta útil para comprender la psicología y el sentimiento del mercado. Al estudiar los movimientos de precios y los volúmenes de negociación, los analistas pueden comprender mejor las emociones que impulsan la presión de compra y venta, lo cual puede ser valioso para identificar n</w:t>
      </w:r>
      <w:r>
        <w:rPr>
          <w:rFonts w:ascii="Times New Roman" w:hAnsi="Times New Roman" w:cs="Times New Roman"/>
          <w:color w:val="111111"/>
          <w:spacing w:val="1"/>
          <w:sz w:val="24"/>
          <w:szCs w:val="24"/>
        </w:rPr>
        <w:t>iveles de resistencia y soporte</w:t>
      </w:r>
      <w:r w:rsidRPr="0089420F">
        <w:rPr>
          <w:rFonts w:ascii="Times New Roman" w:hAnsi="Times New Roman" w:cs="Times New Roman"/>
          <w:color w:val="111111"/>
          <w:spacing w:val="1"/>
          <w:sz w:val="24"/>
          <w:szCs w:val="24"/>
        </w:rPr>
        <w:t>, y calcular el tiempo de entrada y salida.</w:t>
      </w:r>
    </w:p>
    <w:p w:rsidR="00530ABC" w:rsidRPr="0089420F" w:rsidRDefault="00530ABC" w:rsidP="00530ABC">
      <w:pPr>
        <w:shd w:val="clear" w:color="auto" w:fill="FFFFFF"/>
        <w:spacing w:before="100" w:beforeAutospacing="1" w:after="100" w:afterAutospacing="1" w:line="240" w:lineRule="auto"/>
        <w:jc w:val="both"/>
        <w:rPr>
          <w:rFonts w:ascii="Times New Roman" w:hAnsi="Times New Roman" w:cs="Times New Roman"/>
          <w:color w:val="111111"/>
          <w:spacing w:val="1"/>
          <w:sz w:val="24"/>
          <w:szCs w:val="24"/>
        </w:rPr>
      </w:pPr>
      <w:r w:rsidRPr="0089420F">
        <w:rPr>
          <w:rFonts w:ascii="Times New Roman" w:hAnsi="Times New Roman" w:cs="Times New Roman"/>
          <w:color w:val="111111"/>
          <w:spacing w:val="1"/>
          <w:sz w:val="24"/>
          <w:szCs w:val="24"/>
        </w:rPr>
        <w:t>El debate continúa, con investigaciones en curso que determinan si el análisis técnico puede ser efectivo y cuándo. Por ahora, el veredicto aún no se ha emitido, y los inversores deben decidir por sí mismos si incorporan el análisis técnico a su estrategia.</w:t>
      </w:r>
    </w:p>
    <w:p w:rsidR="00530ABC" w:rsidRDefault="00530ABC" w:rsidP="00530ABC">
      <w:pPr>
        <w:pStyle w:val="comp"/>
        <w:shd w:val="clear" w:color="auto" w:fill="FFFFFF"/>
        <w:spacing w:before="0" w:beforeAutospacing="0"/>
        <w:jc w:val="both"/>
        <w:rPr>
          <w:color w:val="111111"/>
          <w:spacing w:val="1"/>
        </w:rPr>
      </w:pPr>
      <w:r w:rsidRPr="00875ED5">
        <w:rPr>
          <w:color w:val="111111"/>
          <w:spacing w:val="1"/>
        </w:rPr>
        <w:t>Estas críticas resaltan por qué algunos inversores prefieren el análisis técnico o combinan ambos enfoques.</w:t>
      </w:r>
    </w:p>
    <w:p w:rsidR="00530ABC" w:rsidRPr="000C1320" w:rsidRDefault="00530ABC" w:rsidP="00530ABC">
      <w:pPr>
        <w:pStyle w:val="comp"/>
        <w:shd w:val="clear" w:color="auto" w:fill="FFFFFF"/>
        <w:jc w:val="both"/>
        <w:rPr>
          <w:b/>
          <w:color w:val="111111"/>
          <w:spacing w:val="1"/>
        </w:rPr>
      </w:pPr>
      <w:r w:rsidRPr="000C1320">
        <w:rPr>
          <w:b/>
          <w:color w:val="111111"/>
          <w:spacing w:val="1"/>
        </w:rPr>
        <w:t>Ventajas y desventajas de los análisis fundamentales y técnicos</w:t>
      </w:r>
    </w:p>
    <w:p w:rsidR="00530ABC" w:rsidRDefault="00530ABC" w:rsidP="00530ABC">
      <w:pPr>
        <w:pStyle w:val="comp"/>
        <w:shd w:val="clear" w:color="auto" w:fill="FFFFFF"/>
        <w:jc w:val="both"/>
        <w:rPr>
          <w:color w:val="111111"/>
          <w:spacing w:val="1"/>
        </w:rPr>
      </w:pPr>
      <w:r w:rsidRPr="000C1320">
        <w:rPr>
          <w:color w:val="111111"/>
          <w:spacing w:val="1"/>
        </w:rPr>
        <w:t>La siguiente tabla proporciona los pros y contras de los análisis fundamentales y técnicos.</w:t>
      </w:r>
    </w:p>
    <w:p w:rsidR="00467CE7" w:rsidRDefault="00530ABC" w:rsidP="00530ABC">
      <w:pPr>
        <w:pStyle w:val="comp"/>
        <w:shd w:val="clear" w:color="auto" w:fill="FFFFFF"/>
        <w:spacing w:before="0" w:beforeAutospacing="0"/>
        <w:jc w:val="both"/>
        <w:rPr>
          <w:color w:val="111111"/>
          <w:spacing w:val="1"/>
        </w:rPr>
      </w:pPr>
      <w:r w:rsidRPr="0089420F">
        <w:rPr>
          <w:noProof/>
          <w:color w:val="111111"/>
          <w:spacing w:val="1"/>
        </w:rPr>
        <w:drawing>
          <wp:inline distT="0" distB="0" distL="0" distR="0" wp14:anchorId="1B07027B" wp14:editId="76F6E513">
            <wp:extent cx="5699156" cy="194310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06272" cy="1945526"/>
                    </a:xfrm>
                    <a:prstGeom prst="rect">
                      <a:avLst/>
                    </a:prstGeom>
                  </pic:spPr>
                </pic:pic>
              </a:graphicData>
            </a:graphic>
          </wp:inline>
        </w:drawing>
      </w:r>
      <w:r w:rsidR="00467CE7" w:rsidRPr="00467CE7">
        <w:rPr>
          <w:noProof/>
          <w:color w:val="111111"/>
          <w:spacing w:val="1"/>
        </w:rPr>
        <w:drawing>
          <wp:inline distT="0" distB="0" distL="0" distR="0" wp14:anchorId="3117401B" wp14:editId="1441D0B0">
            <wp:extent cx="5670550" cy="2451100"/>
            <wp:effectExtent l="0" t="0" r="635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676449" cy="2453650"/>
                    </a:xfrm>
                    <a:prstGeom prst="rect">
                      <a:avLst/>
                    </a:prstGeom>
                  </pic:spPr>
                </pic:pic>
              </a:graphicData>
            </a:graphic>
          </wp:inline>
        </w:drawing>
      </w:r>
    </w:p>
    <w:p w:rsidR="00530ABC" w:rsidRDefault="00467CE7" w:rsidP="00530ABC">
      <w:pPr>
        <w:pStyle w:val="comp"/>
        <w:shd w:val="clear" w:color="auto" w:fill="FFFFFF"/>
        <w:spacing w:before="0" w:beforeAutospacing="0"/>
        <w:jc w:val="both"/>
        <w:rPr>
          <w:color w:val="111111"/>
          <w:spacing w:val="1"/>
        </w:rPr>
      </w:pPr>
      <w:r w:rsidRPr="00467CE7">
        <w:rPr>
          <w:noProof/>
          <w:color w:val="111111"/>
          <w:spacing w:val="1"/>
        </w:rPr>
        <w:lastRenderedPageBreak/>
        <w:drawing>
          <wp:inline distT="0" distB="0" distL="0" distR="0" wp14:anchorId="5AA3BFBC" wp14:editId="1FEFFDB7">
            <wp:extent cx="5731510" cy="2215449"/>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2215449"/>
                    </a:xfrm>
                    <a:prstGeom prst="rect">
                      <a:avLst/>
                    </a:prstGeom>
                  </pic:spPr>
                </pic:pic>
              </a:graphicData>
            </a:graphic>
          </wp:inline>
        </w:drawing>
      </w:r>
    </w:p>
    <w:p w:rsidR="00530ABC" w:rsidRDefault="00530ABC" w:rsidP="00530ABC">
      <w:pPr>
        <w:pStyle w:val="comp"/>
        <w:shd w:val="clear" w:color="auto" w:fill="FFFFFF"/>
        <w:spacing w:before="0" w:beforeAutospacing="0"/>
        <w:jc w:val="both"/>
        <w:rPr>
          <w:color w:val="111111"/>
          <w:spacing w:val="1"/>
        </w:rPr>
      </w:pPr>
      <w:r w:rsidRPr="000C1320">
        <w:rPr>
          <w:noProof/>
          <w:color w:val="111111"/>
          <w:spacing w:val="1"/>
        </w:rPr>
        <w:drawing>
          <wp:inline distT="0" distB="0" distL="0" distR="0" wp14:anchorId="6F8DB6EB" wp14:editId="2AAF5234">
            <wp:extent cx="5729297" cy="4032250"/>
            <wp:effectExtent l="0" t="0" r="5080"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4033807"/>
                    </a:xfrm>
                    <a:prstGeom prst="rect">
                      <a:avLst/>
                    </a:prstGeom>
                  </pic:spPr>
                </pic:pic>
              </a:graphicData>
            </a:graphic>
          </wp:inline>
        </w:drawing>
      </w:r>
    </w:p>
    <w:p w:rsidR="00530ABC" w:rsidRDefault="00530ABC" w:rsidP="00530ABC">
      <w:pPr>
        <w:pStyle w:val="comp"/>
        <w:shd w:val="clear" w:color="auto" w:fill="FFFFFF"/>
        <w:spacing w:before="0" w:beforeAutospacing="0"/>
        <w:jc w:val="both"/>
        <w:rPr>
          <w:color w:val="111111"/>
          <w:spacing w:val="1"/>
        </w:rPr>
      </w:pPr>
      <w:r w:rsidRPr="000C1320">
        <w:rPr>
          <w:noProof/>
          <w:color w:val="111111"/>
          <w:spacing w:val="1"/>
        </w:rPr>
        <w:drawing>
          <wp:inline distT="0" distB="0" distL="0" distR="0" wp14:anchorId="20FE66F5" wp14:editId="5AC07A20">
            <wp:extent cx="5702039" cy="1098550"/>
            <wp:effectExtent l="0" t="0" r="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15798" cy="1101201"/>
                    </a:xfrm>
                    <a:prstGeom prst="rect">
                      <a:avLst/>
                    </a:prstGeom>
                  </pic:spPr>
                </pic:pic>
              </a:graphicData>
            </a:graphic>
          </wp:inline>
        </w:drawing>
      </w:r>
    </w:p>
    <w:p w:rsidR="00530ABC" w:rsidRPr="008022DC" w:rsidRDefault="00530ABC" w:rsidP="00530ABC">
      <w:pPr>
        <w:pStyle w:val="comp"/>
        <w:shd w:val="clear" w:color="auto" w:fill="FFFFFF"/>
        <w:jc w:val="both"/>
        <w:rPr>
          <w:b/>
          <w:color w:val="111111"/>
          <w:spacing w:val="1"/>
        </w:rPr>
      </w:pPr>
      <w:r w:rsidRPr="008022DC">
        <w:rPr>
          <w:b/>
          <w:color w:val="111111"/>
          <w:spacing w:val="1"/>
        </w:rPr>
        <w:t>Explícamelo como si tuviera cinco años</w:t>
      </w:r>
    </w:p>
    <w:p w:rsidR="00530ABC" w:rsidRPr="008022DC" w:rsidRDefault="00530ABC" w:rsidP="00530ABC">
      <w:pPr>
        <w:pStyle w:val="comp"/>
        <w:shd w:val="clear" w:color="auto" w:fill="FFFFFF"/>
        <w:jc w:val="both"/>
        <w:rPr>
          <w:color w:val="111111"/>
          <w:spacing w:val="1"/>
        </w:rPr>
      </w:pPr>
      <w:r w:rsidRPr="008022DC">
        <w:rPr>
          <w:color w:val="111111"/>
          <w:spacing w:val="1"/>
        </w:rPr>
        <w:t xml:space="preserve">El análisis técnico y el análisis fundamental son dos enfoques diferentes para pronosticar el precio de las acciones. El análisis fundamental se centra en los detalles financieros de una empresa, como el valor de sus activos, sus deudas y sus ingresos. El análisis técnico examina </w:t>
      </w:r>
      <w:r w:rsidRPr="008022DC">
        <w:rPr>
          <w:color w:val="111111"/>
          <w:spacing w:val="1"/>
        </w:rPr>
        <w:lastRenderedPageBreak/>
        <w:t>la evolución histórica de los precios, como los máximos y mínimos recientes, y los cambios en el volumen de negociación.</w:t>
      </w:r>
    </w:p>
    <w:p w:rsidR="00530ABC" w:rsidRPr="008022DC" w:rsidRDefault="00530ABC" w:rsidP="00530ABC">
      <w:pPr>
        <w:pStyle w:val="comp"/>
        <w:shd w:val="clear" w:color="auto" w:fill="FFFFFF"/>
        <w:jc w:val="both"/>
        <w:rPr>
          <w:color w:val="111111"/>
          <w:spacing w:val="1"/>
        </w:rPr>
      </w:pPr>
      <w:r w:rsidRPr="008022DC">
        <w:rPr>
          <w:color w:val="111111"/>
          <w:spacing w:val="1"/>
        </w:rPr>
        <w:t>Ninguno de estos enfoques es correcto ni incorrecto, pero ambos tienen sus adeptos. Muchos críticos afirman que el análisis fundamental requiere mucho tiempo, mientras que el análisis técnico puede generar predicciones autocumplidas. En la práctica, la mayoría de los inversores utilizan una combinación de enfoques fundamentales y técnicos.</w:t>
      </w:r>
    </w:p>
    <w:p w:rsidR="00530ABC" w:rsidRPr="008022DC" w:rsidRDefault="00530ABC" w:rsidP="00530ABC">
      <w:pPr>
        <w:pStyle w:val="comp"/>
        <w:shd w:val="clear" w:color="auto" w:fill="FFFFFF"/>
        <w:jc w:val="both"/>
        <w:rPr>
          <w:b/>
          <w:color w:val="111111"/>
          <w:spacing w:val="1"/>
        </w:rPr>
      </w:pPr>
      <w:r w:rsidRPr="008022DC">
        <w:rPr>
          <w:b/>
          <w:color w:val="111111"/>
          <w:spacing w:val="1"/>
        </w:rPr>
        <w:t>¿Qué es más importante, el análisis fundamental o el análisis técnico?</w:t>
      </w:r>
    </w:p>
    <w:p w:rsidR="00530ABC" w:rsidRPr="008022DC" w:rsidRDefault="00530ABC" w:rsidP="00530ABC">
      <w:pPr>
        <w:pStyle w:val="comp"/>
        <w:shd w:val="clear" w:color="auto" w:fill="FFFFFF"/>
        <w:jc w:val="both"/>
        <w:rPr>
          <w:color w:val="111111"/>
          <w:spacing w:val="1"/>
        </w:rPr>
      </w:pPr>
      <w:r w:rsidRPr="008022DC">
        <w:rPr>
          <w:color w:val="111111"/>
          <w:spacing w:val="1"/>
        </w:rPr>
        <w:t>El debate sobre la importancia del análisis fundamental y técnico en la toma de decisiones de inversión es antiguo y matizado. Ambos enfoques ofrecen perspectivas importantes y son más o menos valiosos en diferentes contextos.</w:t>
      </w:r>
    </w:p>
    <w:p w:rsidR="00530ABC" w:rsidRPr="008022DC" w:rsidRDefault="00530ABC" w:rsidP="00530ABC">
      <w:pPr>
        <w:pStyle w:val="comp"/>
        <w:shd w:val="clear" w:color="auto" w:fill="FFFFFF"/>
        <w:jc w:val="both"/>
        <w:rPr>
          <w:b/>
          <w:color w:val="111111"/>
          <w:spacing w:val="1"/>
        </w:rPr>
      </w:pPr>
      <w:r w:rsidRPr="008022DC">
        <w:rPr>
          <w:b/>
          <w:color w:val="111111"/>
          <w:spacing w:val="1"/>
        </w:rPr>
        <w:t>El resultado final</w:t>
      </w:r>
    </w:p>
    <w:p w:rsidR="00530ABC" w:rsidRPr="008022DC" w:rsidRDefault="00530ABC" w:rsidP="00530ABC">
      <w:pPr>
        <w:pStyle w:val="comp"/>
        <w:shd w:val="clear" w:color="auto" w:fill="FFFFFF"/>
        <w:jc w:val="both"/>
        <w:rPr>
          <w:color w:val="111111"/>
          <w:spacing w:val="1"/>
        </w:rPr>
      </w:pPr>
      <w:r w:rsidRPr="008022DC">
        <w:rPr>
          <w:color w:val="111111"/>
          <w:spacing w:val="1"/>
        </w:rPr>
        <w:t>Los análisis fundamentales y técnicos son herramientas cruciales para quienes operan en el mercado. El análisis fundamental se centra en los estados financieros y los indicadores económicos para evaluar el valor intrínseco de un activo, lo que lo hace más adecuado para las decisiones de inversión a largo plazo. Por otro lado, el análisis técnico examina el precio de las acciones, así como los movimientos y tendencias del mercado, para identificar perspectivas de inversión. Si bien el análisis fundamental suele ser criticado por ser lento y poco efectivo para las operaciones a corto plazo, el análisis técnico es criticado por centrarse menos en el valor que en las tendencias de los movimientos del precio de las acciones.</w:t>
      </w:r>
    </w:p>
    <w:p w:rsidR="00530ABC" w:rsidRDefault="00530ABC" w:rsidP="00530ABC">
      <w:pPr>
        <w:pStyle w:val="comp"/>
        <w:shd w:val="clear" w:color="auto" w:fill="FFFFFF"/>
        <w:jc w:val="both"/>
        <w:rPr>
          <w:color w:val="111111"/>
          <w:spacing w:val="1"/>
        </w:rPr>
      </w:pPr>
      <w:r w:rsidRPr="008022DC">
        <w:rPr>
          <w:color w:val="111111"/>
          <w:spacing w:val="1"/>
        </w:rPr>
        <w:t>Muchos inversores y operadores optan por un enfoque combinado, aprovechando las ventajas de ambos. Como suele decirse concisamente, el análisis fundamental proporciona información sobre qué comprar, mientras que el análisis técnico indica cuándo comprar o vender. En definitiva, la elección depende de su estilo de trading, horizonte de inversión y objetivos financieros.</w:t>
      </w:r>
    </w:p>
    <w:p w:rsidR="00530ABC" w:rsidRPr="0019457E" w:rsidRDefault="00530ABC" w:rsidP="00530ABC">
      <w:pPr>
        <w:pStyle w:val="comp"/>
        <w:shd w:val="clear" w:color="auto" w:fill="FFFFFF"/>
        <w:jc w:val="both"/>
        <w:rPr>
          <w:b/>
          <w:color w:val="111111"/>
          <w:spacing w:val="1"/>
        </w:rPr>
      </w:pPr>
      <w:r w:rsidRPr="0019457E">
        <w:rPr>
          <w:b/>
          <w:color w:val="001D35"/>
        </w:rPr>
        <w:t>La operativa bursátil de alta velocidad</w:t>
      </w:r>
    </w:p>
    <w:p w:rsidR="00530ABC" w:rsidRPr="0019457E" w:rsidRDefault="00530ABC" w:rsidP="00530ABC">
      <w:pPr>
        <w:shd w:val="clear" w:color="auto" w:fill="FFFFFF"/>
        <w:spacing w:line="240" w:lineRule="auto"/>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sz w:val="24"/>
          <w:szCs w:val="24"/>
          <w:lang w:eastAsia="es-ES"/>
        </w:rPr>
        <w:t>La operativa bursátil de alta velocidad, también conocida como High Frequency Trading (HFT), es una estrategia que utiliza algoritmos complejos y sistemas informáticos de alta velocidad para ejecutar un gran número de órdenes de compra y venta en fracciones de segundo. Esta técnica aprovecha las pequeñas fluctuaciones de precios y las oportunidades fugaces del mercado, buscando obtener beneficios en un corto período de tiempo. </w:t>
      </w:r>
    </w:p>
    <w:p w:rsidR="00530ABC" w:rsidRPr="0019457E" w:rsidRDefault="00530ABC" w:rsidP="00530ABC">
      <w:pPr>
        <w:shd w:val="clear" w:color="auto" w:fill="FFFFFF"/>
        <w:spacing w:after="150" w:line="240" w:lineRule="auto"/>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sz w:val="24"/>
          <w:szCs w:val="24"/>
          <w:lang w:eastAsia="es-ES"/>
        </w:rPr>
        <w:t>Características principales del HFT:</w:t>
      </w:r>
    </w:p>
    <w:p w:rsidR="00530ABC" w:rsidRPr="0019457E" w:rsidRDefault="00530ABC" w:rsidP="00530ABC">
      <w:pPr>
        <w:numPr>
          <w:ilvl w:val="0"/>
          <w:numId w:val="9"/>
        </w:numPr>
        <w:shd w:val="clear" w:color="auto" w:fill="FFFFFF"/>
        <w:spacing w:after="12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Automatización:</w:t>
      </w:r>
    </w:p>
    <w:p w:rsidR="00530ABC" w:rsidRPr="0019457E" w:rsidRDefault="00530ABC" w:rsidP="00530ABC">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Se basa en sistemas informáticos y algoritmos que analizan datos del mercado y ejecutan operaciones de forma automática, sin intervención humana. </w:t>
      </w:r>
    </w:p>
    <w:p w:rsidR="00530ABC" w:rsidRPr="0019457E" w:rsidRDefault="00530ABC" w:rsidP="00530ABC">
      <w:pPr>
        <w:numPr>
          <w:ilvl w:val="0"/>
          <w:numId w:val="9"/>
        </w:numPr>
        <w:shd w:val="clear" w:color="auto" w:fill="FFFFFF"/>
        <w:spacing w:after="12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Velocidad:</w:t>
      </w:r>
    </w:p>
    <w:p w:rsidR="00530ABC" w:rsidRDefault="00530ABC" w:rsidP="00530ABC">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Las operaciones se realizan en milisegundos o incluso microsegundos, permitiendo aprovechar oportunidades de mercado que duran fracciones de segundo. </w:t>
      </w:r>
    </w:p>
    <w:p w:rsidR="00F01C05" w:rsidRDefault="00F01C05" w:rsidP="00530ABC">
      <w:pPr>
        <w:shd w:val="clear" w:color="auto" w:fill="FFFFFF"/>
        <w:spacing w:after="120" w:line="240" w:lineRule="auto"/>
        <w:jc w:val="both"/>
        <w:rPr>
          <w:rFonts w:ascii="Times New Roman" w:eastAsia="Times New Roman" w:hAnsi="Times New Roman" w:cs="Times New Roman"/>
          <w:spacing w:val="2"/>
          <w:sz w:val="24"/>
          <w:szCs w:val="24"/>
          <w:lang w:eastAsia="es-ES"/>
        </w:rPr>
      </w:pPr>
    </w:p>
    <w:p w:rsidR="00F01C05" w:rsidRPr="0019457E" w:rsidRDefault="00F01C05" w:rsidP="00530ABC">
      <w:pPr>
        <w:shd w:val="clear" w:color="auto" w:fill="FFFFFF"/>
        <w:spacing w:after="120" w:line="240" w:lineRule="auto"/>
        <w:jc w:val="both"/>
        <w:rPr>
          <w:rFonts w:ascii="Times New Roman" w:eastAsia="Times New Roman" w:hAnsi="Times New Roman" w:cs="Times New Roman"/>
          <w:spacing w:val="2"/>
          <w:sz w:val="24"/>
          <w:szCs w:val="24"/>
          <w:lang w:eastAsia="es-ES"/>
        </w:rPr>
      </w:pPr>
    </w:p>
    <w:p w:rsidR="00530ABC" w:rsidRPr="0019457E" w:rsidRDefault="00530ABC" w:rsidP="00530ABC">
      <w:pPr>
        <w:numPr>
          <w:ilvl w:val="0"/>
          <w:numId w:val="9"/>
        </w:numPr>
        <w:shd w:val="clear" w:color="auto" w:fill="FFFFFF"/>
        <w:spacing w:after="12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lastRenderedPageBreak/>
        <w:t>Volumen:</w:t>
      </w:r>
    </w:p>
    <w:p w:rsidR="00530ABC" w:rsidRPr="0019457E" w:rsidRDefault="00530ABC" w:rsidP="00530ABC">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El HFT implica un gran volumen de operaciones, aunque cada una de ellas pueda generar beneficios pequeños. </w:t>
      </w:r>
    </w:p>
    <w:p w:rsidR="00530ABC" w:rsidRPr="0019457E" w:rsidRDefault="00530ABC" w:rsidP="00530ABC">
      <w:pPr>
        <w:numPr>
          <w:ilvl w:val="0"/>
          <w:numId w:val="9"/>
        </w:numPr>
        <w:shd w:val="clear" w:color="auto" w:fill="FFFFFF"/>
        <w:spacing w:after="12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Baja latencia:</w:t>
      </w:r>
    </w:p>
    <w:p w:rsidR="00530ABC" w:rsidRPr="0019457E" w:rsidRDefault="00530ABC" w:rsidP="00530ABC">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Los operadores de HFT buscan reducir al mínimo el tiempo de retraso en la transmisión de datos y la ejecución de órdenes, a menudo utilizando técnicas de co-ubicación (colocar sus servidores cerca de los centros de intercambio). </w:t>
      </w:r>
    </w:p>
    <w:p w:rsidR="00530ABC" w:rsidRPr="0019457E" w:rsidRDefault="00530ABC" w:rsidP="00530ABC">
      <w:pPr>
        <w:numPr>
          <w:ilvl w:val="0"/>
          <w:numId w:val="9"/>
        </w:numPr>
        <w:shd w:val="clear" w:color="auto" w:fill="FFFFFF"/>
        <w:spacing w:after="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Mercados líquidos:</w:t>
      </w:r>
    </w:p>
    <w:p w:rsidR="00530ABC" w:rsidRPr="0019457E" w:rsidRDefault="00530ABC" w:rsidP="00530ABC">
      <w:pPr>
        <w:shd w:val="clear" w:color="auto" w:fill="FFFFFF"/>
        <w:spacing w:after="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El HFT se utiliza principalmente en mercados con alta liquidez y volumen, como acciones, futuros, opciones y divisas. </w:t>
      </w:r>
    </w:p>
    <w:p w:rsidR="00530ABC" w:rsidRPr="0019457E" w:rsidRDefault="00530ABC" w:rsidP="00530ABC">
      <w:pPr>
        <w:shd w:val="clear" w:color="auto" w:fill="FFFFFF"/>
        <w:spacing w:after="150" w:line="240" w:lineRule="auto"/>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sz w:val="24"/>
          <w:szCs w:val="24"/>
          <w:lang w:eastAsia="es-ES"/>
        </w:rPr>
        <w:t>¿Cómo funciona?</w:t>
      </w:r>
    </w:p>
    <w:p w:rsidR="00530ABC" w:rsidRPr="0019457E" w:rsidRDefault="00530ABC" w:rsidP="00530ABC">
      <w:pPr>
        <w:shd w:val="clear" w:color="auto" w:fill="FFFFFF"/>
        <w:spacing w:after="12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1. Análisis de datos:</w:t>
      </w:r>
    </w:p>
    <w:p w:rsidR="00530ABC" w:rsidRPr="0019457E" w:rsidRDefault="00530ABC" w:rsidP="00530ABC">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Algoritmos complejos analizan grandes cantidades de datos del mercado en tiempo real, buscando patrones y oportunidades.</w:t>
      </w:r>
    </w:p>
    <w:p w:rsidR="00530ABC" w:rsidRPr="0019457E" w:rsidRDefault="00530ABC" w:rsidP="00530ABC">
      <w:pPr>
        <w:shd w:val="clear" w:color="auto" w:fill="FFFFFF"/>
        <w:spacing w:after="12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2. Ejecución de órdenes:</w:t>
      </w:r>
    </w:p>
    <w:p w:rsidR="00530ABC" w:rsidRPr="0019457E" w:rsidRDefault="00530ABC" w:rsidP="00530ABC">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Una vez identificada una oportunidad, los algoritmos envían órdenes de compra o venta de forma automatizada, aprovechando la velocidad de ejecución.</w:t>
      </w:r>
    </w:p>
    <w:p w:rsidR="00530ABC" w:rsidRPr="0019457E" w:rsidRDefault="00530ABC" w:rsidP="00530ABC">
      <w:pPr>
        <w:shd w:val="clear" w:color="auto" w:fill="FFFFFF"/>
        <w:spacing w:after="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3. Cierre de posiciones:</w:t>
      </w:r>
    </w:p>
    <w:p w:rsidR="00530ABC" w:rsidRPr="0019457E" w:rsidRDefault="00530ABC" w:rsidP="00530ABC">
      <w:pPr>
        <w:shd w:val="clear" w:color="auto" w:fill="FFFFFF"/>
        <w:spacing w:after="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Las posiciones se suelen cerrar en un corto período de tiempo, buscando obtener beneficios antes de que los precios cambien significativamente. </w:t>
      </w:r>
    </w:p>
    <w:p w:rsidR="00530ABC" w:rsidRPr="0019457E" w:rsidRDefault="00530ABC" w:rsidP="00530ABC">
      <w:pPr>
        <w:shd w:val="clear" w:color="auto" w:fill="FFFFFF"/>
        <w:spacing w:after="150" w:line="240" w:lineRule="auto"/>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sz w:val="24"/>
          <w:szCs w:val="24"/>
          <w:lang w:eastAsia="es-ES"/>
        </w:rPr>
        <w:t>Ventajas del HFT:</w:t>
      </w:r>
    </w:p>
    <w:p w:rsidR="00530ABC" w:rsidRPr="0019457E" w:rsidRDefault="00530ABC" w:rsidP="00530ABC">
      <w:pPr>
        <w:numPr>
          <w:ilvl w:val="0"/>
          <w:numId w:val="10"/>
        </w:numPr>
        <w:shd w:val="clear" w:color="auto" w:fill="FFFFFF"/>
        <w:spacing w:after="12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Mayor liquidez:</w:t>
      </w:r>
    </w:p>
    <w:p w:rsidR="00530ABC" w:rsidRPr="0019457E" w:rsidRDefault="00530ABC" w:rsidP="00530ABC">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El HFT puede aumentar la liquidez del mercado al generar un gran número de órdenes de compra y venta.</w:t>
      </w:r>
    </w:p>
    <w:p w:rsidR="00530ABC" w:rsidRPr="0019457E" w:rsidRDefault="00530ABC" w:rsidP="00530ABC">
      <w:pPr>
        <w:numPr>
          <w:ilvl w:val="0"/>
          <w:numId w:val="10"/>
        </w:numPr>
        <w:shd w:val="clear" w:color="auto" w:fill="FFFFFF"/>
        <w:spacing w:after="12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Reducción de spreads:</w:t>
      </w:r>
    </w:p>
    <w:p w:rsidR="00530ABC" w:rsidRPr="0019457E" w:rsidRDefault="00530ABC" w:rsidP="00530ABC">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La mayor liquidez puede llevar a una reducción de los diferenciales (spreads) entre los precios de compra y venta.</w:t>
      </w:r>
    </w:p>
    <w:p w:rsidR="00530ABC" w:rsidRPr="0019457E" w:rsidRDefault="00530ABC" w:rsidP="00530ABC">
      <w:pPr>
        <w:numPr>
          <w:ilvl w:val="0"/>
          <w:numId w:val="10"/>
        </w:numPr>
        <w:shd w:val="clear" w:color="auto" w:fill="FFFFFF"/>
        <w:spacing w:after="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Mejora de la eficiencia:</w:t>
      </w:r>
    </w:p>
    <w:p w:rsidR="00530ABC" w:rsidRPr="0019457E" w:rsidRDefault="00530ABC" w:rsidP="00530ABC">
      <w:pPr>
        <w:shd w:val="clear" w:color="auto" w:fill="FFFFFF"/>
        <w:spacing w:after="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El HFT puede mejorar la eficiencia del mercado al facilitar la ejecución rápida de órdenes. </w:t>
      </w:r>
    </w:p>
    <w:p w:rsidR="00530ABC" w:rsidRPr="0019457E" w:rsidRDefault="00530ABC" w:rsidP="00530ABC">
      <w:pPr>
        <w:shd w:val="clear" w:color="auto" w:fill="FFFFFF"/>
        <w:spacing w:after="150" w:line="240" w:lineRule="auto"/>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sz w:val="24"/>
          <w:szCs w:val="24"/>
          <w:lang w:eastAsia="es-ES"/>
        </w:rPr>
        <w:t>Desventajas del HFT:</w:t>
      </w:r>
    </w:p>
    <w:p w:rsidR="00530ABC" w:rsidRPr="0019457E" w:rsidRDefault="00530ABC" w:rsidP="00530ABC">
      <w:pPr>
        <w:numPr>
          <w:ilvl w:val="0"/>
          <w:numId w:val="11"/>
        </w:numPr>
        <w:shd w:val="clear" w:color="auto" w:fill="FFFFFF"/>
        <w:spacing w:after="12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Riesgo de volatilidad:</w:t>
      </w:r>
    </w:p>
    <w:p w:rsidR="00530ABC" w:rsidRPr="0019457E" w:rsidRDefault="00530ABC" w:rsidP="00530ABC">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El HFT puede contribuir a una mayor volatilidad del mercado en ciertos momentos, especialmente en caso de errores o fallos en los sistemas.</w:t>
      </w:r>
    </w:p>
    <w:p w:rsidR="00530ABC" w:rsidRPr="0019457E" w:rsidRDefault="00530ABC" w:rsidP="00530ABC">
      <w:pPr>
        <w:numPr>
          <w:ilvl w:val="0"/>
          <w:numId w:val="11"/>
        </w:numPr>
        <w:shd w:val="clear" w:color="auto" w:fill="FFFFFF"/>
        <w:spacing w:after="12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Desigualdad:</w:t>
      </w:r>
    </w:p>
    <w:p w:rsidR="00530ABC" w:rsidRPr="0019457E" w:rsidRDefault="00530ABC" w:rsidP="00530ABC">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Algunos críticos argumentan que el HFT puede dar una ventaja injusta a los operadores con acceso a tecnología más avanzada.</w:t>
      </w:r>
    </w:p>
    <w:p w:rsidR="00530ABC" w:rsidRPr="0019457E" w:rsidRDefault="00530ABC" w:rsidP="00530ABC">
      <w:pPr>
        <w:numPr>
          <w:ilvl w:val="0"/>
          <w:numId w:val="11"/>
        </w:numPr>
        <w:shd w:val="clear" w:color="auto" w:fill="FFFFFF"/>
        <w:spacing w:after="0" w:line="240" w:lineRule="auto"/>
        <w:ind w:left="-420"/>
        <w:jc w:val="both"/>
        <w:rPr>
          <w:rFonts w:ascii="Times New Roman" w:eastAsia="Times New Roman" w:hAnsi="Times New Roman" w:cs="Times New Roman"/>
          <w:sz w:val="24"/>
          <w:szCs w:val="24"/>
          <w:lang w:eastAsia="es-ES"/>
        </w:rPr>
      </w:pPr>
      <w:r w:rsidRPr="0019457E">
        <w:rPr>
          <w:rFonts w:ascii="Times New Roman" w:eastAsia="Times New Roman" w:hAnsi="Times New Roman" w:cs="Times New Roman"/>
          <w:b/>
          <w:bCs/>
          <w:sz w:val="24"/>
          <w:szCs w:val="24"/>
          <w:lang w:eastAsia="es-ES"/>
        </w:rPr>
        <w:t>Posibles manipulación del mercado:</w:t>
      </w:r>
    </w:p>
    <w:p w:rsidR="00530ABC" w:rsidRPr="0019457E" w:rsidRDefault="00530ABC" w:rsidP="00530ABC">
      <w:pPr>
        <w:shd w:val="clear" w:color="auto" w:fill="FFFFFF"/>
        <w:spacing w:after="0" w:line="240" w:lineRule="auto"/>
        <w:jc w:val="both"/>
        <w:rPr>
          <w:rFonts w:ascii="Times New Roman" w:eastAsia="Times New Roman" w:hAnsi="Times New Roman" w:cs="Times New Roman"/>
          <w:spacing w:val="2"/>
          <w:sz w:val="24"/>
          <w:szCs w:val="24"/>
          <w:lang w:eastAsia="es-ES"/>
        </w:rPr>
      </w:pPr>
      <w:r w:rsidRPr="0019457E">
        <w:rPr>
          <w:rFonts w:ascii="Times New Roman" w:eastAsia="Times New Roman" w:hAnsi="Times New Roman" w:cs="Times New Roman"/>
          <w:spacing w:val="2"/>
          <w:sz w:val="24"/>
          <w:szCs w:val="24"/>
          <w:lang w:eastAsia="es-ES"/>
        </w:rPr>
        <w:t>Existen preocupaciones sobre la posibilidad de que el HFT se utilice para manipular los precios del mercado. </w:t>
      </w:r>
    </w:p>
    <w:p w:rsidR="00530ABC" w:rsidRPr="0019457E" w:rsidRDefault="00530ABC" w:rsidP="00530ABC">
      <w:pPr>
        <w:shd w:val="clear" w:color="auto" w:fill="FFFFFF"/>
        <w:spacing w:after="0" w:line="330" w:lineRule="atLeast"/>
        <w:rPr>
          <w:rFonts w:ascii="Times New Roman" w:eastAsia="Times New Roman" w:hAnsi="Times New Roman" w:cs="Times New Roman"/>
          <w:color w:val="545D7E"/>
          <w:spacing w:val="2"/>
          <w:sz w:val="24"/>
          <w:szCs w:val="24"/>
          <w:lang w:eastAsia="es-ES"/>
        </w:rPr>
      </w:pPr>
    </w:p>
    <w:p w:rsidR="0008631D" w:rsidRDefault="00530ABC" w:rsidP="0008631D">
      <w:pPr>
        <w:shd w:val="clear" w:color="auto" w:fill="FFFFFF"/>
        <w:spacing w:line="240" w:lineRule="auto"/>
        <w:rPr>
          <w:rFonts w:ascii="Times New Roman" w:eastAsia="Times New Roman" w:hAnsi="Times New Roman" w:cs="Times New Roman"/>
          <w:color w:val="001D35"/>
          <w:sz w:val="24"/>
          <w:szCs w:val="24"/>
          <w:lang w:eastAsia="es-ES"/>
        </w:rPr>
      </w:pPr>
      <w:r w:rsidRPr="0019457E">
        <w:rPr>
          <w:rFonts w:ascii="Times New Roman" w:eastAsia="Times New Roman" w:hAnsi="Times New Roman" w:cs="Times New Roman"/>
          <w:color w:val="001D35"/>
          <w:sz w:val="24"/>
          <w:szCs w:val="24"/>
          <w:lang w:eastAsia="es-ES"/>
        </w:rPr>
        <w:lastRenderedPageBreak/>
        <w:t>En resumen, el HFT es una estrategia de inversión que busca aprovechar las oportunidades de mercado de alta velocidad a través de sistemas automatizados y algoritmos complejos. Si bien puede aportar beneficios como la mejora de la liquidez y la eficiencia, también plantea desafíos en términos de volatilidad y posibles riesgos de manipulación. </w:t>
      </w:r>
    </w:p>
    <w:p w:rsidR="0008631D" w:rsidRDefault="00D339F9" w:rsidP="0008631D">
      <w:pPr>
        <w:shd w:val="clear" w:color="auto" w:fill="FFFFFF"/>
        <w:spacing w:line="240" w:lineRule="auto"/>
        <w:rPr>
          <w:rFonts w:ascii="Times New Roman" w:eastAsia="Times New Roman" w:hAnsi="Times New Roman" w:cs="Times New Roman"/>
          <w:b/>
          <w:color w:val="001D35"/>
          <w:sz w:val="24"/>
          <w:szCs w:val="24"/>
          <w:lang w:eastAsia="es-ES"/>
        </w:rPr>
      </w:pPr>
      <w:r w:rsidRPr="00900F5B">
        <w:rPr>
          <w:rFonts w:ascii="Times New Roman" w:eastAsia="Times New Roman" w:hAnsi="Times New Roman" w:cs="Times New Roman"/>
          <w:b/>
          <w:color w:val="001D35"/>
          <w:sz w:val="24"/>
          <w:szCs w:val="24"/>
          <w:lang w:eastAsia="es-ES"/>
        </w:rPr>
        <w:t>La era de los excesos (</w:t>
      </w:r>
      <w:r w:rsidR="00900F5B" w:rsidRPr="00900F5B">
        <w:rPr>
          <w:rFonts w:ascii="Times New Roman" w:eastAsia="Times New Roman" w:hAnsi="Times New Roman" w:cs="Times New Roman"/>
          <w:b/>
          <w:color w:val="001D35"/>
          <w:sz w:val="24"/>
          <w:szCs w:val="24"/>
          <w:lang w:eastAsia="es-ES"/>
        </w:rPr>
        <w:t>¿por qué lloró Fibonacci?)</w:t>
      </w:r>
    </w:p>
    <w:p w:rsidR="00900F5B" w:rsidRPr="002C5383" w:rsidRDefault="00900F5B" w:rsidP="00900F5B">
      <w:pPr>
        <w:shd w:val="clear" w:color="auto" w:fill="FFFFFF"/>
        <w:spacing w:line="240" w:lineRule="auto"/>
        <w:jc w:val="both"/>
        <w:textAlignment w:val="baseline"/>
        <w:rPr>
          <w:rFonts w:ascii="Times New Roman" w:hAnsi="Times New Roman" w:cs="Times New Roman"/>
          <w:sz w:val="24"/>
          <w:szCs w:val="24"/>
        </w:rPr>
      </w:pPr>
      <w:r w:rsidRPr="002C5383">
        <w:rPr>
          <w:rFonts w:ascii="Times New Roman" w:hAnsi="Times New Roman" w:cs="Times New Roman"/>
          <w:sz w:val="24"/>
          <w:szCs w:val="24"/>
        </w:rPr>
        <w:t>El mundo está lleno de “terraplanistas”. Drogodependientes de las redes, Gente que pierde la memoria y echa mano del móvil; un recurso que a menudo limita el conocimiento.</w:t>
      </w:r>
    </w:p>
    <w:p w:rsidR="00E80D1B" w:rsidRPr="002C5383" w:rsidRDefault="00900F5B" w:rsidP="00900F5B">
      <w:pPr>
        <w:shd w:val="clear" w:color="auto" w:fill="FFFFFF"/>
        <w:spacing w:line="240" w:lineRule="auto"/>
        <w:jc w:val="both"/>
        <w:textAlignment w:val="baseline"/>
        <w:rPr>
          <w:rFonts w:ascii="Times New Roman" w:hAnsi="Times New Roman" w:cs="Times New Roman"/>
          <w:sz w:val="24"/>
          <w:szCs w:val="24"/>
        </w:rPr>
      </w:pPr>
      <w:r w:rsidRPr="002C5383">
        <w:rPr>
          <w:rFonts w:ascii="Times New Roman" w:hAnsi="Times New Roman" w:cs="Times New Roman"/>
          <w:sz w:val="24"/>
          <w:szCs w:val="24"/>
        </w:rPr>
        <w:t xml:space="preserve">A ese desconocimiento generalizado, conformismo, resignación, consenso, aceptación, armonía, inercia, seguidismo, espíritu de manada, </w:t>
      </w:r>
      <w:r w:rsidR="00093940" w:rsidRPr="002C5383">
        <w:rPr>
          <w:rFonts w:ascii="Times New Roman" w:hAnsi="Times New Roman" w:cs="Times New Roman"/>
          <w:sz w:val="24"/>
          <w:szCs w:val="24"/>
        </w:rPr>
        <w:t>ac</w:t>
      </w:r>
      <w:r w:rsidRPr="002C5383">
        <w:rPr>
          <w:rFonts w:ascii="Times New Roman" w:hAnsi="Times New Roman" w:cs="Times New Roman"/>
          <w:sz w:val="24"/>
          <w:szCs w:val="24"/>
        </w:rPr>
        <w:t>arreo, estabulación, contribuyen -todo hay que decirlo- figuras señeras de la Ivy</w:t>
      </w:r>
      <w:r w:rsidR="00E80D1B" w:rsidRPr="002C5383">
        <w:rPr>
          <w:rFonts w:ascii="Times New Roman" w:hAnsi="Times New Roman" w:cs="Times New Roman"/>
          <w:sz w:val="24"/>
          <w:szCs w:val="24"/>
        </w:rPr>
        <w:t xml:space="preserve"> League, y toda una</w:t>
      </w:r>
      <w:r w:rsidRPr="002C5383">
        <w:rPr>
          <w:rFonts w:ascii="Times New Roman" w:hAnsi="Times New Roman" w:cs="Times New Roman"/>
          <w:sz w:val="24"/>
          <w:szCs w:val="24"/>
        </w:rPr>
        <w:t xml:space="preserve"> corte de estómagos agradecidos</w:t>
      </w:r>
      <w:r w:rsidR="00E80D1B" w:rsidRPr="002C5383">
        <w:rPr>
          <w:rFonts w:ascii="Times New Roman" w:hAnsi="Times New Roman" w:cs="Times New Roman"/>
          <w:sz w:val="24"/>
          <w:szCs w:val="24"/>
        </w:rPr>
        <w:t xml:space="preserve"> y lameculos sin frontera</w:t>
      </w:r>
      <w:r w:rsidRPr="002C5383">
        <w:rPr>
          <w:rFonts w:ascii="Times New Roman" w:hAnsi="Times New Roman" w:cs="Times New Roman"/>
          <w:sz w:val="24"/>
          <w:szCs w:val="24"/>
        </w:rPr>
        <w:t xml:space="preserve"> -</w:t>
      </w:r>
      <w:r w:rsidR="00093940" w:rsidRPr="002C5383">
        <w:rPr>
          <w:rFonts w:ascii="Times New Roman" w:hAnsi="Times New Roman" w:cs="Times New Roman"/>
          <w:sz w:val="24"/>
          <w:szCs w:val="24"/>
        </w:rPr>
        <w:t xml:space="preserve">grandes bonetes, vacas sagradas, </w:t>
      </w:r>
      <w:r w:rsidRPr="002C5383">
        <w:rPr>
          <w:rFonts w:ascii="Times New Roman" w:hAnsi="Times New Roman" w:cs="Times New Roman"/>
          <w:sz w:val="24"/>
          <w:szCs w:val="24"/>
        </w:rPr>
        <w:t>gurús mediáticos, analistas de pos</w:t>
      </w:r>
      <w:r w:rsidR="00093940" w:rsidRPr="002C5383">
        <w:rPr>
          <w:rFonts w:ascii="Times New Roman" w:hAnsi="Times New Roman" w:cs="Times New Roman"/>
          <w:sz w:val="24"/>
          <w:szCs w:val="24"/>
        </w:rPr>
        <w:t xml:space="preserve">tín, </w:t>
      </w:r>
      <w:r w:rsidRPr="002C5383">
        <w:rPr>
          <w:rFonts w:ascii="Times New Roman" w:hAnsi="Times New Roman" w:cs="Times New Roman"/>
          <w:sz w:val="24"/>
          <w:szCs w:val="24"/>
        </w:rPr>
        <w:t>grupo</w:t>
      </w:r>
      <w:r w:rsidR="00E80D1B" w:rsidRPr="002C5383">
        <w:rPr>
          <w:rFonts w:ascii="Times New Roman" w:hAnsi="Times New Roman" w:cs="Times New Roman"/>
          <w:sz w:val="24"/>
          <w:szCs w:val="24"/>
        </w:rPr>
        <w:t>s</w:t>
      </w:r>
      <w:r w:rsidRPr="002C5383">
        <w:rPr>
          <w:rFonts w:ascii="Times New Roman" w:hAnsi="Times New Roman" w:cs="Times New Roman"/>
          <w:sz w:val="24"/>
          <w:szCs w:val="24"/>
        </w:rPr>
        <w:t xml:space="preserve"> de opinión sincro</w:t>
      </w:r>
      <w:r w:rsidR="00E80D1B" w:rsidRPr="002C5383">
        <w:rPr>
          <w:rFonts w:ascii="Times New Roman" w:hAnsi="Times New Roman" w:cs="Times New Roman"/>
          <w:sz w:val="24"/>
          <w:szCs w:val="24"/>
        </w:rPr>
        <w:t xml:space="preserve">nizada, </w:t>
      </w:r>
      <w:r w:rsidR="00093940" w:rsidRPr="002C5383">
        <w:rPr>
          <w:rFonts w:ascii="Times New Roman" w:hAnsi="Times New Roman" w:cs="Times New Roman"/>
          <w:sz w:val="24"/>
          <w:szCs w:val="24"/>
        </w:rPr>
        <w:t xml:space="preserve">periodistas </w:t>
      </w:r>
      <w:r w:rsidR="00E80D1B" w:rsidRPr="002C5383">
        <w:rPr>
          <w:rFonts w:ascii="Times New Roman" w:hAnsi="Times New Roman" w:cs="Times New Roman"/>
          <w:sz w:val="24"/>
          <w:szCs w:val="24"/>
        </w:rPr>
        <w:t xml:space="preserve">empotrados, </w:t>
      </w:r>
      <w:r w:rsidR="00093940" w:rsidRPr="002C5383">
        <w:rPr>
          <w:rFonts w:ascii="Times New Roman" w:hAnsi="Times New Roman" w:cs="Times New Roman"/>
          <w:sz w:val="24"/>
          <w:szCs w:val="24"/>
        </w:rPr>
        <w:t xml:space="preserve">escribas </w:t>
      </w:r>
      <w:r w:rsidR="00E80D1B" w:rsidRPr="002C5383">
        <w:rPr>
          <w:rFonts w:ascii="Times New Roman" w:hAnsi="Times New Roman" w:cs="Times New Roman"/>
          <w:sz w:val="24"/>
          <w:szCs w:val="24"/>
        </w:rPr>
        <w:t xml:space="preserve">ensobrados-, que deberían ser los que iluminaran a los ahorristas (potenciales inversores) a la hora de distinguir o diferenciar claramente dos cosas que son distintas o que no deberían mezclarse (a separar las churras de las merinas). </w:t>
      </w:r>
      <w:r w:rsidRPr="002C5383">
        <w:rPr>
          <w:rFonts w:ascii="Times New Roman" w:hAnsi="Times New Roman" w:cs="Times New Roman"/>
          <w:sz w:val="24"/>
          <w:szCs w:val="24"/>
        </w:rPr>
        <w:t xml:space="preserve"> </w:t>
      </w:r>
    </w:p>
    <w:p w:rsidR="00631B17" w:rsidRPr="002C5383" w:rsidRDefault="00E80D1B" w:rsidP="00900F5B">
      <w:pPr>
        <w:shd w:val="clear" w:color="auto" w:fill="FFFFFF"/>
        <w:spacing w:line="240" w:lineRule="auto"/>
        <w:jc w:val="both"/>
        <w:textAlignment w:val="baseline"/>
        <w:rPr>
          <w:rFonts w:ascii="Times New Roman" w:hAnsi="Times New Roman" w:cs="Times New Roman"/>
          <w:sz w:val="24"/>
          <w:szCs w:val="24"/>
        </w:rPr>
      </w:pPr>
      <w:r w:rsidRPr="002C5383">
        <w:rPr>
          <w:rFonts w:ascii="Times New Roman" w:hAnsi="Times New Roman" w:cs="Times New Roman"/>
          <w:sz w:val="24"/>
          <w:szCs w:val="24"/>
        </w:rPr>
        <w:t>¿Se puede atribuir esa falencia al</w:t>
      </w:r>
      <w:r w:rsidR="00900F5B" w:rsidRPr="002C5383">
        <w:rPr>
          <w:rFonts w:ascii="Times New Roman" w:hAnsi="Times New Roman" w:cs="Times New Roman"/>
          <w:sz w:val="24"/>
          <w:szCs w:val="24"/>
        </w:rPr>
        <w:t xml:space="preserve"> opio de los intelectuales?</w:t>
      </w:r>
      <w:r w:rsidRPr="002C5383">
        <w:rPr>
          <w:rFonts w:ascii="Times New Roman" w:hAnsi="Times New Roman" w:cs="Times New Roman"/>
          <w:sz w:val="24"/>
          <w:szCs w:val="24"/>
        </w:rPr>
        <w:t xml:space="preserve"> ¿O estamos ante un caso flagrante de connivencia culpo</w:t>
      </w:r>
      <w:r w:rsidR="00631B17" w:rsidRPr="002C5383">
        <w:rPr>
          <w:rFonts w:ascii="Times New Roman" w:hAnsi="Times New Roman" w:cs="Times New Roman"/>
          <w:sz w:val="24"/>
          <w:szCs w:val="24"/>
        </w:rPr>
        <w:t xml:space="preserve">sa, </w:t>
      </w:r>
      <w:r w:rsidRPr="002C5383">
        <w:rPr>
          <w:rFonts w:ascii="Times New Roman" w:hAnsi="Times New Roman" w:cs="Times New Roman"/>
          <w:sz w:val="24"/>
          <w:szCs w:val="24"/>
        </w:rPr>
        <w:t>dejación de responsabilidad social, ceguera voluntaria</w:t>
      </w:r>
      <w:r w:rsidR="00631B17" w:rsidRPr="002C5383">
        <w:rPr>
          <w:rFonts w:ascii="Times New Roman" w:hAnsi="Times New Roman" w:cs="Times New Roman"/>
          <w:sz w:val="24"/>
          <w:szCs w:val="24"/>
        </w:rPr>
        <w:t>, negación de la evidencia, complicidad, corrupción… o directamente, indiferencia ante la “manada”?</w:t>
      </w:r>
    </w:p>
    <w:p w:rsidR="00900F5B" w:rsidRPr="002C5383" w:rsidRDefault="00631B17" w:rsidP="00900F5B">
      <w:pPr>
        <w:shd w:val="clear" w:color="auto" w:fill="FFFFFF"/>
        <w:spacing w:line="240" w:lineRule="auto"/>
        <w:jc w:val="both"/>
        <w:textAlignment w:val="baseline"/>
        <w:rPr>
          <w:rFonts w:ascii="Times New Roman" w:hAnsi="Times New Roman" w:cs="Times New Roman"/>
          <w:sz w:val="24"/>
          <w:szCs w:val="24"/>
        </w:rPr>
      </w:pPr>
      <w:r w:rsidRPr="002C5383">
        <w:rPr>
          <w:rFonts w:ascii="Times New Roman" w:hAnsi="Times New Roman" w:cs="Times New Roman"/>
          <w:sz w:val="24"/>
          <w:szCs w:val="24"/>
        </w:rPr>
        <w:t xml:space="preserve">Aunque ya utilicé un título </w:t>
      </w:r>
      <w:r w:rsidR="00076800" w:rsidRPr="002C5383">
        <w:rPr>
          <w:rFonts w:ascii="Times New Roman" w:hAnsi="Times New Roman" w:cs="Times New Roman"/>
          <w:sz w:val="24"/>
          <w:szCs w:val="24"/>
        </w:rPr>
        <w:t xml:space="preserve">similar en algún Paper anterior: </w:t>
      </w:r>
      <w:r w:rsidR="00D664A1" w:rsidRPr="002C5383">
        <w:rPr>
          <w:rFonts w:ascii="Times New Roman" w:hAnsi="Times New Roman" w:cs="Times New Roman"/>
          <w:sz w:val="24"/>
          <w:szCs w:val="24"/>
        </w:rPr>
        <w:t>El día que Smith “lloró”</w:t>
      </w:r>
      <w:r w:rsidR="00076800" w:rsidRPr="002C5383">
        <w:rPr>
          <w:rFonts w:ascii="Times New Roman" w:hAnsi="Times New Roman" w:cs="Times New Roman"/>
          <w:sz w:val="24"/>
          <w:szCs w:val="24"/>
        </w:rPr>
        <w:t>, publicado el</w:t>
      </w:r>
      <w:r w:rsidR="00E80D1B" w:rsidRPr="002C5383">
        <w:rPr>
          <w:rFonts w:ascii="Times New Roman" w:hAnsi="Times New Roman" w:cs="Times New Roman"/>
          <w:sz w:val="24"/>
          <w:szCs w:val="24"/>
        </w:rPr>
        <w:t xml:space="preserve"> </w:t>
      </w:r>
      <w:r w:rsidRPr="002C5383">
        <w:rPr>
          <w:rFonts w:ascii="Times New Roman" w:hAnsi="Times New Roman" w:cs="Times New Roman"/>
          <w:sz w:val="24"/>
          <w:szCs w:val="24"/>
        </w:rPr>
        <w:t>24-5-2004</w:t>
      </w:r>
      <w:r w:rsidR="00076800" w:rsidRPr="002C5383">
        <w:rPr>
          <w:rFonts w:ascii="Times New Roman" w:hAnsi="Times New Roman" w:cs="Times New Roman"/>
          <w:sz w:val="24"/>
          <w:szCs w:val="24"/>
        </w:rPr>
        <w:t>, creo que puede resultar de interés rastrear el antecedente literario inspirador del encabezamiento.</w:t>
      </w:r>
    </w:p>
    <w:p w:rsidR="00900F5B" w:rsidRPr="002C5383" w:rsidRDefault="00D664A1" w:rsidP="00900F5B">
      <w:pPr>
        <w:shd w:val="clear" w:color="auto" w:fill="FFFFFF"/>
        <w:spacing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“El día que Nietzsche lloró”</w:t>
      </w:r>
      <w:r w:rsidR="00900F5B" w:rsidRPr="002C5383">
        <w:rPr>
          <w:rFonts w:ascii="Times New Roman" w:eastAsia="Times New Roman" w:hAnsi="Times New Roman" w:cs="Times New Roman"/>
          <w:sz w:val="24"/>
          <w:szCs w:val="24"/>
          <w:lang w:eastAsia="es-ES"/>
        </w:rPr>
        <w:t xml:space="preserve"> es una novela de ficción escrita por Irvin D. Yalom, publicada en 1992. La novela imagina un encuentro ficticio entre el filósofo Friedrich Nietzsche y el médico Josef Breuer, y explora temas como la filosofía, la psicología y la búsqueda del sentido de la vida. </w:t>
      </w:r>
    </w:p>
    <w:p w:rsidR="00900F5B" w:rsidRPr="002C5383" w:rsidRDefault="00900F5B" w:rsidP="00900F5B">
      <w:pPr>
        <w:shd w:val="clear" w:color="auto" w:fill="FFFFFF"/>
        <w:spacing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La novela se desarrolla en Viena, en el invierno de 1882, y presenta a Nietzsche como un hombre atormentado, con tendencias suicidas, que busca la ayuda de Breuer, un médico influenciado por las teorías de Sigmund Freud. Lou Andreas-Salomé, una joven intrigante, juega un papel clave en la reunión, buscando salvar la vida de Nietzsche y, al mismo tiempo, manipular la situación en beneficio propio. </w:t>
      </w:r>
    </w:p>
    <w:p w:rsidR="00900F5B" w:rsidRPr="002C5383" w:rsidRDefault="00900F5B" w:rsidP="00900F5B">
      <w:pPr>
        <w:shd w:val="clear" w:color="auto" w:fill="FFFFFF"/>
        <w:spacing w:after="18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¿Qué significa el día que Nietzsche lloro?</w:t>
      </w:r>
    </w:p>
    <w:p w:rsidR="00900F5B" w:rsidRPr="002C5383" w:rsidRDefault="00900F5B" w:rsidP="00900F5B">
      <w:pPr>
        <w:shd w:val="clear" w:color="auto" w:fill="FFFFFF"/>
        <w:spacing w:after="15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Nietzsche lloró cuando descubrió que el verdadero sentido de la vida era vivir por el “otro”; lloró cuando descubrió que no estaba solo en este mundo, algo que su ego le hizo creer.</w:t>
      </w:r>
    </w:p>
    <w:p w:rsidR="00900F5B" w:rsidRPr="002C5383" w:rsidRDefault="00900F5B" w:rsidP="00900F5B">
      <w:pPr>
        <w:shd w:val="clear" w:color="auto" w:fill="FFFFFF"/>
        <w:spacing w:after="18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¿Qué hizo llorar a Nietzsche?</w:t>
      </w:r>
    </w:p>
    <w:p w:rsidR="00900F5B" w:rsidRPr="002C5383" w:rsidRDefault="00900F5B" w:rsidP="00900F5B">
      <w:pPr>
        <w:shd w:val="clear" w:color="auto" w:fill="FFFFFF"/>
        <w:spacing w:after="15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Nietzsche va hacia el caballo y, ante los ojos del cochero, se abraza a su cuello y llora. Esto sucedió en 1889, cuando Nietzsche se había alejado ya de la gente.</w:t>
      </w:r>
    </w:p>
    <w:p w:rsidR="00900F5B" w:rsidRPr="002C5383" w:rsidRDefault="00900F5B" w:rsidP="00900F5B">
      <w:pPr>
        <w:shd w:val="clear" w:color="auto" w:fill="FFFFFF"/>
        <w:spacing w:after="18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¿Qué expresa Nietzsche?</w:t>
      </w:r>
    </w:p>
    <w:p w:rsidR="00900F5B" w:rsidRPr="002C5383" w:rsidRDefault="00900F5B" w:rsidP="00900F5B">
      <w:pPr>
        <w:shd w:val="clear" w:color="auto" w:fill="FFFFFF"/>
        <w:spacing w:after="15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Desde su enfoque ético la filosofía de Friedrich Nietzsche afirma que cada ser humano tiene la posibilidad, si así lo decide y trabaja duro por ello, de superar la heteronomía e inmadurez para caminar hacia una autonomía ética.</w:t>
      </w:r>
    </w:p>
    <w:p w:rsidR="00900F5B" w:rsidRPr="002C5383" w:rsidRDefault="00900F5B" w:rsidP="00900F5B">
      <w:pPr>
        <w:shd w:val="clear" w:color="auto" w:fill="FFFFFF"/>
        <w:spacing w:line="240" w:lineRule="auto"/>
        <w:jc w:val="both"/>
        <w:textAlignment w:val="baseline"/>
        <w:rPr>
          <w:rFonts w:ascii="Times New Roman" w:hAnsi="Times New Roman" w:cs="Times New Roman"/>
          <w:sz w:val="24"/>
          <w:szCs w:val="24"/>
        </w:rPr>
      </w:pPr>
      <w:r w:rsidRPr="002C5383">
        <w:rPr>
          <w:rFonts w:ascii="Times New Roman" w:hAnsi="Times New Roman" w:cs="Times New Roman"/>
          <w:sz w:val="24"/>
          <w:szCs w:val="24"/>
        </w:rPr>
        <w:t>¿Cuál fue la famosa frase de Nietzsche?</w:t>
      </w:r>
    </w:p>
    <w:p w:rsidR="00900F5B" w:rsidRPr="002C5383" w:rsidRDefault="002C5383" w:rsidP="00900F5B">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lastRenderedPageBreak/>
        <w:t>La cita “</w:t>
      </w:r>
      <w:r w:rsidR="00900F5B" w:rsidRPr="002C5383">
        <w:rPr>
          <w:rFonts w:ascii="Times New Roman" w:hAnsi="Times New Roman" w:cs="Times New Roman"/>
          <w:sz w:val="24"/>
          <w:szCs w:val="24"/>
        </w:rPr>
        <w:t>Lo que no</w:t>
      </w:r>
      <w:r>
        <w:rPr>
          <w:rFonts w:ascii="Times New Roman" w:hAnsi="Times New Roman" w:cs="Times New Roman"/>
          <w:sz w:val="24"/>
          <w:szCs w:val="24"/>
        </w:rPr>
        <w:t xml:space="preserve"> nos mata nos hace más fuertes”</w:t>
      </w:r>
      <w:r w:rsidR="00900F5B" w:rsidRPr="002C5383">
        <w:rPr>
          <w:rFonts w:ascii="Times New Roman" w:hAnsi="Times New Roman" w:cs="Times New Roman"/>
          <w:sz w:val="24"/>
          <w:szCs w:val="24"/>
        </w:rPr>
        <w:t xml:space="preserve"> resume la visión de Nietzsche de que la mejor vida es aquella que enfrenta las realidades de frente. También expresa su convicción de que el mejor individuo es aquel que es resiliente a pesar de la adversidad.</w:t>
      </w:r>
    </w:p>
    <w:p w:rsidR="00900F5B" w:rsidRPr="002C5383" w:rsidRDefault="00900F5B" w:rsidP="00900F5B">
      <w:pPr>
        <w:shd w:val="clear" w:color="auto" w:fill="FFFFFF"/>
        <w:spacing w:after="18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¿Cuáles fueron las últimas palabras de Nietzsche?</w:t>
      </w:r>
    </w:p>
    <w:p w:rsidR="00900F5B" w:rsidRPr="002C5383" w:rsidRDefault="00650F4C" w:rsidP="00900F5B">
      <w:pPr>
        <w:shd w:val="clear" w:color="auto" w:fill="FFFFFF"/>
        <w:spacing w:after="15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w:t>
      </w:r>
      <w:r w:rsidR="00900F5B" w:rsidRPr="002C5383">
        <w:rPr>
          <w:rFonts w:ascii="Times New Roman" w:eastAsia="Times New Roman" w:hAnsi="Times New Roman" w:cs="Times New Roman"/>
          <w:sz w:val="24"/>
          <w:szCs w:val="24"/>
          <w:lang w:eastAsia="es-ES"/>
        </w:rPr>
        <w:t xml:space="preserve">¡Muero, </w:t>
      </w:r>
      <w:r w:rsidRPr="002C5383">
        <w:rPr>
          <w:rFonts w:ascii="Times New Roman" w:eastAsia="Times New Roman" w:hAnsi="Times New Roman" w:cs="Times New Roman"/>
          <w:sz w:val="24"/>
          <w:szCs w:val="24"/>
          <w:lang w:eastAsia="es-ES"/>
        </w:rPr>
        <w:t>pero qué buen observador fui!”</w:t>
      </w:r>
    </w:p>
    <w:p w:rsidR="00650F4C" w:rsidRPr="002C5383" w:rsidRDefault="00650F4C" w:rsidP="00650F4C">
      <w:pPr>
        <w:shd w:val="clear" w:color="auto" w:fill="FFFFFF"/>
        <w:spacing w:after="15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b/>
          <w:sz w:val="24"/>
          <w:szCs w:val="24"/>
          <w:lang w:eastAsia="es-ES"/>
        </w:rPr>
        <w:t>Nota</w:t>
      </w:r>
      <w:r w:rsidRPr="002C5383">
        <w:rPr>
          <w:rFonts w:ascii="Times New Roman" w:eastAsia="Times New Roman" w:hAnsi="Times New Roman" w:cs="Times New Roman"/>
          <w:sz w:val="24"/>
          <w:szCs w:val="24"/>
          <w:lang w:eastAsia="es-ES"/>
        </w:rPr>
        <w:t xml:space="preserve">: podríamos dejarlo ahí, pero no me resisto a reproducir dos de las frases más famosas de Nietzsche, que también pueden ser útiles para el desarrollo de este Paper: </w:t>
      </w:r>
    </w:p>
    <w:p w:rsidR="00650F4C" w:rsidRPr="002C5383" w:rsidRDefault="00650F4C" w:rsidP="00650F4C">
      <w:pPr>
        <w:shd w:val="clear" w:color="auto" w:fill="FFFFFF"/>
        <w:spacing w:after="15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“La mentira más común es aquella con la que las personas se engañan a sí mismas”</w:t>
      </w:r>
      <w:r w:rsidR="00AD3197">
        <w:rPr>
          <w:rFonts w:ascii="Times New Roman" w:eastAsia="Times New Roman" w:hAnsi="Times New Roman" w:cs="Times New Roman"/>
          <w:sz w:val="24"/>
          <w:szCs w:val="24"/>
          <w:lang w:eastAsia="es-ES"/>
        </w:rPr>
        <w:t>.</w:t>
      </w:r>
    </w:p>
    <w:p w:rsidR="00650F4C" w:rsidRPr="002C5383" w:rsidRDefault="00650F4C" w:rsidP="00650F4C">
      <w:pPr>
        <w:shd w:val="clear" w:color="auto" w:fill="FFFFFF"/>
        <w:spacing w:after="15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“El camino a todo lo grandioso pasa por guardar silencio”</w:t>
      </w:r>
      <w:r w:rsidR="00AD3197">
        <w:rPr>
          <w:rFonts w:ascii="Times New Roman" w:eastAsia="Times New Roman" w:hAnsi="Times New Roman" w:cs="Times New Roman"/>
          <w:sz w:val="24"/>
          <w:szCs w:val="24"/>
          <w:lang w:eastAsia="es-ES"/>
        </w:rPr>
        <w:t>.</w:t>
      </w:r>
    </w:p>
    <w:p w:rsidR="00AD3197" w:rsidRDefault="00B80795" w:rsidP="00650F4C">
      <w:pPr>
        <w:shd w:val="clear" w:color="auto" w:fill="FFFFFF"/>
        <w:spacing w:after="15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Y antes de pasar la antorcha</w:t>
      </w:r>
      <w:r w:rsidR="00650F4C" w:rsidRPr="002C5383">
        <w:rPr>
          <w:rFonts w:ascii="Times New Roman" w:eastAsia="Times New Roman" w:hAnsi="Times New Roman" w:cs="Times New Roman"/>
          <w:sz w:val="24"/>
          <w:szCs w:val="24"/>
          <w:lang w:eastAsia="es-ES"/>
        </w:rPr>
        <w:t xml:space="preserve"> a Fibonacci, otro recuerdo literario que también puede ayudar: Del libro de Lou Marinoff “Más Platón y menos Prozac”, podemos sacar una </w:t>
      </w:r>
      <w:r w:rsidRPr="002C5383">
        <w:rPr>
          <w:rFonts w:ascii="Times New Roman" w:eastAsia="Times New Roman" w:hAnsi="Times New Roman" w:cs="Times New Roman"/>
          <w:sz w:val="24"/>
          <w:szCs w:val="24"/>
          <w:lang w:eastAsia="es-ES"/>
        </w:rPr>
        <w:t>última glosa</w:t>
      </w:r>
      <w:r w:rsidR="00650F4C" w:rsidRPr="002C5383">
        <w:rPr>
          <w:rFonts w:ascii="Times New Roman" w:eastAsia="Times New Roman" w:hAnsi="Times New Roman" w:cs="Times New Roman"/>
          <w:sz w:val="24"/>
          <w:szCs w:val="24"/>
          <w:lang w:eastAsia="es-ES"/>
        </w:rPr>
        <w:t>:</w:t>
      </w:r>
    </w:p>
    <w:p w:rsidR="00650F4C" w:rsidRPr="002C5383" w:rsidRDefault="00650F4C" w:rsidP="00650F4C">
      <w:pPr>
        <w:shd w:val="clear" w:color="auto" w:fill="FFFFFF"/>
        <w:spacing w:after="150" w:line="240" w:lineRule="auto"/>
        <w:jc w:val="both"/>
        <w:rPr>
          <w:rFonts w:ascii="Times New Roman" w:eastAsia="Times New Roman" w:hAnsi="Times New Roman" w:cs="Times New Roman"/>
          <w:sz w:val="24"/>
          <w:szCs w:val="24"/>
          <w:lang w:eastAsia="es-ES"/>
        </w:rPr>
      </w:pPr>
      <w:r w:rsidRPr="002C5383">
        <w:rPr>
          <w:rFonts w:ascii="Times New Roman" w:eastAsia="Times New Roman" w:hAnsi="Times New Roman" w:cs="Times New Roman"/>
          <w:sz w:val="24"/>
          <w:szCs w:val="24"/>
          <w:lang w:eastAsia="es-ES"/>
        </w:rPr>
        <w:t>“</w:t>
      </w:r>
      <w:r w:rsidR="00C44162" w:rsidRPr="002C5383">
        <w:rPr>
          <w:rFonts w:ascii="Times New Roman" w:eastAsia="Times New Roman" w:hAnsi="Times New Roman" w:cs="Times New Roman"/>
          <w:sz w:val="24"/>
          <w:szCs w:val="24"/>
          <w:lang w:eastAsia="es-ES"/>
        </w:rPr>
        <w:t>Más</w:t>
      </w:r>
      <w:r w:rsidRPr="002C5383">
        <w:rPr>
          <w:rFonts w:ascii="Times New Roman" w:eastAsia="Times New Roman" w:hAnsi="Times New Roman" w:cs="Times New Roman"/>
          <w:sz w:val="24"/>
          <w:szCs w:val="24"/>
          <w:lang w:eastAsia="es-ES"/>
        </w:rPr>
        <w:t xml:space="preserve"> análisis fundamental y menos análisis técnico” (el que quiera entender que entienda).</w:t>
      </w:r>
    </w:p>
    <w:p w:rsidR="00396E74" w:rsidRPr="002C5383" w:rsidRDefault="001344C6" w:rsidP="001344C6">
      <w:pPr>
        <w:spacing w:before="120" w:after="120" w:line="240" w:lineRule="auto"/>
        <w:jc w:val="both"/>
        <w:rPr>
          <w:rFonts w:ascii="Times New Roman" w:hAnsi="Times New Roman" w:cs="Times New Roman"/>
          <w:b/>
          <w:sz w:val="24"/>
          <w:szCs w:val="24"/>
        </w:rPr>
      </w:pPr>
      <w:r w:rsidRPr="002C5383">
        <w:rPr>
          <w:rFonts w:ascii="Times New Roman" w:hAnsi="Times New Roman" w:cs="Times New Roman"/>
          <w:b/>
          <w:sz w:val="24"/>
          <w:szCs w:val="24"/>
        </w:rPr>
        <w:t>El día que Fibonacci “lloró”: Fachadas racionales (la robobolsa)</w:t>
      </w:r>
    </w:p>
    <w:p w:rsidR="001344C6" w:rsidRPr="002C5383" w:rsidRDefault="001344C6" w:rsidP="001344C6">
      <w:pPr>
        <w:spacing w:before="120" w:after="120" w:line="240" w:lineRule="auto"/>
        <w:jc w:val="both"/>
        <w:rPr>
          <w:rFonts w:ascii="Times New Roman" w:hAnsi="Times New Roman" w:cs="Times New Roman"/>
          <w:sz w:val="24"/>
          <w:szCs w:val="24"/>
        </w:rPr>
      </w:pPr>
      <w:r w:rsidRPr="002C5383">
        <w:rPr>
          <w:rFonts w:ascii="Times New Roman" w:hAnsi="Times New Roman" w:cs="Times New Roman"/>
          <w:sz w:val="24"/>
          <w:szCs w:val="24"/>
        </w:rPr>
        <w:t xml:space="preserve">Un sistema (de prisa, de prisa) que busca inversores (consumidores) amaestrados, dispuestos a dormitar en el rebaño. </w:t>
      </w:r>
      <w:r w:rsidR="005E3649" w:rsidRPr="002C5383">
        <w:rPr>
          <w:rFonts w:ascii="Times New Roman" w:hAnsi="Times New Roman" w:cs="Times New Roman"/>
          <w:sz w:val="24"/>
          <w:szCs w:val="24"/>
        </w:rPr>
        <w:t>Un sistema que buscar lucrarse de un estado de infantilismo bursátil.</w:t>
      </w:r>
    </w:p>
    <w:p w:rsidR="003E467C" w:rsidRDefault="005E3649" w:rsidP="001344C6">
      <w:pPr>
        <w:spacing w:before="120" w:after="120" w:line="240" w:lineRule="auto"/>
        <w:jc w:val="both"/>
        <w:rPr>
          <w:rFonts w:ascii="Times New Roman" w:hAnsi="Times New Roman" w:cs="Times New Roman"/>
          <w:sz w:val="24"/>
          <w:szCs w:val="24"/>
        </w:rPr>
      </w:pPr>
      <w:r w:rsidRPr="002C5383">
        <w:rPr>
          <w:rFonts w:ascii="Times New Roman" w:hAnsi="Times New Roman" w:cs="Times New Roman"/>
          <w:sz w:val="24"/>
          <w:szCs w:val="24"/>
        </w:rPr>
        <w:t xml:space="preserve">Más allá del uso y abuso (con aviesas intenciones) del análisis técnico, por sobre el análisis fundamental, las nuevas tecnologías; </w:t>
      </w:r>
      <w:r w:rsidRPr="005E3649">
        <w:rPr>
          <w:rFonts w:ascii="Times New Roman" w:hAnsi="Times New Roman" w:cs="Times New Roman"/>
          <w:sz w:val="24"/>
          <w:szCs w:val="24"/>
        </w:rPr>
        <w:t>operativa de alta frecuencia (HFT)</w:t>
      </w:r>
      <w:r>
        <w:rPr>
          <w:rFonts w:ascii="Times New Roman" w:hAnsi="Times New Roman" w:cs="Times New Roman"/>
          <w:sz w:val="24"/>
          <w:szCs w:val="24"/>
        </w:rPr>
        <w:t>, e Inteligencia Artific</w:t>
      </w:r>
      <w:r w:rsidR="003E467C">
        <w:rPr>
          <w:rFonts w:ascii="Times New Roman" w:hAnsi="Times New Roman" w:cs="Times New Roman"/>
          <w:sz w:val="24"/>
          <w:szCs w:val="24"/>
        </w:rPr>
        <w:t xml:space="preserve">ial, </w:t>
      </w:r>
      <w:r>
        <w:rPr>
          <w:rFonts w:ascii="Times New Roman" w:hAnsi="Times New Roman" w:cs="Times New Roman"/>
          <w:sz w:val="24"/>
          <w:szCs w:val="24"/>
        </w:rPr>
        <w:t>pueden terminar provocando que el “a</w:t>
      </w:r>
      <w:r w:rsidR="00637473">
        <w:rPr>
          <w:rFonts w:ascii="Times New Roman" w:hAnsi="Times New Roman" w:cs="Times New Roman"/>
          <w:sz w:val="24"/>
          <w:szCs w:val="24"/>
        </w:rPr>
        <w:t xml:space="preserve">rreo de la manada” </w:t>
      </w:r>
      <w:r>
        <w:rPr>
          <w:rFonts w:ascii="Times New Roman" w:hAnsi="Times New Roman" w:cs="Times New Roman"/>
          <w:sz w:val="24"/>
          <w:szCs w:val="24"/>
        </w:rPr>
        <w:t>(inversores desinformados)</w:t>
      </w:r>
      <w:r w:rsidR="003E467C">
        <w:rPr>
          <w:rFonts w:ascii="Times New Roman" w:hAnsi="Times New Roman" w:cs="Times New Roman"/>
          <w:sz w:val="24"/>
          <w:szCs w:val="24"/>
        </w:rPr>
        <w:t>, derive</w:t>
      </w:r>
      <w:r>
        <w:rPr>
          <w:rFonts w:ascii="Times New Roman" w:hAnsi="Times New Roman" w:cs="Times New Roman"/>
          <w:sz w:val="24"/>
          <w:szCs w:val="24"/>
        </w:rPr>
        <w:t xml:space="preserve"> en una “estampida de bisontes” (huida descontr</w:t>
      </w:r>
      <w:r w:rsidR="003E467C">
        <w:rPr>
          <w:rFonts w:ascii="Times New Roman" w:hAnsi="Times New Roman" w:cs="Times New Roman"/>
          <w:sz w:val="24"/>
          <w:szCs w:val="24"/>
        </w:rPr>
        <w:t>o</w:t>
      </w:r>
      <w:r>
        <w:rPr>
          <w:rFonts w:ascii="Times New Roman" w:hAnsi="Times New Roman" w:cs="Times New Roman"/>
          <w:sz w:val="24"/>
          <w:szCs w:val="24"/>
        </w:rPr>
        <w:t>lada).</w:t>
      </w:r>
      <w:r w:rsidR="003E467C">
        <w:rPr>
          <w:rFonts w:ascii="Times New Roman" w:hAnsi="Times New Roman" w:cs="Times New Roman"/>
          <w:sz w:val="24"/>
          <w:szCs w:val="24"/>
        </w:rPr>
        <w:t xml:space="preserve"> </w:t>
      </w:r>
    </w:p>
    <w:p w:rsidR="005E3649" w:rsidRDefault="003E467C" w:rsidP="001344C6">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Por tanto intentar capturar rentas</w:t>
      </w:r>
      <w:r w:rsidR="00906406">
        <w:rPr>
          <w:rFonts w:ascii="Times New Roman" w:hAnsi="Times New Roman" w:cs="Times New Roman"/>
          <w:sz w:val="24"/>
          <w:szCs w:val="24"/>
        </w:rPr>
        <w:t xml:space="preserve"> (avidez, codicia, avaricia)</w:t>
      </w:r>
      <w:r>
        <w:rPr>
          <w:rFonts w:ascii="Times New Roman" w:hAnsi="Times New Roman" w:cs="Times New Roman"/>
          <w:sz w:val="24"/>
          <w:szCs w:val="24"/>
        </w:rPr>
        <w:t xml:space="preserve"> se puede pasar del “f</w:t>
      </w:r>
      <w:r w:rsidR="00093940">
        <w:rPr>
          <w:rFonts w:ascii="Times New Roman" w:hAnsi="Times New Roman" w:cs="Times New Roman"/>
          <w:sz w:val="24"/>
          <w:szCs w:val="24"/>
        </w:rPr>
        <w:t>ast truck” al “game over”, sin solución de continuidad</w:t>
      </w:r>
      <w:r>
        <w:rPr>
          <w:rFonts w:ascii="Times New Roman" w:hAnsi="Times New Roman" w:cs="Times New Roman"/>
          <w:sz w:val="24"/>
          <w:szCs w:val="24"/>
        </w:rPr>
        <w:t xml:space="preserve">. </w:t>
      </w:r>
      <w:r w:rsidR="00EA2ADC">
        <w:rPr>
          <w:rFonts w:ascii="Times New Roman" w:hAnsi="Times New Roman" w:cs="Times New Roman"/>
          <w:sz w:val="24"/>
          <w:szCs w:val="24"/>
        </w:rPr>
        <w:t xml:space="preserve">O sea: </w:t>
      </w:r>
      <w:r w:rsidR="00093940">
        <w:rPr>
          <w:rFonts w:ascii="Times New Roman" w:hAnsi="Times New Roman" w:cs="Times New Roman"/>
          <w:sz w:val="24"/>
          <w:szCs w:val="24"/>
        </w:rPr>
        <w:t xml:space="preserve">pasar </w:t>
      </w:r>
      <w:r w:rsidR="00EA2ADC">
        <w:rPr>
          <w:rFonts w:ascii="Times New Roman" w:hAnsi="Times New Roman" w:cs="Times New Roman"/>
          <w:sz w:val="24"/>
          <w:szCs w:val="24"/>
        </w:rPr>
        <w:t>del “big data” al “big crash”.</w:t>
      </w:r>
    </w:p>
    <w:p w:rsidR="003E467C" w:rsidRDefault="003E467C" w:rsidP="001344C6">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¿Seguirán soñando</w:t>
      </w:r>
      <w:r w:rsidR="00906406">
        <w:rPr>
          <w:rFonts w:ascii="Times New Roman" w:hAnsi="Times New Roman" w:cs="Times New Roman"/>
          <w:sz w:val="24"/>
          <w:szCs w:val="24"/>
        </w:rPr>
        <w:t xml:space="preserve"> los “hacedores de mercado” </w:t>
      </w:r>
      <w:r>
        <w:rPr>
          <w:rFonts w:ascii="Times New Roman" w:hAnsi="Times New Roman" w:cs="Times New Roman"/>
          <w:sz w:val="24"/>
          <w:szCs w:val="24"/>
        </w:rPr>
        <w:t>que serán rescatados</w:t>
      </w:r>
      <w:r w:rsidR="00906406">
        <w:rPr>
          <w:rFonts w:ascii="Times New Roman" w:hAnsi="Times New Roman" w:cs="Times New Roman"/>
          <w:sz w:val="24"/>
          <w:szCs w:val="24"/>
        </w:rPr>
        <w:t xml:space="preserve"> -otra vez-</w:t>
      </w:r>
      <w:r>
        <w:rPr>
          <w:rFonts w:ascii="Times New Roman" w:hAnsi="Times New Roman" w:cs="Times New Roman"/>
          <w:sz w:val="24"/>
          <w:szCs w:val="24"/>
        </w:rPr>
        <w:t xml:space="preserve"> por los bancos centrales y los gobiernos</w:t>
      </w:r>
      <w:r w:rsidR="00906406">
        <w:rPr>
          <w:rFonts w:ascii="Times New Roman" w:hAnsi="Times New Roman" w:cs="Times New Roman"/>
          <w:sz w:val="24"/>
          <w:szCs w:val="24"/>
        </w:rPr>
        <w:t>, por aquello que “son demasiado grandes para quebrar” (too big to fail), y escapando de la cárcel por aquello que “son demasiado grandes para ir a la cárcel” (too big to jail)?</w:t>
      </w:r>
      <w:r w:rsidR="00DA390A">
        <w:rPr>
          <w:rFonts w:ascii="Times New Roman" w:hAnsi="Times New Roman" w:cs="Times New Roman"/>
          <w:sz w:val="24"/>
          <w:szCs w:val="24"/>
        </w:rPr>
        <w:t xml:space="preserve"> </w:t>
      </w:r>
      <w:r w:rsidR="00EA2ADC">
        <w:rPr>
          <w:rFonts w:ascii="Times New Roman" w:hAnsi="Times New Roman" w:cs="Times New Roman"/>
          <w:sz w:val="24"/>
          <w:szCs w:val="24"/>
        </w:rPr>
        <w:t xml:space="preserve"> ¿Esper</w:t>
      </w:r>
      <w:r w:rsidR="00637473">
        <w:rPr>
          <w:rFonts w:ascii="Times New Roman" w:hAnsi="Times New Roman" w:cs="Times New Roman"/>
          <w:sz w:val="24"/>
          <w:szCs w:val="24"/>
        </w:rPr>
        <w:t>an otra (o más</w:t>
      </w:r>
      <w:r w:rsidR="003F1021">
        <w:rPr>
          <w:rFonts w:ascii="Times New Roman" w:hAnsi="Times New Roman" w:cs="Times New Roman"/>
          <w:sz w:val="24"/>
          <w:szCs w:val="24"/>
        </w:rPr>
        <w:t xml:space="preserve">) </w:t>
      </w:r>
      <w:r w:rsidR="00691514">
        <w:rPr>
          <w:rFonts w:ascii="Times New Roman" w:hAnsi="Times New Roman" w:cs="Times New Roman"/>
          <w:sz w:val="24"/>
          <w:szCs w:val="24"/>
        </w:rPr>
        <w:t>flexibilización cuantitativa (</w:t>
      </w:r>
      <w:r w:rsidR="003F1021">
        <w:rPr>
          <w:rFonts w:ascii="Times New Roman" w:hAnsi="Times New Roman" w:cs="Times New Roman"/>
          <w:sz w:val="24"/>
          <w:szCs w:val="24"/>
        </w:rPr>
        <w:t>QE</w:t>
      </w:r>
      <w:r w:rsidR="00691514">
        <w:rPr>
          <w:rFonts w:ascii="Times New Roman" w:hAnsi="Times New Roman" w:cs="Times New Roman"/>
          <w:sz w:val="24"/>
          <w:szCs w:val="24"/>
        </w:rPr>
        <w:t>)</w:t>
      </w:r>
      <w:r w:rsidR="003F1021">
        <w:rPr>
          <w:rFonts w:ascii="Times New Roman" w:hAnsi="Times New Roman" w:cs="Times New Roman"/>
          <w:sz w:val="24"/>
          <w:szCs w:val="24"/>
        </w:rPr>
        <w:t xml:space="preserve"> al rescate</w:t>
      </w:r>
      <w:r w:rsidR="00EA2ADC">
        <w:rPr>
          <w:rFonts w:ascii="Times New Roman" w:hAnsi="Times New Roman" w:cs="Times New Roman"/>
          <w:sz w:val="24"/>
          <w:szCs w:val="24"/>
        </w:rPr>
        <w:t>?</w:t>
      </w:r>
    </w:p>
    <w:p w:rsidR="006B190C" w:rsidRDefault="00906406" w:rsidP="001344C6">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¿Seguirán pensando que la “manada” (el ahorrista, el pequeño inversor), se resignará</w:t>
      </w:r>
      <w:r w:rsidR="00DA390A">
        <w:rPr>
          <w:rFonts w:ascii="Times New Roman" w:hAnsi="Times New Roman" w:cs="Times New Roman"/>
          <w:sz w:val="24"/>
          <w:szCs w:val="24"/>
        </w:rPr>
        <w:t xml:space="preserve"> a</w:t>
      </w:r>
      <w:r>
        <w:rPr>
          <w:rFonts w:ascii="Times New Roman" w:hAnsi="Times New Roman" w:cs="Times New Roman"/>
          <w:sz w:val="24"/>
          <w:szCs w:val="24"/>
        </w:rPr>
        <w:t xml:space="preserve"> las pérdidas -otra vez-</w:t>
      </w:r>
      <w:r w:rsidR="00DA390A">
        <w:rPr>
          <w:rFonts w:ascii="Times New Roman" w:hAnsi="Times New Roman" w:cs="Times New Roman"/>
          <w:sz w:val="24"/>
          <w:szCs w:val="24"/>
        </w:rPr>
        <w:t>, porque habrá internalizado</w:t>
      </w:r>
      <w:r>
        <w:rPr>
          <w:rFonts w:ascii="Times New Roman" w:hAnsi="Times New Roman" w:cs="Times New Roman"/>
          <w:sz w:val="24"/>
          <w:szCs w:val="24"/>
        </w:rPr>
        <w:t xml:space="preserve"> la frase “</w:t>
      </w:r>
      <w:r w:rsidR="00DA390A">
        <w:rPr>
          <w:rFonts w:ascii="Times New Roman" w:hAnsi="Times New Roman" w:cs="Times New Roman"/>
          <w:sz w:val="24"/>
          <w:szCs w:val="24"/>
        </w:rPr>
        <w:t>la rentabilidad pasada</w:t>
      </w:r>
      <w:r w:rsidRPr="00906406">
        <w:rPr>
          <w:rFonts w:ascii="Times New Roman" w:hAnsi="Times New Roman" w:cs="Times New Roman"/>
          <w:sz w:val="24"/>
          <w:szCs w:val="24"/>
        </w:rPr>
        <w:t xml:space="preserve"> no ase</w:t>
      </w:r>
      <w:r w:rsidR="00DA390A">
        <w:rPr>
          <w:rFonts w:ascii="Times New Roman" w:hAnsi="Times New Roman" w:cs="Times New Roman"/>
          <w:sz w:val="24"/>
          <w:szCs w:val="24"/>
        </w:rPr>
        <w:t>guraba la rentabilidad presente” (</w:t>
      </w:r>
      <w:r w:rsidRPr="00906406">
        <w:rPr>
          <w:rFonts w:ascii="Times New Roman" w:hAnsi="Times New Roman" w:cs="Times New Roman"/>
          <w:sz w:val="24"/>
          <w:szCs w:val="24"/>
        </w:rPr>
        <w:t>que el rendimiento que una inversión ha tenido en el pasado no garantiza que ese mismo rendimiento se mantendrá en el futuro</w:t>
      </w:r>
      <w:r w:rsidR="00DA390A">
        <w:rPr>
          <w:rFonts w:ascii="Times New Roman" w:hAnsi="Times New Roman" w:cs="Times New Roman"/>
          <w:sz w:val="24"/>
          <w:szCs w:val="24"/>
        </w:rPr>
        <w:t>)?</w:t>
      </w:r>
      <w:r w:rsidR="003F1021">
        <w:rPr>
          <w:rFonts w:ascii="Times New Roman" w:hAnsi="Times New Roman" w:cs="Times New Roman"/>
          <w:sz w:val="24"/>
          <w:szCs w:val="24"/>
        </w:rPr>
        <w:t xml:space="preserve"> </w:t>
      </w:r>
      <w:r w:rsidR="00EA2ADC">
        <w:rPr>
          <w:rFonts w:ascii="Times New Roman" w:hAnsi="Times New Roman" w:cs="Times New Roman"/>
          <w:sz w:val="24"/>
          <w:szCs w:val="24"/>
        </w:rPr>
        <w:t xml:space="preserve"> </w:t>
      </w:r>
      <w:r w:rsidR="003F1021">
        <w:rPr>
          <w:rFonts w:ascii="Times New Roman" w:hAnsi="Times New Roman" w:cs="Times New Roman"/>
          <w:sz w:val="24"/>
          <w:szCs w:val="24"/>
        </w:rPr>
        <w:t xml:space="preserve">¿Darán por descontado que </w:t>
      </w:r>
      <w:r w:rsidR="00EA2ADC">
        <w:rPr>
          <w:rFonts w:ascii="Times New Roman" w:hAnsi="Times New Roman" w:cs="Times New Roman"/>
          <w:sz w:val="24"/>
          <w:szCs w:val="24"/>
        </w:rPr>
        <w:t>los eternos paganos</w:t>
      </w:r>
      <w:r w:rsidR="003F1021">
        <w:rPr>
          <w:rFonts w:ascii="Times New Roman" w:hAnsi="Times New Roman" w:cs="Times New Roman"/>
          <w:sz w:val="24"/>
          <w:szCs w:val="24"/>
        </w:rPr>
        <w:t xml:space="preserve"> de la crisis seguirán siendo los mismos</w:t>
      </w:r>
      <w:r w:rsidR="00EA2ADC">
        <w:rPr>
          <w:rFonts w:ascii="Times New Roman" w:hAnsi="Times New Roman" w:cs="Times New Roman"/>
          <w:sz w:val="24"/>
          <w:szCs w:val="24"/>
        </w:rPr>
        <w:t>?</w:t>
      </w:r>
      <w:r w:rsidR="00637473">
        <w:rPr>
          <w:rFonts w:ascii="Times New Roman" w:hAnsi="Times New Roman" w:cs="Times New Roman"/>
          <w:sz w:val="24"/>
          <w:szCs w:val="24"/>
        </w:rPr>
        <w:t xml:space="preserve"> ¿Lograrán convencerlos que deben </w:t>
      </w:r>
      <w:r w:rsidR="003F1021">
        <w:rPr>
          <w:rFonts w:ascii="Times New Roman" w:hAnsi="Times New Roman" w:cs="Times New Roman"/>
          <w:sz w:val="24"/>
          <w:szCs w:val="24"/>
        </w:rPr>
        <w:t>seguir en bolsa (comprar la caída, promediar a la baja</w:t>
      </w:r>
      <w:r w:rsidR="00691514">
        <w:rPr>
          <w:rFonts w:ascii="Times New Roman" w:hAnsi="Times New Roman" w:cs="Times New Roman"/>
          <w:sz w:val="24"/>
          <w:szCs w:val="24"/>
        </w:rPr>
        <w:t>, u otras trampas para bobos</w:t>
      </w:r>
      <w:r w:rsidR="003F1021">
        <w:rPr>
          <w:rFonts w:ascii="Times New Roman" w:hAnsi="Times New Roman" w:cs="Times New Roman"/>
          <w:sz w:val="24"/>
          <w:szCs w:val="24"/>
        </w:rPr>
        <w:t>)</w:t>
      </w:r>
      <w:r w:rsidR="006B190C">
        <w:rPr>
          <w:rFonts w:ascii="Times New Roman" w:hAnsi="Times New Roman" w:cs="Times New Roman"/>
          <w:sz w:val="24"/>
          <w:szCs w:val="24"/>
        </w:rPr>
        <w:t xml:space="preserve">? </w:t>
      </w:r>
    </w:p>
    <w:p w:rsidR="00691514" w:rsidRDefault="006B190C" w:rsidP="001344C6">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¿Mentiras unidas</w:t>
      </w:r>
      <w:r w:rsidR="002C5383">
        <w:rPr>
          <w:rFonts w:ascii="Times New Roman" w:hAnsi="Times New Roman" w:cs="Times New Roman"/>
          <w:sz w:val="24"/>
          <w:szCs w:val="24"/>
        </w:rPr>
        <w:t>,</w:t>
      </w:r>
      <w:r>
        <w:rPr>
          <w:rFonts w:ascii="Times New Roman" w:hAnsi="Times New Roman" w:cs="Times New Roman"/>
          <w:sz w:val="24"/>
          <w:szCs w:val="24"/>
        </w:rPr>
        <w:t xml:space="preserve"> o unidos en la mentira?</w:t>
      </w:r>
    </w:p>
    <w:p w:rsidR="00691514" w:rsidRDefault="00691514" w:rsidP="001344C6">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Ya no se trata solo del inversor en la bolsa japonesa (Nikkei 225), ya no se trata solo de “despiojar” la correlación entre índices bursátiles, que también, sino que se trata en general de los inversores de renta variable de otros países y otros mercados, y d</w:t>
      </w:r>
      <w:r w:rsidR="00637473">
        <w:rPr>
          <w:rFonts w:ascii="Times New Roman" w:hAnsi="Times New Roman" w:cs="Times New Roman"/>
          <w:sz w:val="24"/>
          <w:szCs w:val="24"/>
        </w:rPr>
        <w:t xml:space="preserve">e sus decisiones de inversión. </w:t>
      </w:r>
      <w:r w:rsidR="00893722">
        <w:rPr>
          <w:rFonts w:ascii="Times New Roman" w:hAnsi="Times New Roman" w:cs="Times New Roman"/>
          <w:sz w:val="24"/>
          <w:szCs w:val="24"/>
        </w:rPr>
        <w:t>¿Ante la cantidad de alternativas de inversión, emplean métodos de decisión racionales, o se dejan arrastrar por los hacedores de mercado? ¿Evalúan o imitan?</w:t>
      </w:r>
    </w:p>
    <w:p w:rsidR="00893722" w:rsidRDefault="00893722" w:rsidP="001344C6">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A continuación presento un listado (a bote pronto) de productos financieros con los que las “serpientes encantadoras de hombres”, tratan de seducir a único (¿y último?) tonto que tiene dinero de verdad (lo demás es puro cuento):</w:t>
      </w:r>
    </w:p>
    <w:p w:rsidR="00A30A65" w:rsidRDefault="00893722" w:rsidP="001344C6">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Fondos de inversión,</w:t>
      </w:r>
      <w:r w:rsidR="00613DEB">
        <w:rPr>
          <w:rFonts w:ascii="Times New Roman" w:hAnsi="Times New Roman" w:cs="Times New Roman"/>
          <w:sz w:val="24"/>
          <w:szCs w:val="24"/>
        </w:rPr>
        <w:t xml:space="preserve"> productos estructurados,</w:t>
      </w:r>
      <w:r>
        <w:rPr>
          <w:rFonts w:ascii="Times New Roman" w:hAnsi="Times New Roman" w:cs="Times New Roman"/>
          <w:sz w:val="24"/>
          <w:szCs w:val="24"/>
        </w:rPr>
        <w:t xml:space="preserve"> productos híbridos,</w:t>
      </w:r>
      <w:r w:rsidR="00613DEB">
        <w:rPr>
          <w:rFonts w:ascii="Times New Roman" w:hAnsi="Times New Roman" w:cs="Times New Roman"/>
          <w:sz w:val="24"/>
          <w:szCs w:val="24"/>
        </w:rPr>
        <w:t xml:space="preserve"> valores subordinados,</w:t>
      </w:r>
      <w:r>
        <w:rPr>
          <w:rFonts w:ascii="Times New Roman" w:hAnsi="Times New Roman" w:cs="Times New Roman"/>
          <w:sz w:val="24"/>
          <w:szCs w:val="24"/>
        </w:rPr>
        <w:t xml:space="preserve"> participación preferente,</w:t>
      </w:r>
      <w:r w:rsidR="00613DEB">
        <w:rPr>
          <w:rFonts w:ascii="Times New Roman" w:hAnsi="Times New Roman" w:cs="Times New Roman"/>
          <w:sz w:val="24"/>
          <w:szCs w:val="24"/>
        </w:rPr>
        <w:t xml:space="preserve"> acciones de empresas disruptivas,</w:t>
      </w:r>
      <w:r>
        <w:rPr>
          <w:rFonts w:ascii="Times New Roman" w:hAnsi="Times New Roman" w:cs="Times New Roman"/>
          <w:sz w:val="24"/>
          <w:szCs w:val="24"/>
        </w:rPr>
        <w:t xml:space="preserve"> obligaciones y bonos convertibles,</w:t>
      </w:r>
      <w:r w:rsidR="00613DEB">
        <w:rPr>
          <w:rFonts w:ascii="Times New Roman" w:hAnsi="Times New Roman" w:cs="Times New Roman"/>
          <w:sz w:val="24"/>
          <w:szCs w:val="24"/>
        </w:rPr>
        <w:t xml:space="preserve"> </w:t>
      </w:r>
      <w:r w:rsidR="00613DEB">
        <w:rPr>
          <w:rFonts w:ascii="Times New Roman" w:hAnsi="Times New Roman" w:cs="Times New Roman"/>
          <w:sz w:val="24"/>
          <w:szCs w:val="24"/>
        </w:rPr>
        <w:lastRenderedPageBreak/>
        <w:t xml:space="preserve">fondos indexados, futuros, opciones, </w:t>
      </w:r>
      <w:r>
        <w:rPr>
          <w:rFonts w:ascii="Times New Roman" w:hAnsi="Times New Roman" w:cs="Times New Roman"/>
          <w:sz w:val="24"/>
          <w:szCs w:val="24"/>
        </w:rPr>
        <w:t>CFD (contratos por diferencias)</w:t>
      </w:r>
      <w:r w:rsidR="00613DEB">
        <w:rPr>
          <w:rFonts w:ascii="Times New Roman" w:hAnsi="Times New Roman" w:cs="Times New Roman"/>
          <w:sz w:val="24"/>
          <w:szCs w:val="24"/>
        </w:rPr>
        <w:t>,</w:t>
      </w:r>
      <w:r w:rsidR="00A30A65">
        <w:rPr>
          <w:rFonts w:ascii="Times New Roman" w:hAnsi="Times New Roman" w:cs="Times New Roman"/>
          <w:sz w:val="24"/>
          <w:szCs w:val="24"/>
        </w:rPr>
        <w:t xml:space="preserve"> activos digitales,</w:t>
      </w:r>
      <w:r w:rsidR="00613DEB">
        <w:rPr>
          <w:rFonts w:ascii="Times New Roman" w:hAnsi="Times New Roman" w:cs="Times New Roman"/>
          <w:sz w:val="24"/>
          <w:szCs w:val="24"/>
        </w:rPr>
        <w:t xml:space="preserve"> t</w:t>
      </w:r>
      <w:r>
        <w:rPr>
          <w:rFonts w:ascii="Times New Roman" w:hAnsi="Times New Roman" w:cs="Times New Roman"/>
          <w:sz w:val="24"/>
          <w:szCs w:val="24"/>
        </w:rPr>
        <w:t>okenización de activos, stablecoins, fintech, blockchain, bitcoin, NFT</w:t>
      </w:r>
      <w:r w:rsidR="00613DEB">
        <w:rPr>
          <w:rFonts w:ascii="Times New Roman" w:hAnsi="Times New Roman" w:cs="Times New Roman"/>
          <w:sz w:val="24"/>
          <w:szCs w:val="24"/>
        </w:rPr>
        <w:t xml:space="preserve"> (token no fungible)</w:t>
      </w:r>
      <w:r>
        <w:rPr>
          <w:rFonts w:ascii="Times New Roman" w:hAnsi="Times New Roman" w:cs="Times New Roman"/>
          <w:sz w:val="24"/>
          <w:szCs w:val="24"/>
        </w:rPr>
        <w:t>,</w:t>
      </w:r>
      <w:r w:rsidR="00613DEB">
        <w:rPr>
          <w:rFonts w:ascii="Times New Roman" w:hAnsi="Times New Roman" w:cs="Times New Roman"/>
          <w:sz w:val="24"/>
          <w:szCs w:val="24"/>
        </w:rPr>
        <w:t xml:space="preserve"> EFTs (fondo cotizado en bolsa), sectores emergentes, criptomonedas, plataformas DeFI, inversiones en startups. </w:t>
      </w:r>
      <w:r w:rsidR="00A30A65">
        <w:rPr>
          <w:rFonts w:ascii="Times New Roman" w:hAnsi="Times New Roman" w:cs="Times New Roman"/>
          <w:sz w:val="24"/>
          <w:szCs w:val="24"/>
        </w:rPr>
        <w:t>c</w:t>
      </w:r>
      <w:r w:rsidR="00613DEB">
        <w:rPr>
          <w:rFonts w:ascii="Times New Roman" w:hAnsi="Times New Roman" w:cs="Times New Roman"/>
          <w:sz w:val="24"/>
          <w:szCs w:val="24"/>
        </w:rPr>
        <w:t xml:space="preserve">rowfunding, </w:t>
      </w:r>
      <w:r w:rsidR="00A30A65">
        <w:rPr>
          <w:rFonts w:ascii="Times New Roman" w:hAnsi="Times New Roman" w:cs="Times New Roman"/>
          <w:sz w:val="24"/>
          <w:szCs w:val="24"/>
        </w:rPr>
        <w:t xml:space="preserve"> gaming… (seguro que mientras escribo este listado los “Hamelin” de la bolsa ya habrán creado nuevos espejitos de colores para atraer ratones).</w:t>
      </w:r>
    </w:p>
    <w:p w:rsidR="00A30A65" w:rsidRDefault="00A30A65" w:rsidP="001344C6">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De toda esta lista (precaria, parcial, y provisional)</w:t>
      </w:r>
      <w:r w:rsidR="00637473">
        <w:rPr>
          <w:rFonts w:ascii="Times New Roman" w:hAnsi="Times New Roman" w:cs="Times New Roman"/>
          <w:sz w:val="24"/>
          <w:szCs w:val="24"/>
        </w:rPr>
        <w:t>,</w:t>
      </w:r>
      <w:r>
        <w:rPr>
          <w:rFonts w:ascii="Times New Roman" w:hAnsi="Times New Roman" w:cs="Times New Roman"/>
          <w:sz w:val="24"/>
          <w:szCs w:val="24"/>
        </w:rPr>
        <w:t xml:space="preserve"> confieso que los productos que más me atraen por lo inverosímiles, ilógicos,</w:t>
      </w:r>
      <w:r w:rsidR="00637473">
        <w:rPr>
          <w:rFonts w:ascii="Times New Roman" w:hAnsi="Times New Roman" w:cs="Times New Roman"/>
          <w:sz w:val="24"/>
          <w:szCs w:val="24"/>
        </w:rPr>
        <w:t xml:space="preserve"> anormales,</w:t>
      </w:r>
      <w:r>
        <w:rPr>
          <w:rFonts w:ascii="Times New Roman" w:hAnsi="Times New Roman" w:cs="Times New Roman"/>
          <w:sz w:val="24"/>
          <w:szCs w:val="24"/>
        </w:rPr>
        <w:t xml:space="preserve"> </w:t>
      </w:r>
      <w:r w:rsidR="00637473">
        <w:rPr>
          <w:rFonts w:ascii="Times New Roman" w:hAnsi="Times New Roman" w:cs="Times New Roman"/>
          <w:sz w:val="24"/>
          <w:szCs w:val="24"/>
        </w:rPr>
        <w:t>increíbles, disparatados, descabellados</w:t>
      </w:r>
      <w:r>
        <w:rPr>
          <w:rFonts w:ascii="Times New Roman" w:hAnsi="Times New Roman" w:cs="Times New Roman"/>
          <w:sz w:val="24"/>
          <w:szCs w:val="24"/>
        </w:rPr>
        <w:t>… son la tokenización de arte, y las compañías SPAC.</w:t>
      </w:r>
    </w:p>
    <w:p w:rsidR="00A30A65" w:rsidRDefault="00A30A65" w:rsidP="001344C6">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Un relato breve sobre esos producto</w:t>
      </w:r>
      <w:r w:rsidR="00637473">
        <w:rPr>
          <w:rFonts w:ascii="Times New Roman" w:hAnsi="Times New Roman" w:cs="Times New Roman"/>
          <w:sz w:val="24"/>
          <w:szCs w:val="24"/>
        </w:rPr>
        <w:t>s financieros, puede</w:t>
      </w:r>
      <w:r>
        <w:rPr>
          <w:rFonts w:ascii="Times New Roman" w:hAnsi="Times New Roman" w:cs="Times New Roman"/>
          <w:sz w:val="24"/>
          <w:szCs w:val="24"/>
        </w:rPr>
        <w:t xml:space="preserve"> servir para demostrar el absurdo:</w:t>
      </w:r>
    </w:p>
    <w:p w:rsidR="00893722" w:rsidRDefault="00A30A65" w:rsidP="001344C6">
      <w:pPr>
        <w:spacing w:before="120" w:after="120" w:line="240" w:lineRule="auto"/>
        <w:jc w:val="both"/>
        <w:rPr>
          <w:rFonts w:ascii="Times New Roman" w:hAnsi="Times New Roman" w:cs="Times New Roman"/>
          <w:sz w:val="24"/>
          <w:szCs w:val="24"/>
        </w:rPr>
      </w:pPr>
      <w:r w:rsidRPr="00A30A65">
        <w:rPr>
          <w:rFonts w:ascii="Times New Roman" w:hAnsi="Times New Roman" w:cs="Times New Roman"/>
          <w:sz w:val="24"/>
          <w:szCs w:val="24"/>
        </w:rPr>
        <w:t xml:space="preserve">La tokenización de arte es el proceso de convertir obras de arte en tokens digitales utilizando tecnología blockchain. Estos tokens, a menudo llamados NFTs (Tokens No Fungibles), representan la propiedad o una parte de la propiedad de la obra de arte. </w:t>
      </w:r>
      <w:r w:rsidR="00637473">
        <w:rPr>
          <w:rFonts w:ascii="Times New Roman" w:hAnsi="Times New Roman" w:cs="Times New Roman"/>
          <w:sz w:val="24"/>
          <w:szCs w:val="24"/>
        </w:rPr>
        <w:t>“</w:t>
      </w:r>
      <w:r w:rsidRPr="00A30A65">
        <w:rPr>
          <w:rFonts w:ascii="Times New Roman" w:hAnsi="Times New Roman" w:cs="Times New Roman"/>
          <w:sz w:val="24"/>
          <w:szCs w:val="24"/>
        </w:rPr>
        <w:t>La tokenización democratiza el acceso al mercado del arte, permitiendo a más personas invertir en arte a través de la propiedad fraccionada y ofreciendo nuevas vías de financiación para artistas y galerías</w:t>
      </w:r>
      <w:r w:rsidR="00637473">
        <w:rPr>
          <w:rFonts w:ascii="Times New Roman" w:hAnsi="Times New Roman" w:cs="Times New Roman"/>
          <w:sz w:val="24"/>
          <w:szCs w:val="24"/>
        </w:rPr>
        <w:t>”</w:t>
      </w:r>
      <w:r w:rsidRPr="00A30A65">
        <w:rPr>
          <w:rFonts w:ascii="Times New Roman" w:hAnsi="Times New Roman" w:cs="Times New Roman"/>
          <w:sz w:val="24"/>
          <w:szCs w:val="24"/>
        </w:rPr>
        <w:t xml:space="preserve">. </w:t>
      </w:r>
      <w:r w:rsidR="00E24FA0">
        <w:rPr>
          <w:rFonts w:ascii="Times New Roman" w:hAnsi="Times New Roman" w:cs="Times New Roman"/>
          <w:sz w:val="24"/>
          <w:szCs w:val="24"/>
        </w:rPr>
        <w:t>(respuesta brindada</w:t>
      </w:r>
      <w:r>
        <w:rPr>
          <w:rFonts w:ascii="Times New Roman" w:hAnsi="Times New Roman" w:cs="Times New Roman"/>
          <w:sz w:val="24"/>
          <w:szCs w:val="24"/>
        </w:rPr>
        <w:t xml:space="preserve"> por San Google, utilizando inteligencia artificial)</w:t>
      </w:r>
      <w:r w:rsidR="00893722">
        <w:rPr>
          <w:rFonts w:ascii="Times New Roman" w:hAnsi="Times New Roman" w:cs="Times New Roman"/>
          <w:sz w:val="24"/>
          <w:szCs w:val="24"/>
        </w:rPr>
        <w:t xml:space="preserve"> </w:t>
      </w:r>
    </w:p>
    <w:p w:rsidR="00E24FA0" w:rsidRPr="00E24FA0" w:rsidRDefault="00E24FA0" w:rsidP="00E24FA0">
      <w:pPr>
        <w:spacing w:before="120" w:after="120" w:line="240" w:lineRule="auto"/>
        <w:jc w:val="both"/>
        <w:rPr>
          <w:rFonts w:ascii="Times New Roman" w:hAnsi="Times New Roman" w:cs="Times New Roman"/>
          <w:sz w:val="24"/>
          <w:szCs w:val="24"/>
        </w:rPr>
      </w:pPr>
      <w:r w:rsidRPr="00E24FA0">
        <w:rPr>
          <w:rFonts w:ascii="Times New Roman" w:hAnsi="Times New Roman" w:cs="Times New Roman"/>
          <w:sz w:val="24"/>
          <w:szCs w:val="24"/>
        </w:rPr>
        <w:t>Ejemplos de tokenización de arte:</w:t>
      </w:r>
    </w:p>
    <w:p w:rsidR="00E24FA0" w:rsidRPr="00E24FA0" w:rsidRDefault="00E24FA0" w:rsidP="00E24FA0">
      <w:pPr>
        <w:spacing w:before="120" w:after="120" w:line="240" w:lineRule="auto"/>
        <w:jc w:val="both"/>
        <w:rPr>
          <w:rFonts w:ascii="Times New Roman" w:hAnsi="Times New Roman" w:cs="Times New Roman"/>
          <w:sz w:val="24"/>
          <w:szCs w:val="24"/>
        </w:rPr>
      </w:pPr>
      <w:r w:rsidRPr="00E24FA0">
        <w:rPr>
          <w:rFonts w:ascii="Times New Roman" w:hAnsi="Times New Roman" w:cs="Times New Roman"/>
          <w:sz w:val="24"/>
          <w:szCs w:val="24"/>
        </w:rPr>
        <w:t xml:space="preserve">Propiedad fraccionada: Un inversor puede adquirir una parte de una obra de arte tokenizada en lugar de la obra completa. </w:t>
      </w:r>
    </w:p>
    <w:p w:rsidR="00E24FA0" w:rsidRPr="00E24FA0" w:rsidRDefault="00E24FA0" w:rsidP="00E24FA0">
      <w:pPr>
        <w:spacing w:before="120" w:after="120" w:line="240" w:lineRule="auto"/>
        <w:jc w:val="both"/>
        <w:rPr>
          <w:rFonts w:ascii="Times New Roman" w:hAnsi="Times New Roman" w:cs="Times New Roman"/>
          <w:sz w:val="24"/>
          <w:szCs w:val="24"/>
        </w:rPr>
      </w:pPr>
      <w:r w:rsidRPr="00E24FA0">
        <w:rPr>
          <w:rFonts w:ascii="Times New Roman" w:hAnsi="Times New Roman" w:cs="Times New Roman"/>
          <w:sz w:val="24"/>
          <w:szCs w:val="24"/>
        </w:rPr>
        <w:t xml:space="preserve">Tokenización de ganancias futuras: Un artista puede tokenizar sus ganancias potenciales, permitiendo a los inversores participar en el éxito futuro de su trabajo. </w:t>
      </w:r>
    </w:p>
    <w:p w:rsidR="00E24FA0" w:rsidRDefault="00E24FA0" w:rsidP="00E24FA0">
      <w:pPr>
        <w:spacing w:before="120" w:after="120" w:line="240" w:lineRule="auto"/>
        <w:jc w:val="both"/>
        <w:rPr>
          <w:rFonts w:ascii="Times New Roman" w:hAnsi="Times New Roman" w:cs="Times New Roman"/>
          <w:sz w:val="24"/>
          <w:szCs w:val="24"/>
        </w:rPr>
      </w:pPr>
      <w:r w:rsidRPr="00E24FA0">
        <w:rPr>
          <w:rFonts w:ascii="Times New Roman" w:hAnsi="Times New Roman" w:cs="Times New Roman"/>
          <w:sz w:val="24"/>
          <w:szCs w:val="24"/>
        </w:rPr>
        <w:t>Tokenización de colecciones: Colecciones de obras de arte pueden ser tokenizadas y vendidas como un conjunto.</w:t>
      </w:r>
    </w:p>
    <w:p w:rsidR="00E24FA0" w:rsidRPr="00E24FA0" w:rsidRDefault="00E24FA0" w:rsidP="00E24FA0">
      <w:pPr>
        <w:spacing w:before="120" w:after="120" w:line="240" w:lineRule="auto"/>
        <w:jc w:val="both"/>
        <w:rPr>
          <w:rFonts w:ascii="Times New Roman" w:hAnsi="Times New Roman" w:cs="Times New Roman"/>
          <w:sz w:val="24"/>
          <w:szCs w:val="24"/>
        </w:rPr>
      </w:pPr>
      <w:r w:rsidRPr="00E24FA0">
        <w:rPr>
          <w:rFonts w:ascii="Times New Roman" w:hAnsi="Times New Roman" w:cs="Times New Roman"/>
          <w:sz w:val="24"/>
          <w:szCs w:val="24"/>
        </w:rPr>
        <w:t xml:space="preserve">Una SPAC, o Special Purpose Acquisition Company (Compañía de Adquisición con Propósito Especial), es una empresa que se crea con el único objetivo de adquirir o fusionarse con otra empresa ya existente, permitiendo a esta última cotizar en bolsa sin pasar por el proceso tradicional de una Oferta Pública Inicial (OPI). En </w:t>
      </w:r>
      <w:r w:rsidR="00A81631">
        <w:rPr>
          <w:rFonts w:ascii="Times New Roman" w:hAnsi="Times New Roman" w:cs="Times New Roman"/>
          <w:sz w:val="24"/>
          <w:szCs w:val="24"/>
        </w:rPr>
        <w:t>otras palabras, “es una empresa “fantasma”</w:t>
      </w:r>
      <w:r w:rsidRPr="00E24FA0">
        <w:rPr>
          <w:rFonts w:ascii="Times New Roman" w:hAnsi="Times New Roman" w:cs="Times New Roman"/>
          <w:sz w:val="24"/>
          <w:szCs w:val="24"/>
        </w:rPr>
        <w:t xml:space="preserve"> que sale a bolsa para recaudar fondos y luego buscar una empresa con la que fusionarse y cotizar</w:t>
      </w:r>
      <w:r w:rsidR="00A81631">
        <w:rPr>
          <w:rFonts w:ascii="Times New Roman" w:hAnsi="Times New Roman" w:cs="Times New Roman"/>
          <w:sz w:val="24"/>
          <w:szCs w:val="24"/>
        </w:rPr>
        <w:t>”</w:t>
      </w:r>
      <w:r w:rsidRPr="00E24FA0">
        <w:rPr>
          <w:rFonts w:ascii="Times New Roman" w:hAnsi="Times New Roman" w:cs="Times New Roman"/>
          <w:sz w:val="24"/>
          <w:szCs w:val="24"/>
        </w:rPr>
        <w:t>.</w:t>
      </w:r>
      <w:r>
        <w:rPr>
          <w:rFonts w:ascii="Times New Roman" w:hAnsi="Times New Roman" w:cs="Times New Roman"/>
          <w:sz w:val="24"/>
          <w:szCs w:val="24"/>
        </w:rPr>
        <w:t xml:space="preserve"> (respuesta brindada  por San Google, utilizando inteligencia artificial) </w:t>
      </w:r>
    </w:p>
    <w:p w:rsidR="00E24FA0" w:rsidRPr="00E24FA0" w:rsidRDefault="00E24FA0" w:rsidP="00E24FA0">
      <w:pPr>
        <w:spacing w:before="120" w:after="120" w:line="240" w:lineRule="auto"/>
        <w:jc w:val="both"/>
        <w:rPr>
          <w:rFonts w:ascii="Times New Roman" w:hAnsi="Times New Roman" w:cs="Times New Roman"/>
          <w:sz w:val="24"/>
          <w:szCs w:val="24"/>
        </w:rPr>
      </w:pPr>
      <w:r w:rsidRPr="00E24FA0">
        <w:rPr>
          <w:rFonts w:ascii="Times New Roman" w:hAnsi="Times New Roman" w:cs="Times New Roman"/>
          <w:sz w:val="24"/>
          <w:szCs w:val="24"/>
        </w:rPr>
        <w:t xml:space="preserve">Una SPAC se crea con el propósito específico de adquirir una empresa privada, facilitando su entrada </w:t>
      </w:r>
      <w:r w:rsidR="008C08A1">
        <w:rPr>
          <w:rFonts w:ascii="Times New Roman" w:hAnsi="Times New Roman" w:cs="Times New Roman"/>
          <w:sz w:val="24"/>
          <w:szCs w:val="24"/>
        </w:rPr>
        <w:t xml:space="preserve">al mercado de valores. </w:t>
      </w:r>
      <w:r w:rsidRPr="00E24FA0">
        <w:rPr>
          <w:rFonts w:ascii="Times New Roman" w:hAnsi="Times New Roman" w:cs="Times New Roman"/>
          <w:sz w:val="24"/>
          <w:szCs w:val="24"/>
        </w:rPr>
        <w:t xml:space="preserve">La SPAC realiza una Oferta Pública Inicial (OPI) para recaudar fondos y luego busca una empresa objetivo para fusionarse o adquirir. </w:t>
      </w:r>
    </w:p>
    <w:p w:rsidR="00E24FA0" w:rsidRPr="00E24FA0" w:rsidRDefault="00E24FA0" w:rsidP="00E24FA0">
      <w:pPr>
        <w:spacing w:before="120" w:after="120" w:line="240" w:lineRule="auto"/>
        <w:jc w:val="both"/>
        <w:rPr>
          <w:rFonts w:ascii="Times New Roman" w:hAnsi="Times New Roman" w:cs="Times New Roman"/>
          <w:sz w:val="24"/>
          <w:szCs w:val="24"/>
        </w:rPr>
      </w:pPr>
      <w:r w:rsidRPr="00E24FA0">
        <w:rPr>
          <w:rFonts w:ascii="Times New Roman" w:hAnsi="Times New Roman" w:cs="Times New Roman"/>
          <w:sz w:val="24"/>
          <w:szCs w:val="24"/>
        </w:rPr>
        <w:t>Beneficios para la empresa objetivo:</w:t>
      </w:r>
    </w:p>
    <w:p w:rsidR="00E24FA0" w:rsidRPr="00E24FA0" w:rsidRDefault="00E24FA0" w:rsidP="00E24FA0">
      <w:pPr>
        <w:spacing w:before="120" w:after="120" w:line="240" w:lineRule="auto"/>
        <w:jc w:val="both"/>
        <w:rPr>
          <w:rFonts w:ascii="Times New Roman" w:hAnsi="Times New Roman" w:cs="Times New Roman"/>
          <w:sz w:val="24"/>
          <w:szCs w:val="24"/>
        </w:rPr>
      </w:pPr>
      <w:r w:rsidRPr="00E24FA0">
        <w:rPr>
          <w:rFonts w:ascii="Times New Roman" w:hAnsi="Times New Roman" w:cs="Times New Roman"/>
          <w:sz w:val="24"/>
          <w:szCs w:val="24"/>
        </w:rPr>
        <w:t xml:space="preserve">Permite a la empresa privada cotizar en bolsa de manera más rápida y eficiente que con una OPI tradicional. </w:t>
      </w:r>
    </w:p>
    <w:p w:rsidR="00E24FA0" w:rsidRPr="00E24FA0" w:rsidRDefault="00E24FA0" w:rsidP="00E24FA0">
      <w:pPr>
        <w:spacing w:before="120" w:after="120" w:line="240" w:lineRule="auto"/>
        <w:jc w:val="both"/>
        <w:rPr>
          <w:rFonts w:ascii="Times New Roman" w:hAnsi="Times New Roman" w:cs="Times New Roman"/>
          <w:sz w:val="24"/>
          <w:szCs w:val="24"/>
        </w:rPr>
      </w:pPr>
      <w:r w:rsidRPr="00E24FA0">
        <w:rPr>
          <w:rFonts w:ascii="Times New Roman" w:hAnsi="Times New Roman" w:cs="Times New Roman"/>
          <w:sz w:val="24"/>
          <w:szCs w:val="24"/>
        </w:rPr>
        <w:t>Beneficios para los inversores:</w:t>
      </w:r>
    </w:p>
    <w:p w:rsidR="00E24FA0" w:rsidRPr="00E24FA0" w:rsidRDefault="00E24FA0" w:rsidP="00E24FA0">
      <w:pPr>
        <w:spacing w:before="120" w:after="120" w:line="240" w:lineRule="auto"/>
        <w:jc w:val="both"/>
        <w:rPr>
          <w:rFonts w:ascii="Times New Roman" w:hAnsi="Times New Roman" w:cs="Times New Roman"/>
          <w:sz w:val="24"/>
          <w:szCs w:val="24"/>
        </w:rPr>
      </w:pPr>
      <w:r w:rsidRPr="00E24FA0">
        <w:rPr>
          <w:rFonts w:ascii="Times New Roman" w:hAnsi="Times New Roman" w:cs="Times New Roman"/>
          <w:sz w:val="24"/>
          <w:szCs w:val="24"/>
        </w:rPr>
        <w:t xml:space="preserve">Los inversores en la SPAC pueden participar en la adquisición de una empresa privada, potencialmente con alto crecimiento, sin tener que pasar por el proceso de inversión directa en empresas no cotizadas. </w:t>
      </w:r>
    </w:p>
    <w:p w:rsidR="00E24FA0" w:rsidRPr="00E24FA0" w:rsidRDefault="00E24FA0" w:rsidP="00E24FA0">
      <w:pPr>
        <w:spacing w:before="120" w:after="120" w:line="240" w:lineRule="auto"/>
        <w:jc w:val="both"/>
        <w:rPr>
          <w:rFonts w:ascii="Times New Roman" w:hAnsi="Times New Roman" w:cs="Times New Roman"/>
          <w:sz w:val="24"/>
          <w:szCs w:val="24"/>
        </w:rPr>
      </w:pPr>
      <w:r w:rsidRPr="00E24FA0">
        <w:rPr>
          <w:rFonts w:ascii="Times New Roman" w:hAnsi="Times New Roman" w:cs="Times New Roman"/>
          <w:sz w:val="24"/>
          <w:szCs w:val="24"/>
        </w:rPr>
        <w:t>Riesgos:</w:t>
      </w:r>
    </w:p>
    <w:p w:rsidR="00E24FA0" w:rsidRDefault="00E24FA0" w:rsidP="00E24FA0">
      <w:pPr>
        <w:spacing w:before="120" w:after="120" w:line="240" w:lineRule="auto"/>
        <w:jc w:val="both"/>
        <w:rPr>
          <w:rFonts w:ascii="Times New Roman" w:hAnsi="Times New Roman" w:cs="Times New Roman"/>
          <w:sz w:val="24"/>
          <w:szCs w:val="24"/>
        </w:rPr>
      </w:pPr>
      <w:r w:rsidRPr="00E24FA0">
        <w:rPr>
          <w:rFonts w:ascii="Times New Roman" w:hAnsi="Times New Roman" w:cs="Times New Roman"/>
          <w:sz w:val="24"/>
          <w:szCs w:val="24"/>
        </w:rPr>
        <w:t>Las SPACs pueden ser complejas y conllevan riesgos, como la incertidumbre de la empresa objetivo que será adquirida, y la posibilidad de que la SPAC no encuentre una empresa adecuada dentro del plazo establecido. En resumen, una SPAC es un vehículo financiero que facilita la salida a bolsa de empresas privadas, pero es importante comprender sus particularidades y riesgos antes de invertir.</w:t>
      </w:r>
    </w:p>
    <w:p w:rsidR="008C08A1" w:rsidRDefault="008C08A1"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No me dirán ustedes que no son dos alternativas de inversión “surrealistas” (por decirlo suave): en una le ofrecen comprar una parte de una obra de arte, que nunca podrá ver, ni tener. Una apuesta participada sobre la revalorización hipotética de una pintura o escultura. El inversor será dueño de un x% de un cuadro</w:t>
      </w:r>
      <w:r w:rsidR="0030641F">
        <w:rPr>
          <w:rFonts w:ascii="Times New Roman" w:hAnsi="Times New Roman" w:cs="Times New Roman"/>
          <w:sz w:val="24"/>
          <w:szCs w:val="24"/>
        </w:rPr>
        <w:t>, que ni sabe dónde está, ni cuánto vale.</w:t>
      </w:r>
    </w:p>
    <w:p w:rsidR="008C08A1" w:rsidRDefault="008C08A1"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En el otro caso, la operación resulta más “etérea” aún (si cabe). Se compran acciones de una empresa que no existe, con la expectativa (ilusión financiera), que si se llega a concretar el proyecto su valor de mercado</w:t>
      </w:r>
      <w:r w:rsidR="0030641F">
        <w:rPr>
          <w:rFonts w:ascii="Times New Roman" w:hAnsi="Times New Roman" w:cs="Times New Roman"/>
          <w:sz w:val="24"/>
          <w:szCs w:val="24"/>
        </w:rPr>
        <w:t xml:space="preserve"> (futuro)</w:t>
      </w:r>
      <w:r>
        <w:rPr>
          <w:rFonts w:ascii="Times New Roman" w:hAnsi="Times New Roman" w:cs="Times New Roman"/>
          <w:sz w:val="24"/>
          <w:szCs w:val="24"/>
        </w:rPr>
        <w:t xml:space="preserve"> rentabilice la inversión. </w:t>
      </w:r>
    </w:p>
    <w:p w:rsidR="000C62B6" w:rsidRDefault="000C62B6"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Sin duda la creatividad de </w:t>
      </w:r>
      <w:r w:rsidR="0030641F">
        <w:rPr>
          <w:rFonts w:ascii="Times New Roman" w:hAnsi="Times New Roman" w:cs="Times New Roman"/>
          <w:sz w:val="24"/>
          <w:szCs w:val="24"/>
        </w:rPr>
        <w:t xml:space="preserve">los “roundabout” (esos funambulistas del mercado financiero que le echan 110 horas semanales a inventar nuevos productos </w:t>
      </w:r>
      <w:r w:rsidR="00A81631">
        <w:rPr>
          <w:rFonts w:ascii="Times New Roman" w:hAnsi="Times New Roman" w:cs="Times New Roman"/>
          <w:sz w:val="24"/>
          <w:szCs w:val="24"/>
        </w:rPr>
        <w:t>con los que arrear a la manada), no tiene límite (ni filtro).</w:t>
      </w:r>
      <w:r w:rsidR="0030641F">
        <w:rPr>
          <w:rFonts w:ascii="Times New Roman" w:hAnsi="Times New Roman" w:cs="Times New Roman"/>
          <w:sz w:val="24"/>
          <w:szCs w:val="24"/>
        </w:rPr>
        <w:t xml:space="preserve"> Esos mismos que ahít</w:t>
      </w:r>
      <w:r w:rsidR="0000439F">
        <w:rPr>
          <w:rFonts w:ascii="Times New Roman" w:hAnsi="Times New Roman" w:cs="Times New Roman"/>
          <w:sz w:val="24"/>
          <w:szCs w:val="24"/>
        </w:rPr>
        <w:t xml:space="preserve">os de alcohol y droga, hacen carreras </w:t>
      </w:r>
      <w:r w:rsidR="0030641F">
        <w:rPr>
          <w:rFonts w:ascii="Times New Roman" w:hAnsi="Times New Roman" w:cs="Times New Roman"/>
          <w:sz w:val="24"/>
          <w:szCs w:val="24"/>
        </w:rPr>
        <w:t>en</w:t>
      </w:r>
      <w:r w:rsidR="0000439F">
        <w:rPr>
          <w:rFonts w:ascii="Times New Roman" w:hAnsi="Times New Roman" w:cs="Times New Roman"/>
          <w:sz w:val="24"/>
          <w:szCs w:val="24"/>
        </w:rPr>
        <w:t xml:space="preserve"> sus</w:t>
      </w:r>
      <w:r w:rsidR="0030641F">
        <w:rPr>
          <w:rFonts w:ascii="Times New Roman" w:hAnsi="Times New Roman" w:cs="Times New Roman"/>
          <w:sz w:val="24"/>
          <w:szCs w:val="24"/>
        </w:rPr>
        <w:t xml:space="preserve"> Porsche, Maseratti o Lamborghini, después de la afterhour, mientras </w:t>
      </w:r>
      <w:r>
        <w:rPr>
          <w:rFonts w:ascii="Times New Roman" w:hAnsi="Times New Roman" w:cs="Times New Roman"/>
          <w:sz w:val="24"/>
          <w:szCs w:val="24"/>
        </w:rPr>
        <w:t xml:space="preserve">se </w:t>
      </w:r>
      <w:r w:rsidR="0030641F">
        <w:rPr>
          <w:rFonts w:ascii="Times New Roman" w:hAnsi="Times New Roman" w:cs="Times New Roman"/>
          <w:sz w:val="24"/>
          <w:szCs w:val="24"/>
        </w:rPr>
        <w:t>echan una</w:t>
      </w:r>
      <w:r>
        <w:rPr>
          <w:rFonts w:ascii="Times New Roman" w:hAnsi="Times New Roman" w:cs="Times New Roman"/>
          <w:sz w:val="24"/>
          <w:szCs w:val="24"/>
        </w:rPr>
        <w:t>s</w:t>
      </w:r>
      <w:r w:rsidR="0030641F">
        <w:rPr>
          <w:rFonts w:ascii="Times New Roman" w:hAnsi="Times New Roman" w:cs="Times New Roman"/>
          <w:sz w:val="24"/>
          <w:szCs w:val="24"/>
        </w:rPr>
        <w:t xml:space="preserve"> risas</w:t>
      </w:r>
      <w:r w:rsidR="005651A6">
        <w:rPr>
          <w:rFonts w:ascii="Times New Roman" w:hAnsi="Times New Roman" w:cs="Times New Roman"/>
          <w:sz w:val="24"/>
          <w:szCs w:val="24"/>
        </w:rPr>
        <w:t xml:space="preserve">, a cuenta de los </w:t>
      </w:r>
      <w:r>
        <w:rPr>
          <w:rFonts w:ascii="Times New Roman" w:hAnsi="Times New Roman" w:cs="Times New Roman"/>
          <w:sz w:val="24"/>
          <w:szCs w:val="24"/>
        </w:rPr>
        <w:t>inversores</w:t>
      </w:r>
      <w:r w:rsidR="005651A6">
        <w:rPr>
          <w:rFonts w:ascii="Times New Roman" w:hAnsi="Times New Roman" w:cs="Times New Roman"/>
          <w:sz w:val="24"/>
          <w:szCs w:val="24"/>
        </w:rPr>
        <w:t xml:space="preserve"> pasmados</w:t>
      </w:r>
      <w:r>
        <w:rPr>
          <w:rFonts w:ascii="Times New Roman" w:hAnsi="Times New Roman" w:cs="Times New Roman"/>
          <w:sz w:val="24"/>
          <w:szCs w:val="24"/>
        </w:rPr>
        <w:t>)</w:t>
      </w:r>
      <w:r w:rsidR="005651A6">
        <w:rPr>
          <w:rFonts w:ascii="Times New Roman" w:hAnsi="Times New Roman" w:cs="Times New Roman"/>
          <w:sz w:val="24"/>
          <w:szCs w:val="24"/>
        </w:rPr>
        <w:t>.</w:t>
      </w:r>
      <w:r w:rsidR="00E6717E">
        <w:rPr>
          <w:rFonts w:ascii="Times New Roman" w:hAnsi="Times New Roman" w:cs="Times New Roman"/>
          <w:sz w:val="24"/>
          <w:szCs w:val="24"/>
        </w:rPr>
        <w:t xml:space="preserve"> </w:t>
      </w:r>
      <w:r w:rsidR="00C14BA0">
        <w:rPr>
          <w:rFonts w:ascii="Times New Roman" w:hAnsi="Times New Roman" w:cs="Times New Roman"/>
          <w:sz w:val="24"/>
          <w:szCs w:val="24"/>
        </w:rPr>
        <w:t>Encerrados en su “cámara de eco”, donde lo único real es el próximo “bonus”.</w:t>
      </w:r>
    </w:p>
    <w:p w:rsidR="0000439F" w:rsidRDefault="0000439F"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Sobre el inven</w:t>
      </w:r>
      <w:r w:rsidR="00FD540A">
        <w:rPr>
          <w:rFonts w:ascii="Times New Roman" w:hAnsi="Times New Roman" w:cs="Times New Roman"/>
          <w:sz w:val="24"/>
          <w:szCs w:val="24"/>
        </w:rPr>
        <w:t>to de las “criptomonedas</w:t>
      </w:r>
      <w:r>
        <w:rPr>
          <w:rFonts w:ascii="Times New Roman" w:hAnsi="Times New Roman" w:cs="Times New Roman"/>
          <w:sz w:val="24"/>
          <w:szCs w:val="24"/>
        </w:rPr>
        <w:t>”, ya realicé mis críticas con anterioridad:</w:t>
      </w:r>
    </w:p>
    <w:p w:rsidR="0000439F" w:rsidRDefault="0000439F"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15-9-2014 - </w:t>
      </w:r>
      <w:r w:rsidRPr="0000439F">
        <w:rPr>
          <w:rFonts w:ascii="Times New Roman" w:hAnsi="Times New Roman" w:cs="Times New Roman"/>
          <w:sz w:val="24"/>
          <w:szCs w:val="24"/>
        </w:rPr>
        <w:t>El "Big-cuent" del Bitcoin (¿de "burbu-giles" a "gili-coins"?)</w:t>
      </w:r>
    </w:p>
    <w:p w:rsidR="0000439F" w:rsidRDefault="0000439F"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15-11-2019 - </w:t>
      </w:r>
      <w:r w:rsidRPr="0000439F">
        <w:rPr>
          <w:rFonts w:ascii="Times New Roman" w:hAnsi="Times New Roman" w:cs="Times New Roman"/>
          <w:sz w:val="24"/>
          <w:szCs w:val="24"/>
        </w:rPr>
        <w:t>Libra:</w:t>
      </w:r>
      <w:r>
        <w:rPr>
          <w:rFonts w:ascii="Times New Roman" w:hAnsi="Times New Roman" w:cs="Times New Roman"/>
          <w:sz w:val="24"/>
          <w:szCs w:val="24"/>
        </w:rPr>
        <w:t xml:space="preserve"> </w:t>
      </w:r>
      <w:r w:rsidRPr="0000439F">
        <w:rPr>
          <w:rFonts w:ascii="Times New Roman" w:hAnsi="Times New Roman" w:cs="Times New Roman"/>
          <w:sz w:val="24"/>
          <w:szCs w:val="24"/>
        </w:rPr>
        <w:t>el asalto frontal de Facebook a las finanzas</w:t>
      </w:r>
    </w:p>
    <w:p w:rsidR="00E6717E" w:rsidRDefault="00E6717E"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Pero sigue sorprendiéndome</w:t>
      </w:r>
      <w:r w:rsidR="00FD540A">
        <w:rPr>
          <w:rFonts w:ascii="Times New Roman" w:hAnsi="Times New Roman" w:cs="Times New Roman"/>
          <w:sz w:val="24"/>
          <w:szCs w:val="24"/>
        </w:rPr>
        <w:t xml:space="preserve"> (al 11/7/25 el Bitcoin se cotiza a </w:t>
      </w:r>
      <w:r w:rsidR="00FD540A" w:rsidRPr="00FD540A">
        <w:rPr>
          <w:rFonts w:ascii="Times New Roman" w:hAnsi="Times New Roman" w:cs="Times New Roman"/>
          <w:sz w:val="24"/>
          <w:szCs w:val="24"/>
        </w:rPr>
        <w:t>117.673,40</w:t>
      </w:r>
      <w:r w:rsidR="00FD540A">
        <w:rPr>
          <w:rFonts w:ascii="Times New Roman" w:hAnsi="Times New Roman" w:cs="Times New Roman"/>
          <w:sz w:val="24"/>
          <w:szCs w:val="24"/>
        </w:rPr>
        <w:t xml:space="preserve"> </w:t>
      </w:r>
      <w:r w:rsidR="00FD540A" w:rsidRPr="00FD540A">
        <w:rPr>
          <w:rFonts w:ascii="Times New Roman" w:hAnsi="Times New Roman" w:cs="Times New Roman"/>
          <w:sz w:val="24"/>
          <w:szCs w:val="24"/>
        </w:rPr>
        <w:t>USD</w:t>
      </w:r>
      <w:r w:rsidR="00FD540A">
        <w:rPr>
          <w:rFonts w:ascii="Times New Roman" w:hAnsi="Times New Roman" w:cs="Times New Roman"/>
          <w:sz w:val="24"/>
          <w:szCs w:val="24"/>
        </w:rPr>
        <w:t>)</w:t>
      </w:r>
      <w:r w:rsidR="0000439F">
        <w:rPr>
          <w:rFonts w:ascii="Times New Roman" w:hAnsi="Times New Roman" w:cs="Times New Roman"/>
          <w:sz w:val="24"/>
          <w:szCs w:val="24"/>
        </w:rPr>
        <w:t>, que</w:t>
      </w:r>
      <w:r w:rsidR="00FD540A">
        <w:rPr>
          <w:rFonts w:ascii="Times New Roman" w:hAnsi="Times New Roman" w:cs="Times New Roman"/>
          <w:sz w:val="24"/>
          <w:szCs w:val="24"/>
        </w:rPr>
        <w:t xml:space="preserve"> la gente (si no está guiada por un espíritu anárquico</w:t>
      </w:r>
      <w:r>
        <w:rPr>
          <w:rFonts w:ascii="Times New Roman" w:hAnsi="Times New Roman" w:cs="Times New Roman"/>
          <w:sz w:val="24"/>
          <w:szCs w:val="24"/>
        </w:rPr>
        <w:t xml:space="preserve"> extremo</w:t>
      </w:r>
      <w:r w:rsidR="00FD540A">
        <w:rPr>
          <w:rFonts w:ascii="Times New Roman" w:hAnsi="Times New Roman" w:cs="Times New Roman"/>
          <w:sz w:val="24"/>
          <w:szCs w:val="24"/>
        </w:rPr>
        <w:t xml:space="preserve">, </w:t>
      </w:r>
      <w:r>
        <w:rPr>
          <w:rFonts w:ascii="Times New Roman" w:hAnsi="Times New Roman" w:cs="Times New Roman"/>
          <w:sz w:val="24"/>
          <w:szCs w:val="24"/>
        </w:rPr>
        <w:t>desea</w:t>
      </w:r>
      <w:r w:rsidR="00FD540A">
        <w:rPr>
          <w:rFonts w:ascii="Times New Roman" w:hAnsi="Times New Roman" w:cs="Times New Roman"/>
          <w:sz w:val="24"/>
          <w:szCs w:val="24"/>
        </w:rPr>
        <w:t xml:space="preserve"> ocultar su dinero al fisco, </w:t>
      </w:r>
      <w:r>
        <w:rPr>
          <w:rFonts w:ascii="Times New Roman" w:hAnsi="Times New Roman" w:cs="Times New Roman"/>
          <w:sz w:val="24"/>
          <w:szCs w:val="24"/>
        </w:rPr>
        <w:t xml:space="preserve">o </w:t>
      </w:r>
      <w:r w:rsidR="00FD540A">
        <w:rPr>
          <w:rFonts w:ascii="Times New Roman" w:hAnsi="Times New Roman" w:cs="Times New Roman"/>
          <w:sz w:val="24"/>
          <w:szCs w:val="24"/>
        </w:rPr>
        <w:t>blanquear dinero del n</w:t>
      </w:r>
      <w:r>
        <w:rPr>
          <w:rFonts w:ascii="Times New Roman" w:hAnsi="Times New Roman" w:cs="Times New Roman"/>
          <w:sz w:val="24"/>
          <w:szCs w:val="24"/>
        </w:rPr>
        <w:t>arcotráfico y el crimen organizado), entregue dinero real (dólares, euros, yenes…), para adquirir una moneda virtual que no está controlada ni respaldada</w:t>
      </w:r>
      <w:r w:rsidRPr="00E6717E">
        <w:rPr>
          <w:rFonts w:ascii="Times New Roman" w:hAnsi="Times New Roman" w:cs="Times New Roman"/>
          <w:sz w:val="24"/>
          <w:szCs w:val="24"/>
        </w:rPr>
        <w:t xml:space="preserve"> por ningún banco central</w:t>
      </w:r>
      <w:r>
        <w:rPr>
          <w:rFonts w:ascii="Times New Roman" w:hAnsi="Times New Roman" w:cs="Times New Roman"/>
          <w:sz w:val="24"/>
          <w:szCs w:val="24"/>
        </w:rPr>
        <w:t xml:space="preserve">. </w:t>
      </w:r>
      <w:r w:rsidR="00FD540A">
        <w:rPr>
          <w:rFonts w:ascii="Times New Roman" w:hAnsi="Times New Roman" w:cs="Times New Roman"/>
          <w:sz w:val="24"/>
          <w:szCs w:val="24"/>
        </w:rPr>
        <w:t xml:space="preserve"> </w:t>
      </w:r>
    </w:p>
    <w:p w:rsidR="00E125E6" w:rsidRDefault="00E125E6"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En el gran arte del timo,</w:t>
      </w:r>
      <w:r w:rsidR="0029635F">
        <w:rPr>
          <w:rFonts w:ascii="Times New Roman" w:hAnsi="Times New Roman" w:cs="Times New Roman"/>
          <w:sz w:val="24"/>
          <w:szCs w:val="24"/>
        </w:rPr>
        <w:t xml:space="preserve"> esos intermediarios financieros -que nunca son de fiar, y jamás son sinceros- </w:t>
      </w:r>
      <w:r>
        <w:rPr>
          <w:rFonts w:ascii="Times New Roman" w:hAnsi="Times New Roman" w:cs="Times New Roman"/>
          <w:sz w:val="24"/>
          <w:szCs w:val="24"/>
        </w:rPr>
        <w:t xml:space="preserve"> rápidos de oído y evanescentes, como avezados jugadores de póker, en un segundo pueden retirarse de una operación, escapando sin reparar el daño, co</w:t>
      </w:r>
      <w:r w:rsidR="0029635F">
        <w:rPr>
          <w:rFonts w:ascii="Times New Roman" w:hAnsi="Times New Roman" w:cs="Times New Roman"/>
          <w:sz w:val="24"/>
          <w:szCs w:val="24"/>
        </w:rPr>
        <w:t>n una incansable energía, rauda</w:t>
      </w:r>
      <w:r>
        <w:rPr>
          <w:rFonts w:ascii="Times New Roman" w:hAnsi="Times New Roman" w:cs="Times New Roman"/>
          <w:sz w:val="24"/>
          <w:szCs w:val="24"/>
        </w:rPr>
        <w:t xml:space="preserve"> y silenciosamente, como si borraran una acción vergonzosa.</w:t>
      </w:r>
    </w:p>
    <w:p w:rsidR="00E125E6" w:rsidRDefault="0029635F"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Mientras</w:t>
      </w:r>
      <w:r w:rsidR="00C14BA0">
        <w:rPr>
          <w:rFonts w:ascii="Times New Roman" w:hAnsi="Times New Roman" w:cs="Times New Roman"/>
          <w:sz w:val="24"/>
          <w:szCs w:val="24"/>
        </w:rPr>
        <w:t>, encierran</w:t>
      </w:r>
      <w:r>
        <w:rPr>
          <w:rFonts w:ascii="Times New Roman" w:hAnsi="Times New Roman" w:cs="Times New Roman"/>
          <w:sz w:val="24"/>
          <w:szCs w:val="24"/>
        </w:rPr>
        <w:t xml:space="preserve"> </w:t>
      </w:r>
      <w:r w:rsidR="00E125E6">
        <w:rPr>
          <w:rFonts w:ascii="Times New Roman" w:hAnsi="Times New Roman" w:cs="Times New Roman"/>
          <w:sz w:val="24"/>
          <w:szCs w:val="24"/>
        </w:rPr>
        <w:t>a los incautos i</w:t>
      </w:r>
      <w:r w:rsidR="00C14BA0">
        <w:rPr>
          <w:rFonts w:ascii="Times New Roman" w:hAnsi="Times New Roman" w:cs="Times New Roman"/>
          <w:sz w:val="24"/>
          <w:szCs w:val="24"/>
        </w:rPr>
        <w:t>nversores (ahorristas, familias,</w:t>
      </w:r>
      <w:r w:rsidR="00E125E6">
        <w:rPr>
          <w:rFonts w:ascii="Times New Roman" w:hAnsi="Times New Roman" w:cs="Times New Roman"/>
          <w:sz w:val="24"/>
          <w:szCs w:val="24"/>
        </w:rPr>
        <w:t xml:space="preserve"> pequeños empresarios)</w:t>
      </w:r>
      <w:r>
        <w:rPr>
          <w:rFonts w:ascii="Times New Roman" w:hAnsi="Times New Roman" w:cs="Times New Roman"/>
          <w:sz w:val="24"/>
          <w:szCs w:val="24"/>
        </w:rPr>
        <w:t>,</w:t>
      </w:r>
      <w:r w:rsidR="00C14BA0">
        <w:rPr>
          <w:rFonts w:ascii="Times New Roman" w:hAnsi="Times New Roman" w:cs="Times New Roman"/>
          <w:sz w:val="24"/>
          <w:szCs w:val="24"/>
        </w:rPr>
        <w:t xml:space="preserve"> en un estado de “positividad tóxica”, en el</w:t>
      </w:r>
      <w:r>
        <w:rPr>
          <w:rFonts w:ascii="Times New Roman" w:hAnsi="Times New Roman" w:cs="Times New Roman"/>
          <w:sz w:val="24"/>
          <w:szCs w:val="24"/>
        </w:rPr>
        <w:t xml:space="preserve"> que no</w:t>
      </w:r>
      <w:r w:rsidR="00C14BA0">
        <w:rPr>
          <w:rFonts w:ascii="Times New Roman" w:hAnsi="Times New Roman" w:cs="Times New Roman"/>
          <w:sz w:val="24"/>
          <w:szCs w:val="24"/>
        </w:rPr>
        <w:t xml:space="preserve"> alcanzan a</w:t>
      </w:r>
      <w:r>
        <w:rPr>
          <w:rFonts w:ascii="Times New Roman" w:hAnsi="Times New Roman" w:cs="Times New Roman"/>
          <w:sz w:val="24"/>
          <w:szCs w:val="24"/>
        </w:rPr>
        <w:t xml:space="preserve"> imaginar qué</w:t>
      </w:r>
      <w:r w:rsidR="00E125E6">
        <w:rPr>
          <w:rFonts w:ascii="Times New Roman" w:hAnsi="Times New Roman" w:cs="Times New Roman"/>
          <w:sz w:val="24"/>
          <w:szCs w:val="24"/>
        </w:rPr>
        <w:t xml:space="preserve"> clase de peligros le pueden deparar manos tan insidiosas</w:t>
      </w:r>
      <w:r w:rsidR="00C14BA0">
        <w:rPr>
          <w:rFonts w:ascii="Times New Roman" w:hAnsi="Times New Roman" w:cs="Times New Roman"/>
          <w:sz w:val="24"/>
          <w:szCs w:val="24"/>
        </w:rPr>
        <w:t xml:space="preserve">. </w:t>
      </w:r>
    </w:p>
    <w:p w:rsidR="00CF4D00" w:rsidRDefault="00CF4D00"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Es el “imperio del presente continuo”, donde el propio sistema no tolera las pausas, las preguntas difíciles, ni los diagnósticos que no caben en un titular, o a lo sumo en un tuit. </w:t>
      </w:r>
    </w:p>
    <w:p w:rsidR="00E125E6" w:rsidRDefault="00E125E6" w:rsidP="00E125E6">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mirando el paisaje no solo Fibonacci, lloraría, sino que también lo haría </w:t>
      </w:r>
      <w:r w:rsidRPr="005651A6">
        <w:rPr>
          <w:rFonts w:ascii="Times New Roman" w:eastAsia="Times New Roman" w:hAnsi="Times New Roman" w:cs="Times New Roman"/>
          <w:sz w:val="24"/>
          <w:szCs w:val="24"/>
          <w:lang w:eastAsia="es-ES"/>
        </w:rPr>
        <w:t>Nietzsche</w:t>
      </w:r>
      <w:r>
        <w:rPr>
          <w:rFonts w:ascii="Times New Roman" w:hAnsi="Times New Roman" w:cs="Times New Roman"/>
          <w:sz w:val="24"/>
          <w:szCs w:val="24"/>
        </w:rPr>
        <w:t xml:space="preserve">, y hasta Adam Smith, viendo a dónde han llevado estos “ladronazos” el libre mercado. </w:t>
      </w:r>
    </w:p>
    <w:p w:rsidR="00AC4DC1" w:rsidRDefault="00AC4DC1" w:rsidP="00E125E6">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Y llorarían, ante la visión de lo que han hecho, por exceso de codicia, avaricia, arrogancia, fatuidad, cinismo, hipocresía, amoralidad, irresponsabilidad, con el “progreso” económico:</w:t>
      </w:r>
    </w:p>
    <w:p w:rsidR="005651A6" w:rsidRPr="00BA5C8F" w:rsidRDefault="00AC4DC1"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¿Quién hubiera pensado, que el progreso</w:t>
      </w:r>
      <w:r w:rsidR="00BA5C8F">
        <w:rPr>
          <w:rFonts w:ascii="Times New Roman" w:hAnsi="Times New Roman" w:cs="Times New Roman"/>
          <w:sz w:val="24"/>
          <w:szCs w:val="24"/>
        </w:rPr>
        <w:t xml:space="preserve"> de la economía </w:t>
      </w:r>
      <w:r>
        <w:rPr>
          <w:rFonts w:ascii="Times New Roman" w:hAnsi="Times New Roman" w:cs="Times New Roman"/>
          <w:sz w:val="24"/>
          <w:szCs w:val="24"/>
        </w:rPr>
        <w:t xml:space="preserve"> estaría representado por una costra letal, un cierto virus leproso de irrealidad, encerrado en una nebulosa y al borde de la locura, que nos sería arrebatado por completo, y que nos dejaría en su lugar un antro indescriptible e insustancial como el de ahora?</w:t>
      </w:r>
    </w:p>
    <w:p w:rsidR="005651A6" w:rsidRDefault="005651A6"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escribo todo esto puede que tenga algún tipo de interés histórico, pero sobre </w:t>
      </w:r>
      <w:r w:rsidR="00022DF8">
        <w:rPr>
          <w:rFonts w:ascii="Times New Roman" w:hAnsi="Times New Roman" w:cs="Times New Roman"/>
          <w:sz w:val="24"/>
          <w:szCs w:val="24"/>
        </w:rPr>
        <w:t xml:space="preserve">todo tengo </w:t>
      </w:r>
      <w:r>
        <w:rPr>
          <w:rFonts w:ascii="Times New Roman" w:hAnsi="Times New Roman" w:cs="Times New Roman"/>
          <w:sz w:val="24"/>
          <w:szCs w:val="24"/>
        </w:rPr>
        <w:t>una desconfianza</w:t>
      </w:r>
      <w:r w:rsidR="00022DF8">
        <w:rPr>
          <w:rFonts w:ascii="Times New Roman" w:hAnsi="Times New Roman" w:cs="Times New Roman"/>
          <w:sz w:val="24"/>
          <w:szCs w:val="24"/>
        </w:rPr>
        <w:t xml:space="preserve"> visceral, atávica, intuitiva, instintiva, inconsciente, qu</w:t>
      </w:r>
      <w:r w:rsidR="00A26C20">
        <w:rPr>
          <w:rFonts w:ascii="Times New Roman" w:hAnsi="Times New Roman" w:cs="Times New Roman"/>
          <w:sz w:val="24"/>
          <w:szCs w:val="24"/>
        </w:rPr>
        <w:t>e me lleva a ser precavido,</w:t>
      </w:r>
      <w:r w:rsidR="00022DF8">
        <w:rPr>
          <w:rFonts w:ascii="Times New Roman" w:hAnsi="Times New Roman" w:cs="Times New Roman"/>
          <w:sz w:val="24"/>
          <w:szCs w:val="24"/>
        </w:rPr>
        <w:t xml:space="preserve"> de forma amplia y fundamentada,</w:t>
      </w:r>
      <w:r w:rsidR="00A26C20">
        <w:rPr>
          <w:rFonts w:ascii="Times New Roman" w:hAnsi="Times New Roman" w:cs="Times New Roman"/>
          <w:sz w:val="24"/>
          <w:szCs w:val="24"/>
        </w:rPr>
        <w:t xml:space="preserve"> ante </w:t>
      </w:r>
      <w:r w:rsidR="00022DF8">
        <w:rPr>
          <w:rFonts w:ascii="Times New Roman" w:hAnsi="Times New Roman" w:cs="Times New Roman"/>
          <w:sz w:val="24"/>
          <w:szCs w:val="24"/>
        </w:rPr>
        <w:t xml:space="preserve">toda esta “conjura de los necios” en que se ha transformado el negocio de la bolsa. </w:t>
      </w:r>
    </w:p>
    <w:p w:rsidR="00BA5C8F" w:rsidRDefault="00E0676E" w:rsidP="00E24FA0">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El bucle absurdo.</w:t>
      </w:r>
      <w:r w:rsidR="00BA5C8F">
        <w:rPr>
          <w:rFonts w:ascii="Times New Roman" w:hAnsi="Times New Roman" w:cs="Times New Roman"/>
          <w:sz w:val="24"/>
          <w:szCs w:val="24"/>
        </w:rPr>
        <w:t xml:space="preserve"> La pregunta no es</w:t>
      </w:r>
      <w:r>
        <w:rPr>
          <w:rFonts w:ascii="Times New Roman" w:hAnsi="Times New Roman" w:cs="Times New Roman"/>
          <w:sz w:val="24"/>
          <w:szCs w:val="24"/>
        </w:rPr>
        <w:t>:</w:t>
      </w:r>
      <w:r w:rsidR="00BA5C8F">
        <w:rPr>
          <w:rFonts w:ascii="Times New Roman" w:hAnsi="Times New Roman" w:cs="Times New Roman"/>
          <w:sz w:val="24"/>
          <w:szCs w:val="24"/>
        </w:rPr>
        <w:t xml:space="preserve"> ¿por qué ha bajado la bolsa hoy? La pregunta correcta es</w:t>
      </w:r>
      <w:r>
        <w:rPr>
          <w:rFonts w:ascii="Times New Roman" w:hAnsi="Times New Roman" w:cs="Times New Roman"/>
          <w:sz w:val="24"/>
          <w:szCs w:val="24"/>
        </w:rPr>
        <w:t>:</w:t>
      </w:r>
      <w:r w:rsidR="00BA5C8F">
        <w:rPr>
          <w:rFonts w:ascii="Times New Roman" w:hAnsi="Times New Roman" w:cs="Times New Roman"/>
          <w:sz w:val="24"/>
          <w:szCs w:val="24"/>
        </w:rPr>
        <w:t xml:space="preserve"> </w:t>
      </w:r>
      <w:r>
        <w:rPr>
          <w:rFonts w:ascii="Times New Roman" w:hAnsi="Times New Roman" w:cs="Times New Roman"/>
          <w:sz w:val="24"/>
          <w:szCs w:val="24"/>
        </w:rPr>
        <w:t>¿y por qué subió tanto antes?...</w:t>
      </w:r>
    </w:p>
    <w:p w:rsidR="00E6717E" w:rsidRPr="002C5383" w:rsidRDefault="00E6717E" w:rsidP="00E24FA0">
      <w:pPr>
        <w:spacing w:before="120" w:after="120" w:line="240" w:lineRule="auto"/>
        <w:jc w:val="both"/>
        <w:rPr>
          <w:rFonts w:ascii="Times New Roman" w:hAnsi="Times New Roman" w:cs="Times New Roman"/>
          <w:b/>
          <w:sz w:val="24"/>
          <w:szCs w:val="24"/>
          <w:lang w:val="en-GB"/>
        </w:rPr>
      </w:pPr>
      <w:r w:rsidRPr="002C5383">
        <w:rPr>
          <w:rFonts w:ascii="Times New Roman" w:hAnsi="Times New Roman" w:cs="Times New Roman"/>
          <w:b/>
          <w:sz w:val="24"/>
          <w:szCs w:val="24"/>
          <w:lang w:val="en-GB"/>
        </w:rPr>
        <w:lastRenderedPageBreak/>
        <w:t>Un laberinto de sofismas: del “fly to for profit”</w:t>
      </w:r>
      <w:r w:rsidR="00A81631">
        <w:rPr>
          <w:rFonts w:ascii="Times New Roman" w:hAnsi="Times New Roman" w:cs="Times New Roman"/>
          <w:b/>
          <w:sz w:val="24"/>
          <w:szCs w:val="24"/>
          <w:lang w:val="en-GB"/>
        </w:rPr>
        <w:t>,</w:t>
      </w:r>
      <w:r w:rsidRPr="002C5383">
        <w:rPr>
          <w:rFonts w:ascii="Times New Roman" w:hAnsi="Times New Roman" w:cs="Times New Roman"/>
          <w:b/>
          <w:sz w:val="24"/>
          <w:szCs w:val="24"/>
          <w:lang w:val="en-GB"/>
        </w:rPr>
        <w:t xml:space="preserve"> al “back to the base”</w:t>
      </w:r>
    </w:p>
    <w:p w:rsidR="00E0676E" w:rsidRPr="002C5383" w:rsidRDefault="00E0676E" w:rsidP="00E24FA0">
      <w:pPr>
        <w:spacing w:before="120" w:after="120" w:line="240" w:lineRule="auto"/>
        <w:jc w:val="both"/>
        <w:rPr>
          <w:rFonts w:ascii="Times New Roman" w:hAnsi="Times New Roman" w:cs="Times New Roman"/>
          <w:b/>
          <w:sz w:val="24"/>
          <w:szCs w:val="24"/>
        </w:rPr>
      </w:pPr>
      <w:r w:rsidRPr="002C5383">
        <w:rPr>
          <w:rFonts w:ascii="Times New Roman" w:hAnsi="Times New Roman" w:cs="Times New Roman"/>
          <w:b/>
          <w:sz w:val="24"/>
          <w:szCs w:val="24"/>
        </w:rPr>
        <w:t>Un exceso de análisis técnico</w:t>
      </w:r>
    </w:p>
    <w:p w:rsidR="00E0676E" w:rsidRDefault="00E0676E" w:rsidP="00E24FA0">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Las herramientas para el análisis técnico no son más que ciertos indicadores y osciladores utilizados por los traders para interpretar los mercados.</w:t>
      </w:r>
      <w:r w:rsidR="008968C9">
        <w:rPr>
          <w:rFonts w:ascii="Times New Roman" w:hAnsi="Times New Roman" w:cs="Times New Roman"/>
          <w:sz w:val="24"/>
          <w:szCs w:val="24"/>
        </w:rPr>
        <w:t xml:space="preserve"> </w:t>
      </w:r>
      <w:r w:rsidRPr="00E0676E">
        <w:rPr>
          <w:rFonts w:ascii="Times New Roman" w:hAnsi="Times New Roman" w:cs="Times New Roman"/>
          <w:sz w:val="24"/>
          <w:szCs w:val="24"/>
        </w:rPr>
        <w:t xml:space="preserve">Generalmente se utiliza para tomar decisiones de </w:t>
      </w:r>
      <w:r w:rsidR="000B2E6C">
        <w:rPr>
          <w:rFonts w:ascii="Times New Roman" w:hAnsi="Times New Roman" w:cs="Times New Roman"/>
          <w:sz w:val="24"/>
          <w:szCs w:val="24"/>
        </w:rPr>
        <w:t>inversión a largo plazo. Emplea</w:t>
      </w:r>
      <w:r w:rsidRPr="00E0676E">
        <w:rPr>
          <w:rFonts w:ascii="Times New Roman" w:hAnsi="Times New Roman" w:cs="Times New Roman"/>
          <w:sz w:val="24"/>
          <w:szCs w:val="24"/>
        </w:rPr>
        <w:t xml:space="preserve"> herramientas como gráficos, indicadores técnicos (RSI, MACD), líneas d</w:t>
      </w:r>
      <w:r>
        <w:rPr>
          <w:rFonts w:ascii="Times New Roman" w:hAnsi="Times New Roman" w:cs="Times New Roman"/>
          <w:sz w:val="24"/>
          <w:szCs w:val="24"/>
        </w:rPr>
        <w:t>e tendencia y patrones de velas</w:t>
      </w:r>
      <w:r w:rsidR="000B2E6C">
        <w:rPr>
          <w:rFonts w:ascii="Times New Roman" w:hAnsi="Times New Roman" w:cs="Times New Roman"/>
          <w:sz w:val="24"/>
          <w:szCs w:val="24"/>
        </w:rPr>
        <w:t>. Se vale de</w:t>
      </w:r>
      <w:r w:rsidRPr="00E0676E">
        <w:rPr>
          <w:rFonts w:ascii="Times New Roman" w:hAnsi="Times New Roman" w:cs="Times New Roman"/>
          <w:sz w:val="24"/>
          <w:szCs w:val="24"/>
        </w:rPr>
        <w:t xml:space="preserve"> herramientas como el PER, el P/B, el ROE, el análisis de flujo de caja descontado (DCF) e indicadores económicos. Las decisiones se basan en patrones gráficos, tendencias y señales de trading.</w:t>
      </w:r>
    </w:p>
    <w:p w:rsidR="00E0676E" w:rsidRP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El precio, sea de un activo o mercado específico, es el núcleo alrededor del cual gira la mayor parte del análisis técnico.</w:t>
      </w:r>
      <w:r w:rsidR="0053581A">
        <w:rPr>
          <w:rFonts w:ascii="Times New Roman" w:hAnsi="Times New Roman" w:cs="Times New Roman"/>
          <w:sz w:val="24"/>
          <w:szCs w:val="24"/>
        </w:rPr>
        <w:t xml:space="preserve"> </w:t>
      </w:r>
      <w:r w:rsidRPr="00E0676E">
        <w:rPr>
          <w:rFonts w:ascii="Times New Roman" w:hAnsi="Times New Roman" w:cs="Times New Roman"/>
          <w:sz w:val="24"/>
          <w:szCs w:val="24"/>
        </w:rPr>
        <w:t>El análisis técnico, por tanto, se centra en el estudio de las diferentes circunstancias y factores que provocan los movimientos de precio en los mercados.</w:t>
      </w:r>
    </w:p>
    <w:p w:rsidR="00E0676E" w:rsidRP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El concepto de tendencia es de vital importancia cuando se va a realizar el análisis técnico. Los movimientos del mercado y los patrones que forman los mismos requieren de una atención y comprensión precisa por parte de los traders a la hora de invertir. La identificación temprana de una tendencia es determinante al momento de efectuar operaciones para poder maximizar los beneficios.</w:t>
      </w:r>
    </w:p>
    <w:p w:rsidR="00E0676E" w:rsidRP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Las zonas de soporte y resistencia son una parte esencial del análisis técnico, las mismas marcan puntos del mercado (dentro de un período de tiempo determinado) que el precio tiende</w:t>
      </w:r>
      <w:r w:rsidR="000B2E6C">
        <w:rPr>
          <w:rFonts w:ascii="Times New Roman" w:hAnsi="Times New Roman" w:cs="Times New Roman"/>
          <w:sz w:val="24"/>
          <w:szCs w:val="24"/>
        </w:rPr>
        <w:t xml:space="preserve"> a</w:t>
      </w:r>
      <w:r w:rsidRPr="00E0676E">
        <w:rPr>
          <w:rFonts w:ascii="Times New Roman" w:hAnsi="Times New Roman" w:cs="Times New Roman"/>
          <w:sz w:val="24"/>
          <w:szCs w:val="24"/>
        </w:rPr>
        <w:t xml:space="preserve"> no sobrepasar. Las zonas de soporte son aquellas en las que el precio tiende a no descender bajo circunstancias normales. A la vez, las zonas de resistencia son aquellas que el precio tiende a no sobre</w:t>
      </w:r>
      <w:r w:rsidR="0053581A">
        <w:rPr>
          <w:rFonts w:ascii="Times New Roman" w:hAnsi="Times New Roman" w:cs="Times New Roman"/>
          <w:sz w:val="24"/>
          <w:szCs w:val="24"/>
        </w:rPr>
        <w:t>pasar cierto punto del mercado.</w:t>
      </w:r>
    </w:p>
    <w:p w:rsidR="00E0676E" w:rsidRP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El estudio de las zonas de soporte y resistencia por parte de los traders es de gran relevancia para llevar a cabo un análisis técnico acertado. Ello facilitará identificar los cambios de tendencia y determinar si las mismas</w:t>
      </w:r>
      <w:r w:rsidR="0053581A">
        <w:rPr>
          <w:rFonts w:ascii="Times New Roman" w:hAnsi="Times New Roman" w:cs="Times New Roman"/>
          <w:sz w:val="24"/>
          <w:szCs w:val="24"/>
        </w:rPr>
        <w:t xml:space="preserve"> son de tipo alcista o bajista.</w:t>
      </w:r>
    </w:p>
    <w:p w:rsidR="00E0676E" w:rsidRP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Las estrategias de trading de Fibonacci proporcionan un medio por el cual los inversores pueden medir las desaceleraciones de los mercados y encontrar oportunidades de trading en cada caso. Dichas desaceleraciones pueden manifestar</w:t>
      </w:r>
      <w:r w:rsidR="0053581A">
        <w:rPr>
          <w:rFonts w:ascii="Times New Roman" w:hAnsi="Times New Roman" w:cs="Times New Roman"/>
          <w:sz w:val="24"/>
          <w:szCs w:val="24"/>
        </w:rPr>
        <w:t>se como retrocesos.</w:t>
      </w:r>
    </w:p>
    <w:p w:rsidR="00E0676E" w:rsidRP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Los retrocesos de Fibonacci son un método para determinar potenciales niveles de resistencia o soporte en el precio de un instrumento financiero. Se basa en la idea de que el precio rompe una parte predecible de un movimiento original, para después continuar y mo</w:t>
      </w:r>
      <w:r w:rsidR="0053581A">
        <w:rPr>
          <w:rFonts w:ascii="Times New Roman" w:hAnsi="Times New Roman" w:cs="Times New Roman"/>
          <w:sz w:val="24"/>
          <w:szCs w:val="24"/>
        </w:rPr>
        <w:t>verse en la dirección original.</w:t>
      </w:r>
    </w:p>
    <w:p w:rsidR="00E0676E" w:rsidRP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 xml:space="preserve">Los indicadores de tendencia constituyen también una parte fundamental del análisis técnico. Estos funcionan como herramientas de gran utilidad para determinar las tendencias </w:t>
      </w:r>
      <w:r w:rsidR="0053581A">
        <w:rPr>
          <w:rFonts w:ascii="Times New Roman" w:hAnsi="Times New Roman" w:cs="Times New Roman"/>
          <w:sz w:val="24"/>
          <w:szCs w:val="24"/>
        </w:rPr>
        <w:t>de los precios en los mercados.</w:t>
      </w:r>
    </w:p>
    <w:p w:rsidR="00E0676E" w:rsidRP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La Media Móvil de Convergencia/Divergencia o Moving Average Convergence Divergence (MACD) es un indicador de análisis técnico de tendencias capaz de hallar convergencias y divergencias en precios de activos financieros con precisión. Ello permite identificar cambios en el impulso del precio de una acción y las oportunidades de inversión próximas a niveles de soporte y resistencia.</w:t>
      </w:r>
    </w:p>
    <w:p w:rsidR="00E0676E" w:rsidRP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Las medias móviles permiten detectar rápidamente los cambios en los precios. También son utilizadas para identificar reversiones en las tendencias de pares de divisas. Con este indicador técnico es posible conocer la dirección de una tendencia y reducir el ruido generado al analizar la evolución del mercado.</w:t>
      </w:r>
    </w:p>
    <w:p w:rsidR="00E0676E" w:rsidRP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 xml:space="preserve">Un oscilador estocástico es un indicador que compara un precio de cierre específico de un activo con un rango de sus precios a lo largo del tiempo, y muestra así la fuerza de la </w:t>
      </w:r>
      <w:r w:rsidRPr="00E0676E">
        <w:rPr>
          <w:rFonts w:ascii="Times New Roman" w:hAnsi="Times New Roman" w:cs="Times New Roman"/>
          <w:sz w:val="24"/>
          <w:szCs w:val="24"/>
        </w:rPr>
        <w:lastRenderedPageBreak/>
        <w:t>tendencia y el impulso. Utiliza una escala de 0 a 100. Una lectura por debajo de 20 generalmente representa un mercado sobrevendido y una lectura por encima de 80 un mercado sobrecomprado. Sin embargo, si hay una tendencia fuerte, no necesariamente se produ</w:t>
      </w:r>
      <w:r w:rsidR="0053581A">
        <w:rPr>
          <w:rFonts w:ascii="Times New Roman" w:hAnsi="Times New Roman" w:cs="Times New Roman"/>
          <w:sz w:val="24"/>
          <w:szCs w:val="24"/>
        </w:rPr>
        <w:t>cirá una corrección o un rally.</w:t>
      </w:r>
    </w:p>
    <w:p w:rsidR="00E0676E" w:rsidRP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El índice de fuerza relativa (RSI por sus siglas en inglés) es un indicador utilizado para medir la fortaleza o debilidad mediante la comparación de los movimientos alcistas o bajistas. Es un instrumento utilizado para determinar zonas de sobrecompra, sobrev</w:t>
      </w:r>
      <w:r w:rsidR="0053581A">
        <w:rPr>
          <w:rFonts w:ascii="Times New Roman" w:hAnsi="Times New Roman" w:cs="Times New Roman"/>
          <w:sz w:val="24"/>
          <w:szCs w:val="24"/>
        </w:rPr>
        <w:t>enta, y señales de divergencia.</w:t>
      </w:r>
    </w:p>
    <w:p w:rsidR="00E0676E" w:rsidRP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El RSI se utiliza principalmente para ayudar a los inversores a identificar el impulso, las condiciones del mercado y las señales de advertencia de movimientos peligrosos de los precios. El RSI se expresa como una cifra entre 0 y 100. Un activo en torno al nivel 70 se considera a menudo sobrecomprado, mientras que un activo en o cerca de 30 se considera a menudo sobrevendido.</w:t>
      </w:r>
    </w:p>
    <w:p w:rsidR="00E0676E" w:rsidRPr="00E0676E" w:rsidRDefault="0053581A" w:rsidP="00E0676E">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Indicador momentum. </w:t>
      </w:r>
      <w:r w:rsidR="00E0676E" w:rsidRPr="00E0676E">
        <w:rPr>
          <w:rFonts w:ascii="Times New Roman" w:hAnsi="Times New Roman" w:cs="Times New Roman"/>
          <w:sz w:val="24"/>
          <w:szCs w:val="24"/>
        </w:rPr>
        <w:t>Es un indicador técnico que mide la aceleración y desaceleración en los cambios de los precios entre dos instantes en el tiempo, es decir, la diferencia entre el cierre de hoy y el cierre de hace “n” sesiones (generalmente 10 o 12 sesiones). Si los precios varían en la misma cantidad todos los días el momento es cero, pero si los precios suben o bajan cada día más, entonces el momento se acelera, al al</w:t>
      </w:r>
      <w:r>
        <w:rPr>
          <w:rFonts w:ascii="Times New Roman" w:hAnsi="Times New Roman" w:cs="Times New Roman"/>
          <w:sz w:val="24"/>
          <w:szCs w:val="24"/>
        </w:rPr>
        <w:t>za o a la baja, respectivamente</w:t>
      </w:r>
      <w:r w:rsidR="00E0676E" w:rsidRPr="00E0676E">
        <w:rPr>
          <w:rFonts w:ascii="Times New Roman" w:hAnsi="Times New Roman" w:cs="Times New Roman"/>
          <w:sz w:val="24"/>
          <w:szCs w:val="24"/>
        </w:rPr>
        <w:t>.</w:t>
      </w:r>
    </w:p>
    <w:p w:rsidR="00E0676E" w:rsidRDefault="00E0676E" w:rsidP="00E0676E">
      <w:pPr>
        <w:spacing w:before="120" w:after="120" w:line="240" w:lineRule="auto"/>
        <w:jc w:val="both"/>
        <w:rPr>
          <w:rFonts w:ascii="Times New Roman" w:hAnsi="Times New Roman" w:cs="Times New Roman"/>
          <w:sz w:val="24"/>
          <w:szCs w:val="24"/>
        </w:rPr>
      </w:pPr>
      <w:r w:rsidRPr="00E0676E">
        <w:rPr>
          <w:rFonts w:ascii="Times New Roman" w:hAnsi="Times New Roman" w:cs="Times New Roman"/>
          <w:sz w:val="24"/>
          <w:szCs w:val="24"/>
        </w:rPr>
        <w:t>Indicadores</w:t>
      </w:r>
      <w:r w:rsidR="0053581A">
        <w:rPr>
          <w:rFonts w:ascii="Times New Roman" w:hAnsi="Times New Roman" w:cs="Times New Roman"/>
          <w:sz w:val="24"/>
          <w:szCs w:val="24"/>
        </w:rPr>
        <w:t xml:space="preserve"> de volatilidad. </w:t>
      </w:r>
      <w:r w:rsidRPr="00E0676E">
        <w:rPr>
          <w:rFonts w:ascii="Times New Roman" w:hAnsi="Times New Roman" w:cs="Times New Roman"/>
          <w:sz w:val="24"/>
          <w:szCs w:val="24"/>
        </w:rPr>
        <w:t>Una Banda de Bollinger es un indicador que proporciona un rango dentro del cual el precio de un activo normalmente se negocia. El ancho de la banda aumenta y disminuye para reflejar la volatilidad reciente. Cuanto más próximas entre sí estén las bandas, o cuanto más estrechas sean, menor será la volatilidad percibida del instrumento financiero. Cuanto más anchas sean las bandas, mayo</w:t>
      </w:r>
      <w:r w:rsidR="0053581A">
        <w:rPr>
          <w:rFonts w:ascii="Times New Roman" w:hAnsi="Times New Roman" w:cs="Times New Roman"/>
          <w:sz w:val="24"/>
          <w:szCs w:val="24"/>
        </w:rPr>
        <w:t>r será la volatilidad percibida</w:t>
      </w:r>
      <w:r w:rsidRPr="00E0676E">
        <w:rPr>
          <w:rFonts w:ascii="Times New Roman" w:hAnsi="Times New Roman" w:cs="Times New Roman"/>
          <w:sz w:val="24"/>
          <w:szCs w:val="24"/>
        </w:rPr>
        <w:t>.</w:t>
      </w:r>
    </w:p>
    <w:p w:rsidR="0053581A" w:rsidRPr="0053581A" w:rsidRDefault="0053581A" w:rsidP="0053581A">
      <w:pPr>
        <w:shd w:val="clear" w:color="auto" w:fill="FFFFFF"/>
        <w:spacing w:line="240" w:lineRule="auto"/>
        <w:jc w:val="both"/>
        <w:rPr>
          <w:rFonts w:ascii="Times New Roman" w:eastAsia="Times New Roman" w:hAnsi="Times New Roman" w:cs="Times New Roman"/>
          <w:color w:val="001D35"/>
          <w:sz w:val="24"/>
          <w:szCs w:val="24"/>
          <w:lang w:eastAsia="es-ES"/>
        </w:rPr>
      </w:pPr>
      <w:r w:rsidRPr="0053581A">
        <w:rPr>
          <w:rFonts w:ascii="Times New Roman" w:eastAsia="Times New Roman" w:hAnsi="Times New Roman" w:cs="Times New Roman"/>
          <w:color w:val="001D35"/>
          <w:sz w:val="24"/>
          <w:szCs w:val="24"/>
          <w:lang w:eastAsia="es-ES"/>
        </w:rPr>
        <w:t>Las principales herramientas del análisis técnico en bolsa son los gráficos, indicadores técnicos, el volumen y la estructura del mercado. Estas herramientas ayudan a identificar patrones, tendencias y señales de trading para tomar decisiones de inversión. </w:t>
      </w:r>
    </w:p>
    <w:p w:rsidR="0053581A" w:rsidRPr="0053581A" w:rsidRDefault="0053581A" w:rsidP="0053581A">
      <w:pPr>
        <w:shd w:val="clear" w:color="auto" w:fill="FFFFFF"/>
        <w:spacing w:after="150" w:line="240" w:lineRule="auto"/>
        <w:jc w:val="both"/>
        <w:rPr>
          <w:rFonts w:ascii="Times New Roman" w:eastAsia="Times New Roman" w:hAnsi="Times New Roman" w:cs="Times New Roman"/>
          <w:sz w:val="24"/>
          <w:szCs w:val="24"/>
          <w:lang w:eastAsia="es-ES"/>
        </w:rPr>
      </w:pPr>
      <w:r w:rsidRPr="0053581A">
        <w:rPr>
          <w:rFonts w:ascii="Times New Roman" w:eastAsia="Times New Roman" w:hAnsi="Times New Roman" w:cs="Times New Roman"/>
          <w:sz w:val="24"/>
          <w:szCs w:val="24"/>
          <w:lang w:eastAsia="es-ES"/>
        </w:rPr>
        <w:t>Herramientas del Análisis Técnico:</w:t>
      </w:r>
    </w:p>
    <w:p w:rsidR="0053581A" w:rsidRPr="0053581A" w:rsidRDefault="0053581A" w:rsidP="00E662AD">
      <w:pPr>
        <w:shd w:val="clear" w:color="auto" w:fill="FFFFFF"/>
        <w:spacing w:after="120" w:line="240" w:lineRule="auto"/>
        <w:ind w:left="-420"/>
        <w:jc w:val="both"/>
        <w:rPr>
          <w:rFonts w:ascii="Times New Roman" w:eastAsia="Times New Roman" w:hAnsi="Times New Roman" w:cs="Times New Roman"/>
          <w:sz w:val="24"/>
          <w:szCs w:val="24"/>
          <w:lang w:eastAsia="es-ES"/>
        </w:rPr>
      </w:pPr>
      <w:r w:rsidRPr="0053581A">
        <w:rPr>
          <w:rFonts w:ascii="Times New Roman" w:eastAsia="Times New Roman" w:hAnsi="Times New Roman" w:cs="Times New Roman"/>
          <w:b/>
          <w:bCs/>
          <w:sz w:val="24"/>
          <w:szCs w:val="24"/>
          <w:lang w:eastAsia="es-ES"/>
        </w:rPr>
        <w:t>1. Gráficos:</w:t>
      </w:r>
    </w:p>
    <w:p w:rsidR="0053581A" w:rsidRPr="0053581A" w:rsidRDefault="0053581A" w:rsidP="0053581A">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53581A">
        <w:rPr>
          <w:rFonts w:ascii="Times New Roman" w:eastAsia="Times New Roman" w:hAnsi="Times New Roman" w:cs="Times New Roman"/>
          <w:spacing w:val="2"/>
          <w:sz w:val="24"/>
          <w:szCs w:val="24"/>
          <w:lang w:eastAsia="es-ES"/>
        </w:rPr>
        <w:t>Permiten visualizar el comportamiento del precio a lo largo del tiempo, utilizando diferentes tipos de gráficos como gráficos de línea, barras o velas japonesas. </w:t>
      </w:r>
    </w:p>
    <w:p w:rsidR="0053581A" w:rsidRPr="0053581A" w:rsidRDefault="0053581A" w:rsidP="00E662AD">
      <w:pPr>
        <w:shd w:val="clear" w:color="auto" w:fill="FFFFFF"/>
        <w:spacing w:after="120" w:line="240" w:lineRule="auto"/>
        <w:ind w:left="-420"/>
        <w:jc w:val="both"/>
        <w:rPr>
          <w:rFonts w:ascii="Times New Roman" w:eastAsia="Times New Roman" w:hAnsi="Times New Roman" w:cs="Times New Roman"/>
          <w:sz w:val="24"/>
          <w:szCs w:val="24"/>
          <w:lang w:eastAsia="es-ES"/>
        </w:rPr>
      </w:pPr>
      <w:r w:rsidRPr="0053581A">
        <w:rPr>
          <w:rFonts w:ascii="Times New Roman" w:eastAsia="Times New Roman" w:hAnsi="Times New Roman" w:cs="Times New Roman"/>
          <w:b/>
          <w:bCs/>
          <w:sz w:val="24"/>
          <w:szCs w:val="24"/>
          <w:lang w:eastAsia="es-ES"/>
        </w:rPr>
        <w:t>2. Indicadores Técnicos:</w:t>
      </w:r>
    </w:p>
    <w:p w:rsidR="0053581A" w:rsidRPr="0053581A" w:rsidRDefault="0053581A" w:rsidP="0053581A">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53581A">
        <w:rPr>
          <w:rFonts w:ascii="Times New Roman" w:eastAsia="Times New Roman" w:hAnsi="Times New Roman" w:cs="Times New Roman"/>
          <w:spacing w:val="2"/>
          <w:sz w:val="24"/>
          <w:szCs w:val="24"/>
          <w:lang w:eastAsia="es-ES"/>
        </w:rPr>
        <w:t>Son cálculos matemáticos aplicados al precio y al volumen para detectar tendencias, fuerza del movimiento y posibles cambios de dirección. Algunos ejemplos son el RSI (Índice de Fuerza Relativa), MACD (Convergencia/Divergencia de Medias Móviles), medias móviles (EMA, SMA), y las Bandas de Bollinger. </w:t>
      </w:r>
    </w:p>
    <w:p w:rsidR="0053581A" w:rsidRPr="0053581A" w:rsidRDefault="0053581A" w:rsidP="00E662AD">
      <w:pPr>
        <w:shd w:val="clear" w:color="auto" w:fill="FFFFFF"/>
        <w:spacing w:after="120" w:line="240" w:lineRule="auto"/>
        <w:ind w:left="-420"/>
        <w:jc w:val="both"/>
        <w:rPr>
          <w:rFonts w:ascii="Times New Roman" w:eastAsia="Times New Roman" w:hAnsi="Times New Roman" w:cs="Times New Roman"/>
          <w:sz w:val="24"/>
          <w:szCs w:val="24"/>
          <w:lang w:eastAsia="es-ES"/>
        </w:rPr>
      </w:pPr>
      <w:r w:rsidRPr="0053581A">
        <w:rPr>
          <w:rFonts w:ascii="Times New Roman" w:eastAsia="Times New Roman" w:hAnsi="Times New Roman" w:cs="Times New Roman"/>
          <w:b/>
          <w:bCs/>
          <w:sz w:val="24"/>
          <w:szCs w:val="24"/>
          <w:lang w:eastAsia="es-ES"/>
        </w:rPr>
        <w:t>3. Volumen:</w:t>
      </w:r>
    </w:p>
    <w:p w:rsidR="0053581A" w:rsidRPr="0053581A" w:rsidRDefault="0053581A" w:rsidP="0053581A">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53581A">
        <w:rPr>
          <w:rFonts w:ascii="Times New Roman" w:eastAsia="Times New Roman" w:hAnsi="Times New Roman" w:cs="Times New Roman"/>
          <w:spacing w:val="2"/>
          <w:sz w:val="24"/>
          <w:szCs w:val="24"/>
          <w:lang w:eastAsia="es-ES"/>
        </w:rPr>
        <w:t>El análisis del volumen confirma los movimientos del precio, indicando la fuerza de la tendencia. Un aumento en el volumen durante un movimiento alcista, por ejemplo, puede confirmar la fortaleza de la tendencia alcista. </w:t>
      </w:r>
    </w:p>
    <w:p w:rsidR="0053581A" w:rsidRPr="0053581A" w:rsidRDefault="0053581A" w:rsidP="00E662AD">
      <w:pPr>
        <w:shd w:val="clear" w:color="auto" w:fill="FFFFFF"/>
        <w:spacing w:after="120" w:line="240" w:lineRule="auto"/>
        <w:ind w:left="-420"/>
        <w:jc w:val="both"/>
        <w:rPr>
          <w:rFonts w:ascii="Times New Roman" w:eastAsia="Times New Roman" w:hAnsi="Times New Roman" w:cs="Times New Roman"/>
          <w:sz w:val="24"/>
          <w:szCs w:val="24"/>
          <w:lang w:eastAsia="es-ES"/>
        </w:rPr>
      </w:pPr>
      <w:r w:rsidRPr="0053581A">
        <w:rPr>
          <w:rFonts w:ascii="Times New Roman" w:eastAsia="Times New Roman" w:hAnsi="Times New Roman" w:cs="Times New Roman"/>
          <w:b/>
          <w:bCs/>
          <w:sz w:val="24"/>
          <w:szCs w:val="24"/>
          <w:lang w:eastAsia="es-ES"/>
        </w:rPr>
        <w:t>4. Estructura del Mercado:</w:t>
      </w:r>
    </w:p>
    <w:p w:rsidR="0053581A" w:rsidRDefault="0053581A" w:rsidP="0053581A">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53581A">
        <w:rPr>
          <w:rFonts w:ascii="Times New Roman" w:eastAsia="Times New Roman" w:hAnsi="Times New Roman" w:cs="Times New Roman"/>
          <w:spacing w:val="2"/>
          <w:sz w:val="24"/>
          <w:szCs w:val="24"/>
          <w:lang w:eastAsia="es-ES"/>
        </w:rPr>
        <w:t>Identifica patrones como triángulos, canales, hombro-cabeza-hombro y otros patrones que pueden indicar fases de acumulación, tendencia o distribución del mercado. </w:t>
      </w:r>
    </w:p>
    <w:p w:rsidR="000B181A" w:rsidRPr="0053581A" w:rsidRDefault="000B181A" w:rsidP="0053581A">
      <w:pPr>
        <w:shd w:val="clear" w:color="auto" w:fill="FFFFFF"/>
        <w:spacing w:after="120" w:line="240" w:lineRule="auto"/>
        <w:jc w:val="both"/>
        <w:rPr>
          <w:rFonts w:ascii="Times New Roman" w:eastAsia="Times New Roman" w:hAnsi="Times New Roman" w:cs="Times New Roman"/>
          <w:spacing w:val="2"/>
          <w:sz w:val="24"/>
          <w:szCs w:val="24"/>
          <w:lang w:eastAsia="es-ES"/>
        </w:rPr>
      </w:pPr>
    </w:p>
    <w:p w:rsidR="0053581A" w:rsidRPr="0053581A" w:rsidRDefault="0053581A" w:rsidP="00E662AD">
      <w:pPr>
        <w:shd w:val="clear" w:color="auto" w:fill="FFFFFF"/>
        <w:spacing w:after="120" w:line="240" w:lineRule="auto"/>
        <w:ind w:left="-420"/>
        <w:jc w:val="both"/>
        <w:rPr>
          <w:rFonts w:ascii="Times New Roman" w:eastAsia="Times New Roman" w:hAnsi="Times New Roman" w:cs="Times New Roman"/>
          <w:sz w:val="24"/>
          <w:szCs w:val="24"/>
          <w:lang w:eastAsia="es-ES"/>
        </w:rPr>
      </w:pPr>
      <w:r w:rsidRPr="0053581A">
        <w:rPr>
          <w:rFonts w:ascii="Times New Roman" w:eastAsia="Times New Roman" w:hAnsi="Times New Roman" w:cs="Times New Roman"/>
          <w:b/>
          <w:bCs/>
          <w:sz w:val="24"/>
          <w:szCs w:val="24"/>
          <w:lang w:eastAsia="es-ES"/>
        </w:rPr>
        <w:lastRenderedPageBreak/>
        <w:t>5. Soportes y Resistencias:</w:t>
      </w:r>
    </w:p>
    <w:p w:rsidR="0053581A" w:rsidRPr="0053581A" w:rsidRDefault="0053581A" w:rsidP="0053581A">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53581A">
        <w:rPr>
          <w:rFonts w:ascii="Times New Roman" w:eastAsia="Times New Roman" w:hAnsi="Times New Roman" w:cs="Times New Roman"/>
          <w:spacing w:val="2"/>
          <w:sz w:val="24"/>
          <w:szCs w:val="24"/>
          <w:lang w:eastAsia="es-ES"/>
        </w:rPr>
        <w:t>Son niveles de precio donde el mercado ha mostrado dificultad para superar, actuando como zonas de compra o venta. </w:t>
      </w:r>
    </w:p>
    <w:p w:rsidR="0053581A" w:rsidRPr="0053581A" w:rsidRDefault="0053581A" w:rsidP="00E662AD">
      <w:pPr>
        <w:shd w:val="clear" w:color="auto" w:fill="FFFFFF"/>
        <w:spacing w:after="120" w:line="240" w:lineRule="auto"/>
        <w:ind w:left="-420"/>
        <w:jc w:val="both"/>
        <w:rPr>
          <w:rFonts w:ascii="Times New Roman" w:eastAsia="Times New Roman" w:hAnsi="Times New Roman" w:cs="Times New Roman"/>
          <w:sz w:val="24"/>
          <w:szCs w:val="24"/>
          <w:lang w:eastAsia="es-ES"/>
        </w:rPr>
      </w:pPr>
      <w:r w:rsidRPr="0053581A">
        <w:rPr>
          <w:rFonts w:ascii="Times New Roman" w:eastAsia="Times New Roman" w:hAnsi="Times New Roman" w:cs="Times New Roman"/>
          <w:b/>
          <w:bCs/>
          <w:sz w:val="24"/>
          <w:szCs w:val="24"/>
          <w:lang w:eastAsia="es-ES"/>
        </w:rPr>
        <w:t>6. Líneas de Tendencia:</w:t>
      </w:r>
    </w:p>
    <w:p w:rsidR="0053581A" w:rsidRPr="0053581A" w:rsidRDefault="0053581A" w:rsidP="0053581A">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53581A">
        <w:rPr>
          <w:rFonts w:ascii="Times New Roman" w:eastAsia="Times New Roman" w:hAnsi="Times New Roman" w:cs="Times New Roman"/>
          <w:spacing w:val="2"/>
          <w:sz w:val="24"/>
          <w:szCs w:val="24"/>
          <w:lang w:eastAsia="es-ES"/>
        </w:rPr>
        <w:t>Se trazan para conectar máximos o mínimos ascendentes o descendentes, indicando la dirección de la tendencia. </w:t>
      </w:r>
    </w:p>
    <w:p w:rsidR="0053581A" w:rsidRPr="0053581A" w:rsidRDefault="0053581A" w:rsidP="00E662AD">
      <w:pPr>
        <w:shd w:val="clear" w:color="auto" w:fill="FFFFFF"/>
        <w:spacing w:after="120" w:line="240" w:lineRule="auto"/>
        <w:ind w:left="-420"/>
        <w:jc w:val="both"/>
        <w:rPr>
          <w:rFonts w:ascii="Times New Roman" w:eastAsia="Times New Roman" w:hAnsi="Times New Roman" w:cs="Times New Roman"/>
          <w:sz w:val="24"/>
          <w:szCs w:val="24"/>
          <w:lang w:eastAsia="es-ES"/>
        </w:rPr>
      </w:pPr>
      <w:r w:rsidRPr="0053581A">
        <w:rPr>
          <w:rFonts w:ascii="Times New Roman" w:eastAsia="Times New Roman" w:hAnsi="Times New Roman" w:cs="Times New Roman"/>
          <w:b/>
          <w:bCs/>
          <w:sz w:val="24"/>
          <w:szCs w:val="24"/>
          <w:lang w:eastAsia="es-ES"/>
        </w:rPr>
        <w:t>7. Retrocesos de Fibonacci:</w:t>
      </w:r>
    </w:p>
    <w:p w:rsidR="0053581A" w:rsidRPr="0053581A" w:rsidRDefault="0053581A" w:rsidP="0053581A">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53581A">
        <w:rPr>
          <w:rFonts w:ascii="Times New Roman" w:eastAsia="Times New Roman" w:hAnsi="Times New Roman" w:cs="Times New Roman"/>
          <w:spacing w:val="2"/>
          <w:sz w:val="24"/>
          <w:szCs w:val="24"/>
          <w:lang w:eastAsia="es-ES"/>
        </w:rPr>
        <w:t>Utilizan niveles de retroceso para identificar posibles zonas de corrección en una tendencia. </w:t>
      </w:r>
    </w:p>
    <w:p w:rsidR="0053581A" w:rsidRPr="0053581A" w:rsidRDefault="0053581A" w:rsidP="00E662AD">
      <w:pPr>
        <w:shd w:val="clear" w:color="auto" w:fill="FFFFFF"/>
        <w:spacing w:after="120" w:line="240" w:lineRule="auto"/>
        <w:ind w:left="-420"/>
        <w:jc w:val="both"/>
        <w:rPr>
          <w:rFonts w:ascii="Times New Roman" w:eastAsia="Times New Roman" w:hAnsi="Times New Roman" w:cs="Times New Roman"/>
          <w:sz w:val="24"/>
          <w:szCs w:val="24"/>
          <w:lang w:eastAsia="es-ES"/>
        </w:rPr>
      </w:pPr>
      <w:r w:rsidRPr="0053581A">
        <w:rPr>
          <w:rFonts w:ascii="Times New Roman" w:eastAsia="Times New Roman" w:hAnsi="Times New Roman" w:cs="Times New Roman"/>
          <w:b/>
          <w:bCs/>
          <w:sz w:val="24"/>
          <w:szCs w:val="24"/>
          <w:lang w:eastAsia="es-ES"/>
        </w:rPr>
        <w:t>8. Osciladores:</w:t>
      </w:r>
    </w:p>
    <w:p w:rsidR="0053581A" w:rsidRPr="0053581A" w:rsidRDefault="0053581A" w:rsidP="0053581A">
      <w:pPr>
        <w:shd w:val="clear" w:color="auto" w:fill="FFFFFF"/>
        <w:spacing w:after="120" w:line="240" w:lineRule="auto"/>
        <w:jc w:val="both"/>
        <w:rPr>
          <w:rFonts w:ascii="Times New Roman" w:eastAsia="Times New Roman" w:hAnsi="Times New Roman" w:cs="Times New Roman"/>
          <w:spacing w:val="2"/>
          <w:sz w:val="24"/>
          <w:szCs w:val="24"/>
          <w:lang w:eastAsia="es-ES"/>
        </w:rPr>
      </w:pPr>
      <w:r w:rsidRPr="0053581A">
        <w:rPr>
          <w:rFonts w:ascii="Times New Roman" w:eastAsia="Times New Roman" w:hAnsi="Times New Roman" w:cs="Times New Roman"/>
          <w:spacing w:val="2"/>
          <w:sz w:val="24"/>
          <w:szCs w:val="24"/>
          <w:lang w:eastAsia="es-ES"/>
        </w:rPr>
        <w:t>Son indicadores que ayudan a identificar condiciones de sobrecompra o sobreventa en el mercado, como el RSI y el Estocástico. </w:t>
      </w:r>
    </w:p>
    <w:p w:rsidR="0053581A" w:rsidRDefault="0053581A" w:rsidP="00E662AD">
      <w:pPr>
        <w:shd w:val="clear" w:color="auto" w:fill="FFFFFF"/>
        <w:spacing w:after="0" w:line="240" w:lineRule="auto"/>
        <w:ind w:left="-420"/>
        <w:jc w:val="both"/>
        <w:rPr>
          <w:rFonts w:ascii="Times New Roman" w:eastAsia="Times New Roman" w:hAnsi="Times New Roman" w:cs="Times New Roman"/>
          <w:b/>
          <w:bCs/>
          <w:sz w:val="24"/>
          <w:szCs w:val="24"/>
          <w:lang w:eastAsia="es-ES"/>
        </w:rPr>
      </w:pPr>
      <w:r w:rsidRPr="0053581A">
        <w:rPr>
          <w:rFonts w:ascii="Times New Roman" w:eastAsia="Times New Roman" w:hAnsi="Times New Roman" w:cs="Times New Roman"/>
          <w:b/>
          <w:bCs/>
          <w:sz w:val="24"/>
          <w:szCs w:val="24"/>
          <w:lang w:eastAsia="es-ES"/>
        </w:rPr>
        <w:t>9. Medias Móviles:</w:t>
      </w:r>
    </w:p>
    <w:p w:rsidR="000B181A" w:rsidRDefault="000B181A" w:rsidP="0053581A">
      <w:pPr>
        <w:shd w:val="clear" w:color="auto" w:fill="FFFFFF"/>
        <w:spacing w:after="0" w:line="240" w:lineRule="auto"/>
        <w:jc w:val="both"/>
        <w:rPr>
          <w:rFonts w:ascii="Times New Roman" w:eastAsia="Times New Roman" w:hAnsi="Times New Roman" w:cs="Times New Roman"/>
          <w:sz w:val="24"/>
          <w:szCs w:val="24"/>
          <w:lang w:eastAsia="es-ES"/>
        </w:rPr>
      </w:pPr>
    </w:p>
    <w:p w:rsidR="0053581A" w:rsidRPr="0053581A" w:rsidRDefault="0053581A" w:rsidP="0053581A">
      <w:pPr>
        <w:shd w:val="clear" w:color="auto" w:fill="FFFFFF"/>
        <w:spacing w:after="0" w:line="240" w:lineRule="auto"/>
        <w:jc w:val="both"/>
        <w:rPr>
          <w:rFonts w:ascii="Times New Roman" w:eastAsia="Times New Roman" w:hAnsi="Times New Roman" w:cs="Times New Roman"/>
          <w:spacing w:val="2"/>
          <w:sz w:val="24"/>
          <w:szCs w:val="24"/>
          <w:lang w:eastAsia="es-ES"/>
        </w:rPr>
      </w:pPr>
      <w:r w:rsidRPr="0053581A">
        <w:rPr>
          <w:rFonts w:ascii="Times New Roman" w:eastAsia="Times New Roman" w:hAnsi="Times New Roman" w:cs="Times New Roman"/>
          <w:spacing w:val="2"/>
          <w:sz w:val="24"/>
          <w:szCs w:val="24"/>
          <w:lang w:eastAsia="es-ES"/>
        </w:rPr>
        <w:t>Suavizan las fluctuaciones del precio y ayudan a identificar tendencias. </w:t>
      </w:r>
    </w:p>
    <w:p w:rsidR="0053581A" w:rsidRPr="000B181A" w:rsidRDefault="00E662AD" w:rsidP="0053581A">
      <w:pPr>
        <w:spacing w:before="120" w:after="120" w:line="240" w:lineRule="auto"/>
        <w:jc w:val="both"/>
        <w:rPr>
          <w:rFonts w:ascii="Times New Roman" w:hAnsi="Times New Roman" w:cs="Times New Roman"/>
          <w:b/>
          <w:sz w:val="24"/>
          <w:szCs w:val="24"/>
        </w:rPr>
      </w:pPr>
      <w:r>
        <w:rPr>
          <w:rFonts w:ascii="Times New Roman" w:hAnsi="Times New Roman" w:cs="Times New Roman"/>
          <w:b/>
          <w:sz w:val="24"/>
          <w:szCs w:val="24"/>
        </w:rPr>
        <w:t>Nota</w:t>
      </w:r>
      <w:r w:rsidR="000B2E6C">
        <w:rPr>
          <w:rFonts w:ascii="Times New Roman" w:hAnsi="Times New Roman" w:cs="Times New Roman"/>
          <w:b/>
          <w:sz w:val="24"/>
          <w:szCs w:val="24"/>
        </w:rPr>
        <w:t xml:space="preserve"> I</w:t>
      </w:r>
      <w:r>
        <w:rPr>
          <w:rFonts w:ascii="Times New Roman" w:hAnsi="Times New Roman" w:cs="Times New Roman"/>
          <w:b/>
          <w:sz w:val="24"/>
          <w:szCs w:val="24"/>
        </w:rPr>
        <w:t>: El supuesto</w:t>
      </w:r>
      <w:r w:rsidR="0053581A">
        <w:rPr>
          <w:rFonts w:ascii="Times New Roman" w:hAnsi="Times New Roman" w:cs="Times New Roman"/>
          <w:b/>
          <w:sz w:val="24"/>
          <w:szCs w:val="24"/>
        </w:rPr>
        <w:t xml:space="preserve"> </w:t>
      </w:r>
      <w:r>
        <w:rPr>
          <w:rFonts w:ascii="Times New Roman" w:hAnsi="Times New Roman" w:cs="Times New Roman"/>
          <w:b/>
          <w:sz w:val="24"/>
          <w:szCs w:val="24"/>
        </w:rPr>
        <w:t>“</w:t>
      </w:r>
      <w:r w:rsidR="0053581A">
        <w:rPr>
          <w:rFonts w:ascii="Times New Roman" w:hAnsi="Times New Roman" w:cs="Times New Roman"/>
          <w:b/>
          <w:sz w:val="24"/>
          <w:szCs w:val="24"/>
        </w:rPr>
        <w:t>clave</w:t>
      </w:r>
      <w:r>
        <w:rPr>
          <w:rFonts w:ascii="Times New Roman" w:hAnsi="Times New Roman" w:cs="Times New Roman"/>
          <w:b/>
          <w:sz w:val="24"/>
          <w:szCs w:val="24"/>
        </w:rPr>
        <w:t xml:space="preserve">” en </w:t>
      </w:r>
      <w:r w:rsidR="0053581A" w:rsidRPr="0053581A">
        <w:rPr>
          <w:rFonts w:ascii="Times New Roman" w:hAnsi="Times New Roman" w:cs="Times New Roman"/>
          <w:b/>
          <w:sz w:val="24"/>
          <w:szCs w:val="24"/>
        </w:rPr>
        <w:t>el análisis técnico</w:t>
      </w:r>
      <w:r>
        <w:rPr>
          <w:rFonts w:ascii="Times New Roman" w:hAnsi="Times New Roman" w:cs="Times New Roman"/>
          <w:sz w:val="24"/>
          <w:szCs w:val="24"/>
        </w:rPr>
        <w:t>.</w:t>
      </w:r>
      <w:r w:rsidR="0053581A">
        <w:rPr>
          <w:rFonts w:ascii="Times New Roman" w:hAnsi="Times New Roman" w:cs="Times New Roman"/>
          <w:sz w:val="24"/>
          <w:szCs w:val="24"/>
        </w:rPr>
        <w:t xml:space="preserve"> </w:t>
      </w:r>
      <w:r w:rsidR="0053581A" w:rsidRPr="000B181A">
        <w:rPr>
          <w:rFonts w:ascii="Times New Roman" w:hAnsi="Times New Roman" w:cs="Times New Roman"/>
          <w:b/>
          <w:sz w:val="24"/>
          <w:szCs w:val="24"/>
        </w:rPr>
        <w:t>El estudio y comprensión de las emociones humanas y la psicología del trading desempeñan un rol fundamental para el análisis técnico. Por lo general, los seres humanos tienden a reaccionar de manera similar al enfrentarse a circunstancias iguales o parecidas. De igual forma, este concepto es aplicable a los mercados financieros y las determinadas tendencias que en él se manifiestan, ya que es posible predecir tendencias futuras en base a lo ya experimentado en el pasado.</w:t>
      </w:r>
    </w:p>
    <w:p w:rsidR="00E662AD" w:rsidRDefault="00E662AD" w:rsidP="0053581A">
      <w:pPr>
        <w:spacing w:before="120" w:after="120" w:line="240" w:lineRule="auto"/>
        <w:jc w:val="both"/>
        <w:rPr>
          <w:rFonts w:ascii="Times New Roman" w:hAnsi="Times New Roman" w:cs="Times New Roman"/>
          <w:sz w:val="24"/>
          <w:szCs w:val="24"/>
        </w:rPr>
      </w:pPr>
      <w:r w:rsidRPr="00E662AD">
        <w:rPr>
          <w:rFonts w:ascii="Times New Roman" w:hAnsi="Times New Roman" w:cs="Times New Roman"/>
          <w:sz w:val="24"/>
          <w:szCs w:val="24"/>
        </w:rPr>
        <w:t>El principal riesgo del análisis técnico en bolsa es su subjetividad y la posibilidad de depender demasiado de patrones históricos que no garantizan resultados futuros. Aunque el análisis técnico ayuda a identificar tendencias y puntos de entrada o salida, no considera factores fundamentales que pueden afectar el valor real de un activo, y su efectividad puede disminuir en mercados poco líquidos o impredecibles. Además, el exceso</w:t>
      </w:r>
      <w:r>
        <w:rPr>
          <w:rFonts w:ascii="Times New Roman" w:hAnsi="Times New Roman" w:cs="Times New Roman"/>
          <w:sz w:val="24"/>
          <w:szCs w:val="24"/>
        </w:rPr>
        <w:t xml:space="preserve"> de análisis puede llevar a la “parálisis por análisis”</w:t>
      </w:r>
      <w:r w:rsidRPr="00E662AD">
        <w:rPr>
          <w:rFonts w:ascii="Times New Roman" w:hAnsi="Times New Roman" w:cs="Times New Roman"/>
          <w:sz w:val="24"/>
          <w:szCs w:val="24"/>
        </w:rPr>
        <w:t>, donde se dificulta la toma de decisiones.</w:t>
      </w:r>
    </w:p>
    <w:p w:rsidR="00E662AD" w:rsidRDefault="00E662AD" w:rsidP="0053581A">
      <w:pPr>
        <w:spacing w:before="120" w:after="120" w:line="240" w:lineRule="auto"/>
        <w:jc w:val="both"/>
        <w:rPr>
          <w:rFonts w:ascii="Times New Roman" w:hAnsi="Times New Roman" w:cs="Times New Roman"/>
          <w:sz w:val="24"/>
          <w:szCs w:val="24"/>
        </w:rPr>
      </w:pPr>
      <w:r w:rsidRPr="00E662AD">
        <w:rPr>
          <w:rFonts w:ascii="Times New Roman" w:hAnsi="Times New Roman" w:cs="Times New Roman"/>
          <w:sz w:val="24"/>
          <w:szCs w:val="24"/>
        </w:rPr>
        <w:t>En el</w:t>
      </w:r>
      <w:r>
        <w:rPr>
          <w:rFonts w:ascii="Times New Roman" w:hAnsi="Times New Roman" w:cs="Times New Roman"/>
          <w:sz w:val="24"/>
          <w:szCs w:val="24"/>
        </w:rPr>
        <w:t xml:space="preserve"> análisis técnico bursátil, la “parálisis por análisis”</w:t>
      </w:r>
      <w:r w:rsidRPr="00E662AD">
        <w:rPr>
          <w:rFonts w:ascii="Times New Roman" w:hAnsi="Times New Roman" w:cs="Times New Roman"/>
          <w:sz w:val="24"/>
          <w:szCs w:val="24"/>
        </w:rPr>
        <w:t xml:space="preserve"> se refiere a la incapacidad de tomar decisiones de inversión debido a un exceso de análisis y sobrecarga de información. En lugar de actuar sobre la base de la información recopilada, los inversores se quedan atrapados en un ciclo de análisis constante, lo que les impide realizar operaciones y aprovechar oportunidades del mercado.</w:t>
      </w:r>
    </w:p>
    <w:p w:rsidR="00E662AD" w:rsidRDefault="00E662AD" w:rsidP="0053581A">
      <w:pPr>
        <w:spacing w:before="120" w:after="120" w:line="240" w:lineRule="auto"/>
        <w:jc w:val="both"/>
        <w:rPr>
          <w:rFonts w:ascii="Times New Roman" w:hAnsi="Times New Roman" w:cs="Times New Roman"/>
          <w:sz w:val="24"/>
          <w:szCs w:val="24"/>
        </w:rPr>
      </w:pPr>
      <w:r w:rsidRPr="00E662AD">
        <w:rPr>
          <w:rFonts w:ascii="Times New Roman" w:hAnsi="Times New Roman" w:cs="Times New Roman"/>
          <w:sz w:val="24"/>
          <w:szCs w:val="24"/>
        </w:rPr>
        <w:t>En resumen, el análisis técnico es una herramienta útil para la toma de decisiones en trading, pero no es infalible y debe complementarse con otros tipos de análisis y una gestión adecuada del riesgo.</w:t>
      </w:r>
    </w:p>
    <w:p w:rsidR="003B642D" w:rsidRDefault="003B642D" w:rsidP="0053581A">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w:t>
      </w:r>
      <w:r w:rsidRPr="003B642D">
        <w:rPr>
          <w:rFonts w:ascii="Times New Roman" w:hAnsi="Times New Roman" w:cs="Times New Roman"/>
          <w:sz w:val="24"/>
          <w:szCs w:val="24"/>
        </w:rPr>
        <w:t xml:space="preserve">Me di cuenta de que el análisis técnico no funcionaba cuando volteé el gráfico al revés y no </w:t>
      </w:r>
      <w:r>
        <w:rPr>
          <w:rFonts w:ascii="Times New Roman" w:hAnsi="Times New Roman" w:cs="Times New Roman"/>
          <w:sz w:val="24"/>
          <w:szCs w:val="24"/>
        </w:rPr>
        <w:t>obtuve una respuesta diferente”. Warren Buffett</w:t>
      </w:r>
    </w:p>
    <w:p w:rsidR="003B642D" w:rsidRDefault="003B642D" w:rsidP="008968C9">
      <w:pPr>
        <w:spacing w:before="120" w:after="120" w:line="240" w:lineRule="auto"/>
        <w:jc w:val="both"/>
        <w:rPr>
          <w:rFonts w:ascii="Times New Roman" w:hAnsi="Times New Roman" w:cs="Times New Roman"/>
          <w:color w:val="333333"/>
          <w:sz w:val="24"/>
          <w:szCs w:val="24"/>
        </w:rPr>
      </w:pPr>
      <w:r>
        <w:rPr>
          <w:rFonts w:ascii="Times New Roman" w:hAnsi="Times New Roman" w:cs="Times New Roman"/>
          <w:sz w:val="24"/>
          <w:szCs w:val="24"/>
        </w:rPr>
        <w:t xml:space="preserve">Para aquellos que insistan en utilizar, o seguir utilizando, el análisis técnico </w:t>
      </w:r>
      <w:r w:rsidR="008968C9">
        <w:rPr>
          <w:rFonts w:ascii="Times New Roman" w:hAnsi="Times New Roman" w:cs="Times New Roman"/>
          <w:sz w:val="24"/>
          <w:szCs w:val="24"/>
        </w:rPr>
        <w:t>para resolver</w:t>
      </w:r>
      <w:r>
        <w:rPr>
          <w:rFonts w:ascii="Times New Roman" w:hAnsi="Times New Roman" w:cs="Times New Roman"/>
          <w:sz w:val="24"/>
          <w:szCs w:val="24"/>
        </w:rPr>
        <w:t xml:space="preserve"> sus inversiones, les digo (con humildad, sin esperanza, y sin miedo) que pueden estar aplicando un razonamiento equivalente a la mayoría de las </w:t>
      </w:r>
      <w:r w:rsidR="008968C9">
        <w:rPr>
          <w:rFonts w:ascii="Times New Roman" w:hAnsi="Times New Roman" w:cs="Times New Roman"/>
          <w:sz w:val="24"/>
          <w:szCs w:val="24"/>
        </w:rPr>
        <w:t>“artes mís</w:t>
      </w:r>
      <w:r>
        <w:rPr>
          <w:rFonts w:ascii="Times New Roman" w:hAnsi="Times New Roman" w:cs="Times New Roman"/>
          <w:sz w:val="24"/>
          <w:szCs w:val="24"/>
        </w:rPr>
        <w:t>ticas”</w:t>
      </w:r>
      <w:r w:rsidR="008968C9">
        <w:rPr>
          <w:rFonts w:ascii="Times New Roman" w:hAnsi="Times New Roman" w:cs="Times New Roman"/>
          <w:sz w:val="24"/>
          <w:szCs w:val="24"/>
        </w:rPr>
        <w:t xml:space="preserve"> y </w:t>
      </w:r>
      <w:r w:rsidRPr="008968C9">
        <w:rPr>
          <w:rStyle w:val="Textoennegrita"/>
          <w:rFonts w:ascii="Times New Roman" w:hAnsi="Times New Roman" w:cs="Times New Roman"/>
          <w:b w:val="0"/>
          <w:color w:val="333333"/>
          <w:sz w:val="24"/>
          <w:szCs w:val="24"/>
        </w:rPr>
        <w:t xml:space="preserve">“pseudociencias” como la astrología o el tarot. Por mucho que se explique que no funciona ni sirve de nada, </w:t>
      </w:r>
      <w:r w:rsidR="008968C9">
        <w:rPr>
          <w:rStyle w:val="Textoennegrita"/>
          <w:rFonts w:ascii="Times New Roman" w:hAnsi="Times New Roman" w:cs="Times New Roman"/>
          <w:b w:val="0"/>
          <w:color w:val="333333"/>
          <w:sz w:val="24"/>
          <w:szCs w:val="24"/>
        </w:rPr>
        <w:t>la gente las usa porque “necesita”</w:t>
      </w:r>
      <w:r w:rsidRPr="008968C9">
        <w:rPr>
          <w:rStyle w:val="Textoennegrita"/>
          <w:rFonts w:ascii="Times New Roman" w:hAnsi="Times New Roman" w:cs="Times New Roman"/>
          <w:b w:val="0"/>
          <w:color w:val="333333"/>
          <w:sz w:val="24"/>
          <w:szCs w:val="24"/>
        </w:rPr>
        <w:t xml:space="preserve"> creer que sí</w:t>
      </w:r>
      <w:r w:rsidRPr="003B642D">
        <w:rPr>
          <w:rFonts w:ascii="Times New Roman" w:hAnsi="Times New Roman" w:cs="Times New Roman"/>
          <w:color w:val="333333"/>
          <w:sz w:val="24"/>
          <w:szCs w:val="24"/>
        </w:rPr>
        <w:t>, porque por una razón u otra no ve alternativa.</w:t>
      </w:r>
    </w:p>
    <w:p w:rsidR="008968C9" w:rsidRPr="008968C9" w:rsidRDefault="008968C9" w:rsidP="008968C9">
      <w:pPr>
        <w:spacing w:before="120" w:after="120" w:line="240" w:lineRule="auto"/>
        <w:jc w:val="both"/>
        <w:rPr>
          <w:rFonts w:ascii="Times New Roman" w:hAnsi="Times New Roman" w:cs="Times New Roman"/>
          <w:sz w:val="24"/>
          <w:szCs w:val="24"/>
        </w:rPr>
      </w:pPr>
      <w:r>
        <w:rPr>
          <w:rStyle w:val="Textoennegrita"/>
          <w:rFonts w:ascii="Times New Roman" w:hAnsi="Times New Roman" w:cs="Times New Roman"/>
          <w:iCs/>
          <w:color w:val="333333"/>
          <w:sz w:val="24"/>
          <w:szCs w:val="24"/>
          <w:shd w:val="clear" w:color="auto" w:fill="FFFFFF"/>
        </w:rPr>
        <w:lastRenderedPageBreak/>
        <w:t>Nota</w:t>
      </w:r>
      <w:r w:rsidR="000B2E6C">
        <w:rPr>
          <w:rStyle w:val="Textoennegrita"/>
          <w:rFonts w:ascii="Times New Roman" w:hAnsi="Times New Roman" w:cs="Times New Roman"/>
          <w:iCs/>
          <w:color w:val="333333"/>
          <w:sz w:val="24"/>
          <w:szCs w:val="24"/>
          <w:shd w:val="clear" w:color="auto" w:fill="FFFFFF"/>
        </w:rPr>
        <w:t xml:space="preserve"> II</w:t>
      </w:r>
      <w:r>
        <w:rPr>
          <w:rStyle w:val="Textoennegrita"/>
          <w:rFonts w:ascii="Times New Roman" w:hAnsi="Times New Roman" w:cs="Times New Roman"/>
          <w:iCs/>
          <w:color w:val="333333"/>
          <w:sz w:val="24"/>
          <w:szCs w:val="24"/>
          <w:shd w:val="clear" w:color="auto" w:fill="FFFFFF"/>
        </w:rPr>
        <w:t xml:space="preserve">: </w:t>
      </w:r>
      <w:r w:rsidRPr="008968C9">
        <w:rPr>
          <w:rStyle w:val="Textoennegrita"/>
          <w:rFonts w:ascii="Times New Roman" w:hAnsi="Times New Roman" w:cs="Times New Roman"/>
          <w:iCs/>
          <w:color w:val="333333"/>
          <w:sz w:val="24"/>
          <w:szCs w:val="24"/>
          <w:shd w:val="clear" w:color="auto" w:fill="FFFFFF"/>
        </w:rPr>
        <w:t>Ni la teoría económica, ni la lógica, ni la ciencia empírica, ni el sentido común, ni la experiencia práctica aportan fundamentos a favor del análisis técnico, p</w:t>
      </w:r>
      <w:r>
        <w:rPr>
          <w:rStyle w:val="Textoennegrita"/>
          <w:rFonts w:ascii="Times New Roman" w:hAnsi="Times New Roman" w:cs="Times New Roman"/>
          <w:iCs/>
          <w:color w:val="333333"/>
          <w:sz w:val="24"/>
          <w:szCs w:val="24"/>
          <w:shd w:val="clear" w:color="auto" w:fill="FFFFFF"/>
        </w:rPr>
        <w:t>ero sí muchos en contra</w:t>
      </w:r>
      <w:r w:rsidR="000B2E6C">
        <w:rPr>
          <w:rStyle w:val="Textoennegrita"/>
          <w:rFonts w:ascii="Times New Roman" w:hAnsi="Times New Roman" w:cs="Times New Roman"/>
          <w:iCs/>
          <w:color w:val="333333"/>
          <w:sz w:val="24"/>
          <w:szCs w:val="24"/>
          <w:shd w:val="clear" w:color="auto" w:fill="FFFFFF"/>
        </w:rPr>
        <w:t>.</w:t>
      </w:r>
    </w:p>
    <w:p w:rsidR="008968C9" w:rsidRPr="000B181A" w:rsidRDefault="008968C9" w:rsidP="008968C9">
      <w:pPr>
        <w:spacing w:before="120" w:after="120" w:line="240" w:lineRule="auto"/>
        <w:jc w:val="both"/>
        <w:rPr>
          <w:rFonts w:ascii="Times New Roman" w:hAnsi="Times New Roman" w:cs="Times New Roman"/>
          <w:b/>
          <w:sz w:val="24"/>
          <w:szCs w:val="24"/>
        </w:rPr>
      </w:pPr>
      <w:r w:rsidRPr="000B181A">
        <w:rPr>
          <w:rFonts w:ascii="Times New Roman" w:hAnsi="Times New Roman" w:cs="Times New Roman"/>
          <w:b/>
          <w:sz w:val="24"/>
          <w:szCs w:val="24"/>
        </w:rPr>
        <w:t xml:space="preserve">Reivindicación del análisis fundamental </w:t>
      </w:r>
    </w:p>
    <w:p w:rsidR="008968C9" w:rsidRPr="006A45F5" w:rsidRDefault="008968C9" w:rsidP="006A45F5">
      <w:pPr>
        <w:pStyle w:val="NormalWeb"/>
        <w:jc w:val="both"/>
      </w:pPr>
      <w:r w:rsidRPr="006A45F5">
        <w:t>El </w:t>
      </w:r>
      <w:r w:rsidRPr="006A45F5">
        <w:rPr>
          <w:rStyle w:val="Textoennegrita"/>
          <w:b w:val="0"/>
        </w:rPr>
        <w:t>análisis fundamental</w:t>
      </w:r>
      <w:r w:rsidRPr="006A45F5">
        <w:t> es una técnica que </w:t>
      </w:r>
      <w:r w:rsidRPr="006A45F5">
        <w:rPr>
          <w:rStyle w:val="nfasis"/>
          <w:i w:val="0"/>
        </w:rPr>
        <w:t>nos permite establecer el valor real de una empresa, más allá de las circunstancias del mercad</w:t>
      </w:r>
      <w:r w:rsidRPr="006A45F5">
        <w:rPr>
          <w:rStyle w:val="nfasis"/>
        </w:rPr>
        <w:t>o</w:t>
      </w:r>
      <w:r w:rsidRPr="006A45F5">
        <w:t>. Ese valor es el que muchos denominan </w:t>
      </w:r>
      <w:r w:rsidRPr="006A45F5">
        <w:rPr>
          <w:rStyle w:val="Textoennegrita"/>
          <w:b w:val="0"/>
          <w:iCs/>
        </w:rPr>
        <w:t>valor intrínseco</w:t>
      </w:r>
      <w:r w:rsidRPr="006A45F5">
        <w:t>. Los analistas, traders e inversores que utilizan los fundamentos buscan establecer los potenciales que puede tener una empresa. Algunos sostienen que el análisis fundamental </w:t>
      </w:r>
      <w:r w:rsidRPr="006A45F5">
        <w:rPr>
          <w:rStyle w:val="Textoennegrita"/>
          <w:b w:val="0"/>
        </w:rPr>
        <w:t>permite desarrollar estrategias a más largo plazo</w:t>
      </w:r>
      <w:r w:rsidRPr="006A45F5">
        <w:t>.</w:t>
      </w:r>
    </w:p>
    <w:p w:rsidR="008968C9" w:rsidRPr="006A45F5" w:rsidRDefault="008968C9" w:rsidP="006A45F5">
      <w:pPr>
        <w:pStyle w:val="NormalWeb"/>
        <w:jc w:val="both"/>
      </w:pPr>
      <w:r w:rsidRPr="006A45F5">
        <w:t>Las bases de este análisis consisten en </w:t>
      </w:r>
      <w:r w:rsidRPr="006A45F5">
        <w:rPr>
          <w:rStyle w:val="Textoennegrita"/>
          <w:b w:val="0"/>
        </w:rPr>
        <w:t>estudiar profundamente los estados financieros</w:t>
      </w:r>
      <w:r w:rsidRPr="006A45F5">
        <w:t> de una compañía. Involucra esta información con lo que ocurre en el mercado y las condiciones generales para operar. De esta forma se obtiene el valor intrínseco que hemos mencionado.</w:t>
      </w:r>
    </w:p>
    <w:p w:rsidR="008968C9" w:rsidRPr="006A45F5" w:rsidRDefault="008968C9" w:rsidP="006A45F5">
      <w:pPr>
        <w:pStyle w:val="NormalWeb"/>
        <w:jc w:val="both"/>
      </w:pPr>
      <w:r w:rsidRPr="006A45F5">
        <w:rPr>
          <w:rStyle w:val="nfasis"/>
          <w:i w:val="0"/>
        </w:rPr>
        <w:t>¿Qué es el valor intrínseco</w:t>
      </w:r>
      <w:r w:rsidRPr="006A45F5">
        <w:rPr>
          <w:rStyle w:val="nfasis"/>
        </w:rPr>
        <w:t>?</w:t>
      </w:r>
      <w:r w:rsidRPr="006A45F5">
        <w:t> </w:t>
      </w:r>
      <w:r w:rsidRPr="006A45F5">
        <w:rPr>
          <w:rStyle w:val="Textoennegrita"/>
          <w:b w:val="0"/>
        </w:rPr>
        <w:t>Es el valor real, objetivo y esencial de una empresa, más allá de las fluctuaciones del mercado</w:t>
      </w:r>
      <w:r w:rsidRPr="006A45F5">
        <w:t>. El valor de mercado está influido por las condiciones económicas y financieras del momento, las emociones de los especuladores y, la oferta y la demanda.</w:t>
      </w:r>
    </w:p>
    <w:p w:rsidR="00535137" w:rsidRDefault="008968C9" w:rsidP="006A45F5">
      <w:pPr>
        <w:pStyle w:val="NormalWeb"/>
        <w:jc w:val="both"/>
      </w:pPr>
      <w:r w:rsidRPr="006A45F5">
        <w:t>Pero, existe ese valor objetivo que nos permite establecer las p</w:t>
      </w:r>
      <w:r w:rsidR="00535137" w:rsidRPr="006A45F5">
        <w:t>otencialidades de crecimiento -o de caída-</w:t>
      </w:r>
      <w:r w:rsidRPr="006A45F5">
        <w:t xml:space="preserve"> para una empresa. </w:t>
      </w:r>
      <w:hyperlink r:id="rId93" w:history="1">
        <w:r w:rsidRPr="000B181A">
          <w:rPr>
            <w:rStyle w:val="Hipervnculo"/>
            <w:color w:val="auto"/>
            <w:u w:val="none"/>
          </w:rPr>
          <w:t>Benjamin Graham</w:t>
        </w:r>
      </w:hyperlink>
      <w:r w:rsidRPr="006A45F5">
        <w:t>, el mayor exponente del análisis fundamental, sostenía que en los mercados se podía encontrar empresas que estaban subvaloradas y con gran potencial. Debían ser considerada</w:t>
      </w:r>
      <w:r w:rsidR="000B181A">
        <w:t xml:space="preserve">s en nuestro plan de inversión. </w:t>
      </w:r>
      <w:r w:rsidRPr="006A45F5">
        <w:t>Uno de los mayores representantes actuales de las inversiones basadas en el análisis fundamental es </w:t>
      </w:r>
      <w:hyperlink r:id="rId94" w:history="1">
        <w:r w:rsidR="000B181A">
          <w:rPr>
            <w:rStyle w:val="Hipervnculo"/>
            <w:color w:val="auto"/>
            <w:u w:val="none"/>
          </w:rPr>
          <w:t>Warren Buffett (</w:t>
        </w:r>
        <w:r w:rsidRPr="006A45F5">
          <w:rPr>
            <w:rStyle w:val="Hipervnculo"/>
            <w:color w:val="auto"/>
            <w:u w:val="none"/>
          </w:rPr>
          <w:t>“El Oráculo de Omaha”</w:t>
        </w:r>
      </w:hyperlink>
      <w:r w:rsidR="000B181A">
        <w:rPr>
          <w:rStyle w:val="Hipervnculo"/>
          <w:color w:val="auto"/>
          <w:u w:val="none"/>
        </w:rPr>
        <w:t>)</w:t>
      </w:r>
      <w:r w:rsidRPr="006A45F5">
        <w:t>.</w:t>
      </w:r>
    </w:p>
    <w:p w:rsidR="006A45F5" w:rsidRDefault="006A45F5" w:rsidP="006A45F5">
      <w:pPr>
        <w:pStyle w:val="NormalWeb"/>
        <w:jc w:val="both"/>
      </w:pPr>
      <w:r w:rsidRPr="006A45F5">
        <w:t>Objetivos principales en el uso de los fundamentos:</w:t>
      </w:r>
    </w:p>
    <w:p w:rsidR="008968C9" w:rsidRPr="006A45F5" w:rsidRDefault="008968C9" w:rsidP="006A45F5">
      <w:pPr>
        <w:numPr>
          <w:ilvl w:val="0"/>
          <w:numId w:val="13"/>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Estimar el valor real de una acción.</w:t>
      </w:r>
    </w:p>
    <w:p w:rsidR="008968C9" w:rsidRPr="006A45F5" w:rsidRDefault="008968C9" w:rsidP="006A45F5">
      <w:pPr>
        <w:numPr>
          <w:ilvl w:val="0"/>
          <w:numId w:val="13"/>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Detectar si un activo está sobrevalorado o infravalorado.</w:t>
      </w:r>
    </w:p>
    <w:p w:rsidR="008968C9" w:rsidRPr="006A45F5" w:rsidRDefault="008968C9" w:rsidP="006A45F5">
      <w:pPr>
        <w:numPr>
          <w:ilvl w:val="0"/>
          <w:numId w:val="13"/>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Tomar decisiones de inversión a mediano y largo plazo.</w:t>
      </w:r>
    </w:p>
    <w:p w:rsidR="008968C9" w:rsidRPr="006A45F5" w:rsidRDefault="008968C9" w:rsidP="006A45F5">
      <w:pPr>
        <w:numPr>
          <w:ilvl w:val="0"/>
          <w:numId w:val="13"/>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Evaluar la solidez y sostenibilidad de una empresa.</w:t>
      </w:r>
    </w:p>
    <w:p w:rsidR="008968C9" w:rsidRPr="006A45F5" w:rsidRDefault="008968C9" w:rsidP="006A45F5">
      <w:pPr>
        <w:pStyle w:val="Ttulo2"/>
        <w:spacing w:before="0" w:after="234" w:line="240" w:lineRule="auto"/>
        <w:jc w:val="both"/>
        <w:rPr>
          <w:rFonts w:ascii="Times New Roman" w:hAnsi="Times New Roman" w:cs="Times New Roman"/>
          <w:b w:val="0"/>
          <w:color w:val="000000"/>
          <w:sz w:val="24"/>
          <w:szCs w:val="24"/>
        </w:rPr>
      </w:pPr>
      <w:r w:rsidRPr="006A45F5">
        <w:rPr>
          <w:rFonts w:ascii="Times New Roman" w:hAnsi="Times New Roman" w:cs="Times New Roman"/>
          <w:b w:val="0"/>
          <w:color w:val="000000"/>
          <w:sz w:val="24"/>
          <w:szCs w:val="24"/>
        </w:rPr>
        <w:t>Diferencias entre análisis fundamental y técnico</w:t>
      </w:r>
    </w:p>
    <w:p w:rsidR="008968C9" w:rsidRPr="006A45F5" w:rsidRDefault="008968C9" w:rsidP="006A45F5">
      <w:pPr>
        <w:pStyle w:val="NormalWeb"/>
        <w:jc w:val="both"/>
        <w:rPr>
          <w:i/>
        </w:rPr>
      </w:pPr>
      <w:r w:rsidRPr="006A45F5">
        <w:t>El </w:t>
      </w:r>
      <w:r w:rsidRPr="006A45F5">
        <w:rPr>
          <w:rStyle w:val="Textoennegrita"/>
          <w:b w:val="0"/>
        </w:rPr>
        <w:t>análisis fundamental</w:t>
      </w:r>
      <w:r w:rsidRPr="006A45F5">
        <w:t> y el técnico poseen enfoques diferentes a la hora de intervenir en los mercados financieros y tomar decisiones. En ocasiones, estas técnicas aparecen como contrapuestas: </w:t>
      </w:r>
      <w:r w:rsidRPr="006A45F5">
        <w:rPr>
          <w:rStyle w:val="nfasis"/>
          <w:i w:val="0"/>
        </w:rPr>
        <w:t>“si usas el análisis técnico, deshazte de los fundamentos”</w:t>
      </w:r>
      <w:r w:rsidRPr="006A45F5">
        <w:rPr>
          <w:i/>
        </w:rPr>
        <w:t>.</w:t>
      </w:r>
    </w:p>
    <w:p w:rsidR="008968C9" w:rsidRPr="006A45F5" w:rsidRDefault="008968C9" w:rsidP="006A45F5">
      <w:pPr>
        <w:pStyle w:val="NormalWeb"/>
        <w:jc w:val="both"/>
      </w:pPr>
      <w:r w:rsidRPr="006A45F5">
        <w:t>Mu</w:t>
      </w:r>
      <w:r w:rsidR="00535137" w:rsidRPr="006A45F5">
        <w:t>chos participantes completan su</w:t>
      </w:r>
      <w:r w:rsidRPr="006A45F5">
        <w:t xml:space="preserve"> información combinando ambos análisis. De esta forma tienen una visión más holística de lo que está pasando con los activos e instrumentos financieros.</w:t>
      </w:r>
    </w:p>
    <w:p w:rsidR="00204CF2" w:rsidRPr="006A45F5" w:rsidRDefault="008968C9" w:rsidP="006A45F5">
      <w:pPr>
        <w:pStyle w:val="NormalWeb"/>
        <w:jc w:val="both"/>
      </w:pPr>
      <w:r w:rsidRPr="006A45F5">
        <w:t>Veamos las diferencias entre análisis fundamental y técnico de forma más gráfica:</w:t>
      </w:r>
    </w:p>
    <w:tbl>
      <w:tblPr>
        <w:tblW w:w="0" w:type="auto"/>
        <w:tblCellMar>
          <w:top w:w="15" w:type="dxa"/>
          <w:left w:w="15" w:type="dxa"/>
          <w:bottom w:w="15" w:type="dxa"/>
          <w:right w:w="15" w:type="dxa"/>
        </w:tblCellMar>
        <w:tblLook w:val="04A0" w:firstRow="1" w:lastRow="0" w:firstColumn="1" w:lastColumn="0" w:noHBand="0" w:noVBand="1"/>
      </w:tblPr>
      <w:tblGrid>
        <w:gridCol w:w="1663"/>
        <w:gridCol w:w="3649"/>
        <w:gridCol w:w="3290"/>
      </w:tblGrid>
      <w:tr w:rsidR="008968C9" w:rsidRPr="006A45F5" w:rsidTr="008968C9">
        <w:trPr>
          <w:tblHeader/>
        </w:trPr>
        <w:tc>
          <w:tcPr>
            <w:tcW w:w="0" w:type="auto"/>
            <w:shd w:val="clear" w:color="auto" w:fill="auto"/>
            <w:vAlign w:val="center"/>
            <w:hideMark/>
          </w:tcPr>
          <w:p w:rsidR="008968C9" w:rsidRPr="006A45F5" w:rsidRDefault="008968C9" w:rsidP="006A45F5">
            <w:pPr>
              <w:spacing w:line="240" w:lineRule="auto"/>
              <w:jc w:val="both"/>
              <w:rPr>
                <w:rFonts w:ascii="Times New Roman" w:hAnsi="Times New Roman" w:cs="Times New Roman"/>
                <w:bCs/>
                <w:sz w:val="24"/>
                <w:szCs w:val="24"/>
              </w:rPr>
            </w:pPr>
            <w:r w:rsidRPr="006A45F5">
              <w:rPr>
                <w:rFonts w:ascii="Times New Roman" w:hAnsi="Times New Roman" w:cs="Times New Roman"/>
                <w:bCs/>
                <w:sz w:val="24"/>
                <w:szCs w:val="24"/>
              </w:rPr>
              <w:t>Característica</w:t>
            </w:r>
          </w:p>
        </w:tc>
        <w:tc>
          <w:tcPr>
            <w:tcW w:w="0" w:type="auto"/>
            <w:shd w:val="clear" w:color="auto" w:fill="auto"/>
            <w:vAlign w:val="center"/>
            <w:hideMark/>
          </w:tcPr>
          <w:p w:rsidR="008968C9" w:rsidRPr="006A45F5" w:rsidRDefault="008968C9" w:rsidP="006A45F5">
            <w:pPr>
              <w:spacing w:line="240" w:lineRule="auto"/>
              <w:jc w:val="both"/>
              <w:rPr>
                <w:rFonts w:ascii="Times New Roman" w:hAnsi="Times New Roman" w:cs="Times New Roman"/>
                <w:bCs/>
                <w:sz w:val="24"/>
                <w:szCs w:val="24"/>
              </w:rPr>
            </w:pPr>
            <w:r w:rsidRPr="006A45F5">
              <w:rPr>
                <w:rFonts w:ascii="Times New Roman" w:hAnsi="Times New Roman" w:cs="Times New Roman"/>
                <w:bCs/>
                <w:sz w:val="24"/>
                <w:szCs w:val="24"/>
              </w:rPr>
              <w:t>Análisis Fundamental</w:t>
            </w:r>
          </w:p>
        </w:tc>
        <w:tc>
          <w:tcPr>
            <w:tcW w:w="0" w:type="auto"/>
            <w:shd w:val="clear" w:color="auto" w:fill="auto"/>
            <w:vAlign w:val="center"/>
            <w:hideMark/>
          </w:tcPr>
          <w:p w:rsidR="008968C9" w:rsidRPr="006A45F5" w:rsidRDefault="008968C9" w:rsidP="006A45F5">
            <w:pPr>
              <w:spacing w:line="240" w:lineRule="auto"/>
              <w:jc w:val="both"/>
              <w:rPr>
                <w:rFonts w:ascii="Times New Roman" w:hAnsi="Times New Roman" w:cs="Times New Roman"/>
                <w:bCs/>
                <w:sz w:val="24"/>
                <w:szCs w:val="24"/>
              </w:rPr>
            </w:pPr>
            <w:r w:rsidRPr="006A45F5">
              <w:rPr>
                <w:rFonts w:ascii="Times New Roman" w:hAnsi="Times New Roman" w:cs="Times New Roman"/>
                <w:bCs/>
                <w:sz w:val="24"/>
                <w:szCs w:val="24"/>
              </w:rPr>
              <w:t>Análisis Técnico</w:t>
            </w:r>
          </w:p>
        </w:tc>
      </w:tr>
      <w:tr w:rsidR="008968C9" w:rsidRPr="006A45F5" w:rsidTr="008968C9">
        <w:tc>
          <w:tcPr>
            <w:tcW w:w="0" w:type="auto"/>
            <w:tcBorders>
              <w:top w:val="nil"/>
              <w:left w:val="nil"/>
              <w:bottom w:val="nil"/>
              <w:right w:val="nil"/>
            </w:tcBorders>
            <w:shd w:val="clear" w:color="auto" w:fill="auto"/>
            <w:vAlign w:val="center"/>
            <w:hideMark/>
          </w:tcPr>
          <w:p w:rsidR="008968C9" w:rsidRPr="006A45F5" w:rsidRDefault="008968C9" w:rsidP="006A45F5">
            <w:pPr>
              <w:spacing w:line="240" w:lineRule="auto"/>
              <w:jc w:val="both"/>
              <w:rPr>
                <w:rFonts w:ascii="Times New Roman" w:hAnsi="Times New Roman" w:cs="Times New Roman"/>
                <w:sz w:val="24"/>
                <w:szCs w:val="24"/>
              </w:rPr>
            </w:pPr>
            <w:r w:rsidRPr="006A45F5">
              <w:rPr>
                <w:rFonts w:ascii="Times New Roman" w:hAnsi="Times New Roman" w:cs="Times New Roman"/>
                <w:sz w:val="24"/>
                <w:szCs w:val="24"/>
              </w:rPr>
              <w:t>Enfoque</w:t>
            </w:r>
          </w:p>
        </w:tc>
        <w:tc>
          <w:tcPr>
            <w:tcW w:w="0" w:type="auto"/>
            <w:tcBorders>
              <w:top w:val="nil"/>
              <w:left w:val="nil"/>
              <w:bottom w:val="nil"/>
              <w:right w:val="nil"/>
            </w:tcBorders>
            <w:shd w:val="clear" w:color="auto" w:fill="auto"/>
            <w:vAlign w:val="center"/>
            <w:hideMark/>
          </w:tcPr>
          <w:p w:rsidR="008968C9" w:rsidRPr="006A45F5" w:rsidRDefault="008968C9" w:rsidP="006A45F5">
            <w:pPr>
              <w:spacing w:line="240" w:lineRule="auto"/>
              <w:jc w:val="both"/>
              <w:rPr>
                <w:rFonts w:ascii="Times New Roman" w:hAnsi="Times New Roman" w:cs="Times New Roman"/>
                <w:sz w:val="24"/>
                <w:szCs w:val="24"/>
              </w:rPr>
            </w:pPr>
            <w:r w:rsidRPr="006A45F5">
              <w:rPr>
                <w:rFonts w:ascii="Times New Roman" w:hAnsi="Times New Roman" w:cs="Times New Roman"/>
                <w:sz w:val="24"/>
                <w:szCs w:val="24"/>
              </w:rPr>
              <w:t>Valor intrínseco</w:t>
            </w:r>
          </w:p>
        </w:tc>
        <w:tc>
          <w:tcPr>
            <w:tcW w:w="0" w:type="auto"/>
            <w:tcBorders>
              <w:top w:val="nil"/>
              <w:left w:val="nil"/>
              <w:bottom w:val="nil"/>
              <w:right w:val="nil"/>
            </w:tcBorders>
            <w:shd w:val="clear" w:color="auto" w:fill="auto"/>
            <w:vAlign w:val="center"/>
            <w:hideMark/>
          </w:tcPr>
          <w:p w:rsidR="008968C9" w:rsidRPr="006A45F5" w:rsidRDefault="008968C9" w:rsidP="006A45F5">
            <w:pPr>
              <w:spacing w:line="240" w:lineRule="auto"/>
              <w:jc w:val="both"/>
              <w:rPr>
                <w:rFonts w:ascii="Times New Roman" w:hAnsi="Times New Roman" w:cs="Times New Roman"/>
                <w:sz w:val="24"/>
                <w:szCs w:val="24"/>
              </w:rPr>
            </w:pPr>
            <w:r w:rsidRPr="006A45F5">
              <w:rPr>
                <w:rFonts w:ascii="Times New Roman" w:hAnsi="Times New Roman" w:cs="Times New Roman"/>
                <w:sz w:val="24"/>
                <w:szCs w:val="24"/>
              </w:rPr>
              <w:t>Comportamiento del precio</w:t>
            </w:r>
          </w:p>
        </w:tc>
      </w:tr>
      <w:tr w:rsidR="00204CF2" w:rsidRPr="00204CF2" w:rsidTr="004C1509">
        <w:tc>
          <w:tcPr>
            <w:tcW w:w="0" w:type="auto"/>
            <w:tcBorders>
              <w:top w:val="nil"/>
              <w:left w:val="nil"/>
              <w:bottom w:val="nil"/>
              <w:right w:val="nil"/>
            </w:tcBorders>
            <w:shd w:val="clear" w:color="auto" w:fill="auto"/>
            <w:vAlign w:val="center"/>
            <w:hideMark/>
          </w:tcPr>
          <w:p w:rsidR="00204CF2" w:rsidRPr="00204CF2" w:rsidRDefault="00204CF2" w:rsidP="004C1509">
            <w:pPr>
              <w:spacing w:line="240" w:lineRule="auto"/>
              <w:jc w:val="both"/>
              <w:rPr>
                <w:rFonts w:ascii="Times New Roman" w:hAnsi="Times New Roman" w:cs="Times New Roman"/>
                <w:sz w:val="24"/>
                <w:szCs w:val="24"/>
              </w:rPr>
            </w:pPr>
            <w:r w:rsidRPr="00204CF2">
              <w:rPr>
                <w:rFonts w:ascii="Times New Roman" w:hAnsi="Times New Roman" w:cs="Times New Roman"/>
                <w:sz w:val="24"/>
                <w:szCs w:val="24"/>
              </w:rPr>
              <w:lastRenderedPageBreak/>
              <w:t>Horizonte</w:t>
            </w:r>
          </w:p>
        </w:tc>
        <w:tc>
          <w:tcPr>
            <w:tcW w:w="0" w:type="auto"/>
            <w:tcBorders>
              <w:top w:val="nil"/>
              <w:left w:val="nil"/>
              <w:bottom w:val="nil"/>
              <w:right w:val="nil"/>
            </w:tcBorders>
            <w:shd w:val="clear" w:color="auto" w:fill="auto"/>
            <w:vAlign w:val="center"/>
            <w:hideMark/>
          </w:tcPr>
          <w:p w:rsidR="00204CF2" w:rsidRPr="00204CF2" w:rsidRDefault="00204CF2" w:rsidP="004C1509">
            <w:pPr>
              <w:spacing w:line="240" w:lineRule="auto"/>
              <w:jc w:val="both"/>
              <w:rPr>
                <w:rFonts w:ascii="Times New Roman" w:hAnsi="Times New Roman" w:cs="Times New Roman"/>
                <w:sz w:val="24"/>
                <w:szCs w:val="24"/>
              </w:rPr>
            </w:pPr>
            <w:r w:rsidRPr="00204CF2">
              <w:rPr>
                <w:rFonts w:ascii="Times New Roman" w:hAnsi="Times New Roman" w:cs="Times New Roman"/>
                <w:sz w:val="24"/>
                <w:szCs w:val="24"/>
              </w:rPr>
              <w:t>Mediano y largo plazo</w:t>
            </w:r>
          </w:p>
        </w:tc>
        <w:tc>
          <w:tcPr>
            <w:tcW w:w="0" w:type="auto"/>
            <w:tcBorders>
              <w:top w:val="nil"/>
              <w:left w:val="nil"/>
              <w:bottom w:val="nil"/>
              <w:right w:val="nil"/>
            </w:tcBorders>
            <w:shd w:val="clear" w:color="auto" w:fill="auto"/>
            <w:vAlign w:val="center"/>
            <w:hideMark/>
          </w:tcPr>
          <w:p w:rsidR="00204CF2" w:rsidRPr="00204CF2" w:rsidRDefault="00204CF2" w:rsidP="004C1509">
            <w:pPr>
              <w:spacing w:line="240" w:lineRule="auto"/>
              <w:jc w:val="both"/>
              <w:rPr>
                <w:rFonts w:ascii="Times New Roman" w:hAnsi="Times New Roman" w:cs="Times New Roman"/>
                <w:sz w:val="24"/>
                <w:szCs w:val="24"/>
              </w:rPr>
            </w:pPr>
            <w:r w:rsidRPr="00204CF2">
              <w:rPr>
                <w:rFonts w:ascii="Times New Roman" w:hAnsi="Times New Roman" w:cs="Times New Roman"/>
                <w:sz w:val="24"/>
                <w:szCs w:val="24"/>
              </w:rPr>
              <w:t>Corto y mediano plazo</w:t>
            </w:r>
          </w:p>
        </w:tc>
      </w:tr>
      <w:tr w:rsidR="008968C9" w:rsidRPr="006A45F5" w:rsidTr="008968C9">
        <w:tc>
          <w:tcPr>
            <w:tcW w:w="0" w:type="auto"/>
            <w:tcBorders>
              <w:top w:val="nil"/>
              <w:left w:val="nil"/>
              <w:bottom w:val="nil"/>
              <w:right w:val="nil"/>
            </w:tcBorders>
            <w:shd w:val="clear" w:color="auto" w:fill="auto"/>
            <w:vAlign w:val="center"/>
            <w:hideMark/>
          </w:tcPr>
          <w:p w:rsidR="008968C9" w:rsidRPr="006A45F5" w:rsidRDefault="008968C9" w:rsidP="006A45F5">
            <w:pPr>
              <w:spacing w:line="240" w:lineRule="auto"/>
              <w:jc w:val="both"/>
              <w:rPr>
                <w:rFonts w:ascii="Times New Roman" w:hAnsi="Times New Roman" w:cs="Times New Roman"/>
                <w:sz w:val="24"/>
                <w:szCs w:val="24"/>
              </w:rPr>
            </w:pPr>
            <w:r w:rsidRPr="006A45F5">
              <w:rPr>
                <w:rFonts w:ascii="Times New Roman" w:hAnsi="Times New Roman" w:cs="Times New Roman"/>
                <w:sz w:val="24"/>
                <w:szCs w:val="24"/>
              </w:rPr>
              <w:t>Datos analizados</w:t>
            </w:r>
          </w:p>
        </w:tc>
        <w:tc>
          <w:tcPr>
            <w:tcW w:w="0" w:type="auto"/>
            <w:tcBorders>
              <w:top w:val="nil"/>
              <w:left w:val="nil"/>
              <w:bottom w:val="nil"/>
              <w:right w:val="nil"/>
            </w:tcBorders>
            <w:shd w:val="clear" w:color="auto" w:fill="auto"/>
            <w:vAlign w:val="center"/>
            <w:hideMark/>
          </w:tcPr>
          <w:p w:rsidR="008968C9" w:rsidRPr="006A45F5" w:rsidRDefault="008968C9" w:rsidP="006A45F5">
            <w:pPr>
              <w:spacing w:line="240" w:lineRule="auto"/>
              <w:jc w:val="both"/>
              <w:rPr>
                <w:rFonts w:ascii="Times New Roman" w:hAnsi="Times New Roman" w:cs="Times New Roman"/>
                <w:sz w:val="24"/>
                <w:szCs w:val="24"/>
              </w:rPr>
            </w:pPr>
            <w:r w:rsidRPr="006A45F5">
              <w:rPr>
                <w:rFonts w:ascii="Times New Roman" w:hAnsi="Times New Roman" w:cs="Times New Roman"/>
                <w:sz w:val="24"/>
                <w:szCs w:val="24"/>
              </w:rPr>
              <w:t>Estados financieros, economía, sector</w:t>
            </w:r>
          </w:p>
        </w:tc>
        <w:tc>
          <w:tcPr>
            <w:tcW w:w="0" w:type="auto"/>
            <w:tcBorders>
              <w:top w:val="nil"/>
              <w:left w:val="nil"/>
              <w:bottom w:val="nil"/>
              <w:right w:val="nil"/>
            </w:tcBorders>
            <w:shd w:val="clear" w:color="auto" w:fill="auto"/>
            <w:vAlign w:val="center"/>
            <w:hideMark/>
          </w:tcPr>
          <w:p w:rsidR="008968C9" w:rsidRPr="006A45F5" w:rsidRDefault="008968C9" w:rsidP="006A45F5">
            <w:pPr>
              <w:spacing w:line="240" w:lineRule="auto"/>
              <w:jc w:val="both"/>
              <w:rPr>
                <w:rFonts w:ascii="Times New Roman" w:hAnsi="Times New Roman" w:cs="Times New Roman"/>
                <w:sz w:val="24"/>
                <w:szCs w:val="24"/>
              </w:rPr>
            </w:pPr>
            <w:r w:rsidRPr="006A45F5">
              <w:rPr>
                <w:rFonts w:ascii="Times New Roman" w:hAnsi="Times New Roman" w:cs="Times New Roman"/>
                <w:sz w:val="24"/>
                <w:szCs w:val="24"/>
              </w:rPr>
              <w:t>Gráficos, patrones, volumen</w:t>
            </w:r>
          </w:p>
        </w:tc>
      </w:tr>
      <w:tr w:rsidR="008968C9" w:rsidRPr="006A45F5" w:rsidTr="008968C9">
        <w:tc>
          <w:tcPr>
            <w:tcW w:w="0" w:type="auto"/>
            <w:tcBorders>
              <w:top w:val="nil"/>
              <w:left w:val="nil"/>
              <w:bottom w:val="nil"/>
              <w:right w:val="nil"/>
            </w:tcBorders>
            <w:shd w:val="clear" w:color="auto" w:fill="auto"/>
            <w:vAlign w:val="center"/>
            <w:hideMark/>
          </w:tcPr>
          <w:p w:rsidR="008968C9" w:rsidRPr="006A45F5" w:rsidRDefault="008968C9" w:rsidP="006A45F5">
            <w:pPr>
              <w:spacing w:line="240" w:lineRule="auto"/>
              <w:jc w:val="both"/>
              <w:rPr>
                <w:rFonts w:ascii="Times New Roman" w:hAnsi="Times New Roman" w:cs="Times New Roman"/>
                <w:sz w:val="24"/>
                <w:szCs w:val="24"/>
              </w:rPr>
            </w:pPr>
            <w:r w:rsidRPr="006A45F5">
              <w:rPr>
                <w:rFonts w:ascii="Times New Roman" w:hAnsi="Times New Roman" w:cs="Times New Roman"/>
                <w:sz w:val="24"/>
                <w:szCs w:val="24"/>
              </w:rPr>
              <w:t>Objetivo</w:t>
            </w:r>
          </w:p>
        </w:tc>
        <w:tc>
          <w:tcPr>
            <w:tcW w:w="0" w:type="auto"/>
            <w:tcBorders>
              <w:top w:val="nil"/>
              <w:left w:val="nil"/>
              <w:bottom w:val="nil"/>
              <w:right w:val="nil"/>
            </w:tcBorders>
            <w:shd w:val="clear" w:color="auto" w:fill="auto"/>
            <w:vAlign w:val="center"/>
            <w:hideMark/>
          </w:tcPr>
          <w:p w:rsidR="008968C9" w:rsidRPr="006A45F5" w:rsidRDefault="008968C9" w:rsidP="006A45F5">
            <w:pPr>
              <w:spacing w:line="240" w:lineRule="auto"/>
              <w:jc w:val="both"/>
              <w:rPr>
                <w:rFonts w:ascii="Times New Roman" w:hAnsi="Times New Roman" w:cs="Times New Roman"/>
                <w:sz w:val="24"/>
                <w:szCs w:val="24"/>
              </w:rPr>
            </w:pPr>
            <w:r w:rsidRPr="006A45F5">
              <w:rPr>
                <w:rFonts w:ascii="Times New Roman" w:hAnsi="Times New Roman" w:cs="Times New Roman"/>
                <w:sz w:val="24"/>
                <w:szCs w:val="24"/>
              </w:rPr>
              <w:t>Detectar valor real</w:t>
            </w:r>
          </w:p>
        </w:tc>
        <w:tc>
          <w:tcPr>
            <w:tcW w:w="0" w:type="auto"/>
            <w:tcBorders>
              <w:top w:val="nil"/>
              <w:left w:val="nil"/>
              <w:bottom w:val="nil"/>
              <w:right w:val="nil"/>
            </w:tcBorders>
            <w:shd w:val="clear" w:color="auto" w:fill="auto"/>
            <w:vAlign w:val="center"/>
            <w:hideMark/>
          </w:tcPr>
          <w:p w:rsidR="008968C9" w:rsidRPr="006A45F5" w:rsidRDefault="008968C9" w:rsidP="006A45F5">
            <w:pPr>
              <w:spacing w:line="240" w:lineRule="auto"/>
              <w:jc w:val="both"/>
              <w:rPr>
                <w:rFonts w:ascii="Times New Roman" w:hAnsi="Times New Roman" w:cs="Times New Roman"/>
                <w:sz w:val="24"/>
                <w:szCs w:val="24"/>
              </w:rPr>
            </w:pPr>
            <w:r w:rsidRPr="006A45F5">
              <w:rPr>
                <w:rFonts w:ascii="Times New Roman" w:hAnsi="Times New Roman" w:cs="Times New Roman"/>
                <w:sz w:val="24"/>
                <w:szCs w:val="24"/>
              </w:rPr>
              <w:t>Anticipar movimientos de precios</w:t>
            </w:r>
          </w:p>
        </w:tc>
      </w:tr>
      <w:tr w:rsidR="008968C9" w:rsidRPr="006A45F5" w:rsidTr="008968C9">
        <w:tc>
          <w:tcPr>
            <w:tcW w:w="0" w:type="auto"/>
            <w:tcBorders>
              <w:top w:val="nil"/>
              <w:left w:val="nil"/>
              <w:bottom w:val="nil"/>
              <w:right w:val="nil"/>
            </w:tcBorders>
            <w:shd w:val="clear" w:color="auto" w:fill="auto"/>
            <w:vAlign w:val="center"/>
            <w:hideMark/>
          </w:tcPr>
          <w:p w:rsidR="008968C9" w:rsidRPr="006A45F5" w:rsidRDefault="008968C9" w:rsidP="006A45F5">
            <w:pPr>
              <w:spacing w:line="240" w:lineRule="auto"/>
              <w:jc w:val="both"/>
              <w:rPr>
                <w:rFonts w:ascii="Times New Roman" w:hAnsi="Times New Roman" w:cs="Times New Roman"/>
                <w:sz w:val="24"/>
                <w:szCs w:val="24"/>
              </w:rPr>
            </w:pPr>
            <w:r w:rsidRPr="006A45F5">
              <w:rPr>
                <w:rFonts w:ascii="Times New Roman" w:hAnsi="Times New Roman" w:cs="Times New Roman"/>
                <w:sz w:val="24"/>
                <w:szCs w:val="24"/>
              </w:rPr>
              <w:t>Tipo de inversor</w:t>
            </w:r>
          </w:p>
        </w:tc>
        <w:tc>
          <w:tcPr>
            <w:tcW w:w="0" w:type="auto"/>
            <w:tcBorders>
              <w:top w:val="nil"/>
              <w:left w:val="nil"/>
              <w:bottom w:val="nil"/>
              <w:right w:val="nil"/>
            </w:tcBorders>
            <w:shd w:val="clear" w:color="auto" w:fill="auto"/>
            <w:vAlign w:val="center"/>
            <w:hideMark/>
          </w:tcPr>
          <w:p w:rsidR="008968C9" w:rsidRPr="006A45F5" w:rsidRDefault="008968C9" w:rsidP="006A45F5">
            <w:pPr>
              <w:spacing w:line="240" w:lineRule="auto"/>
              <w:jc w:val="both"/>
              <w:rPr>
                <w:rFonts w:ascii="Times New Roman" w:hAnsi="Times New Roman" w:cs="Times New Roman"/>
                <w:sz w:val="24"/>
                <w:szCs w:val="24"/>
              </w:rPr>
            </w:pPr>
            <w:r w:rsidRPr="006A45F5">
              <w:rPr>
                <w:rFonts w:ascii="Times New Roman" w:hAnsi="Times New Roman" w:cs="Times New Roman"/>
                <w:sz w:val="24"/>
                <w:szCs w:val="24"/>
              </w:rPr>
              <w:t>Inversor</w:t>
            </w:r>
          </w:p>
        </w:tc>
        <w:tc>
          <w:tcPr>
            <w:tcW w:w="0" w:type="auto"/>
            <w:tcBorders>
              <w:top w:val="nil"/>
              <w:left w:val="nil"/>
              <w:bottom w:val="nil"/>
              <w:right w:val="nil"/>
            </w:tcBorders>
            <w:shd w:val="clear" w:color="auto" w:fill="auto"/>
            <w:vAlign w:val="center"/>
            <w:hideMark/>
          </w:tcPr>
          <w:p w:rsidR="008968C9" w:rsidRPr="006A45F5" w:rsidRDefault="008968C9" w:rsidP="006A45F5">
            <w:pPr>
              <w:spacing w:line="240" w:lineRule="auto"/>
              <w:jc w:val="both"/>
              <w:rPr>
                <w:rFonts w:ascii="Times New Roman" w:hAnsi="Times New Roman" w:cs="Times New Roman"/>
                <w:sz w:val="24"/>
                <w:szCs w:val="24"/>
              </w:rPr>
            </w:pPr>
            <w:r w:rsidRPr="006A45F5">
              <w:rPr>
                <w:rFonts w:ascii="Times New Roman" w:hAnsi="Times New Roman" w:cs="Times New Roman"/>
                <w:sz w:val="24"/>
                <w:szCs w:val="24"/>
              </w:rPr>
              <w:t>Trader</w:t>
            </w:r>
          </w:p>
        </w:tc>
      </w:tr>
    </w:tbl>
    <w:p w:rsidR="008968C9" w:rsidRPr="006A45F5" w:rsidRDefault="008968C9" w:rsidP="006A45F5">
      <w:pPr>
        <w:pStyle w:val="NormalWeb"/>
        <w:jc w:val="both"/>
      </w:pPr>
      <w:r w:rsidRPr="006A45F5">
        <w:t>Ambos enfoques pueden complementarse, pero </w:t>
      </w:r>
      <w:r w:rsidRPr="006A45F5">
        <w:rPr>
          <w:rStyle w:val="Textoennegrita"/>
          <w:b w:val="0"/>
          <w:iCs/>
        </w:rPr>
        <w:t>el análisis fundamental es imprescindible para evaluar si una empresa realmente vale lo que el mercado dice</w:t>
      </w:r>
      <w:r w:rsidRPr="006A45F5">
        <w:t>. Sobre todo, si usted tiene la intención de invertir a largo plazo.</w:t>
      </w:r>
    </w:p>
    <w:p w:rsidR="008968C9" w:rsidRPr="006A45F5" w:rsidRDefault="008968C9" w:rsidP="006A45F5">
      <w:pPr>
        <w:pStyle w:val="Ttulo2"/>
        <w:spacing w:before="0" w:after="234" w:line="240" w:lineRule="auto"/>
        <w:jc w:val="both"/>
        <w:rPr>
          <w:rFonts w:ascii="Times New Roman" w:hAnsi="Times New Roman" w:cs="Times New Roman"/>
          <w:b w:val="0"/>
          <w:color w:val="000000"/>
          <w:sz w:val="24"/>
          <w:szCs w:val="24"/>
        </w:rPr>
      </w:pPr>
      <w:r w:rsidRPr="006A45F5">
        <w:rPr>
          <w:rFonts w:ascii="Times New Roman" w:hAnsi="Times New Roman" w:cs="Times New Roman"/>
          <w:b w:val="0"/>
          <w:color w:val="000000"/>
          <w:sz w:val="24"/>
          <w:szCs w:val="24"/>
        </w:rPr>
        <w:t>Fundamentos cuantitativos y cualitativos </w:t>
      </w:r>
    </w:p>
    <w:p w:rsidR="00535137" w:rsidRDefault="008968C9" w:rsidP="006A45F5">
      <w:pPr>
        <w:pStyle w:val="NormalWeb"/>
        <w:jc w:val="both"/>
      </w:pPr>
      <w:r w:rsidRPr="006A45F5">
        <w:t>Cuando nos preparamos a analizar los fundamentos que respaldan a una empresa, disponemos de dos enfoques que se complementan. Hablamos de los </w:t>
      </w:r>
      <w:r w:rsidRPr="006A45F5">
        <w:rPr>
          <w:rStyle w:val="Textoennegrita"/>
          <w:b w:val="0"/>
        </w:rPr>
        <w:t>análisis cuantitativo y cualitativo</w:t>
      </w:r>
      <w:r w:rsidRPr="006A45F5">
        <w:t>. Ambos forman parte del análisis fundamental y ofrecen información sustancial sobre una empresa.</w:t>
      </w:r>
    </w:p>
    <w:p w:rsidR="006A45F5" w:rsidRPr="006A45F5" w:rsidRDefault="006A45F5" w:rsidP="006A45F5">
      <w:pPr>
        <w:pStyle w:val="NormalWeb"/>
        <w:jc w:val="both"/>
      </w:pPr>
      <w:r w:rsidRPr="006A45F5">
        <w:t>¿Qué es el análisis cuantitativo en el análisis fundamental?</w:t>
      </w:r>
    </w:p>
    <w:p w:rsidR="008968C9" w:rsidRPr="006A45F5" w:rsidRDefault="008968C9" w:rsidP="006A45F5">
      <w:pPr>
        <w:pStyle w:val="NormalWeb"/>
        <w:jc w:val="both"/>
      </w:pPr>
      <w:r w:rsidRPr="006A45F5">
        <w:t>El </w:t>
      </w:r>
      <w:r w:rsidRPr="006A45F5">
        <w:rPr>
          <w:rStyle w:val="Textoennegrita"/>
          <w:b w:val="0"/>
        </w:rPr>
        <w:t>análisis cuantitativo</w:t>
      </w:r>
      <w:r w:rsidRPr="006A45F5">
        <w:t> es una de las patas sobre las que se asienta el análisis fundamental. Se enfoca en estudiar los </w:t>
      </w:r>
      <w:r w:rsidRPr="006A45F5">
        <w:rPr>
          <w:rStyle w:val="Textoennegrita"/>
          <w:b w:val="0"/>
        </w:rPr>
        <w:t>números y datos financieros</w:t>
      </w:r>
      <w:r w:rsidRPr="006A45F5">
        <w:t> de una empresa. Su objetivo es evaluar la salud financiera y el desempeño de un negocio a través de métricas objetivas.</w:t>
      </w:r>
    </w:p>
    <w:p w:rsidR="008968C9" w:rsidRPr="006A45F5" w:rsidRDefault="008968C9" w:rsidP="006A45F5">
      <w:pPr>
        <w:pStyle w:val="NormalWeb"/>
        <w:jc w:val="both"/>
      </w:pPr>
      <w:r w:rsidRPr="006A45F5">
        <w:t>Analiza los </w:t>
      </w:r>
      <w:r w:rsidRPr="006A45F5">
        <w:rPr>
          <w:rStyle w:val="Textoennegrita"/>
          <w:b w:val="0"/>
        </w:rPr>
        <w:t>estados contables</w:t>
      </w:r>
      <w:r w:rsidRPr="006A45F5">
        <w:t>: balance general, estado de resultados y flujo de caja. A partir de estos documentos, se calculan ratios clave como </w:t>
      </w:r>
      <w:r w:rsidRPr="006A45F5">
        <w:rPr>
          <w:rStyle w:val="Textoennegrita"/>
          <w:b w:val="0"/>
        </w:rPr>
        <w:t>la rentabilidad, el nivel de endeudamiento, la liquidez y la eficiencia operativa</w:t>
      </w:r>
      <w:r w:rsidRPr="006A45F5">
        <w:t>.</w:t>
      </w:r>
    </w:p>
    <w:p w:rsidR="00535137" w:rsidRDefault="008968C9" w:rsidP="006A45F5">
      <w:pPr>
        <w:pStyle w:val="NormalWeb"/>
        <w:jc w:val="both"/>
      </w:pPr>
      <w:r w:rsidRPr="006A45F5">
        <w:t>Este tipo de análisis permite comparar empresas dentro del mismo sector, detectar fortalezas y debilidades financieras y estimar el valor real de una compañía. A difer</w:t>
      </w:r>
      <w:r w:rsidR="00535137" w:rsidRPr="006A45F5">
        <w:t>encia del análisis cualitativo -</w:t>
      </w:r>
      <w:r w:rsidRPr="006A45F5">
        <w:t xml:space="preserve">que estudia factores </w:t>
      </w:r>
      <w:r w:rsidR="00535137" w:rsidRPr="006A45F5">
        <w:t>como la reputación o la gestión-</w:t>
      </w:r>
      <w:r w:rsidRPr="006A45F5">
        <w:t>, el análisis cuantitativo ofrece una base </w:t>
      </w:r>
      <w:r w:rsidRPr="006A45F5">
        <w:rPr>
          <w:rStyle w:val="Textoennegrita"/>
          <w:b w:val="0"/>
        </w:rPr>
        <w:t>objetiva y medible</w:t>
      </w:r>
      <w:r w:rsidRPr="006A45F5">
        <w:t> para tomar decisiones de inversión.</w:t>
      </w:r>
    </w:p>
    <w:p w:rsidR="00FC16C1" w:rsidRDefault="00FC16C1" w:rsidP="006A45F5">
      <w:pPr>
        <w:pStyle w:val="NormalWeb"/>
        <w:jc w:val="both"/>
      </w:pPr>
      <w:r>
        <w:t>El análisis cualitativo</w:t>
      </w:r>
    </w:p>
    <w:p w:rsidR="008968C9" w:rsidRPr="006A45F5" w:rsidRDefault="008968C9" w:rsidP="006A45F5">
      <w:pPr>
        <w:pStyle w:val="NormalWeb"/>
        <w:jc w:val="both"/>
      </w:pPr>
      <w:r w:rsidRPr="006A45F5">
        <w:t>El </w:t>
      </w:r>
      <w:r w:rsidRPr="006A45F5">
        <w:rPr>
          <w:rStyle w:val="Textoennegrita"/>
          <w:b w:val="0"/>
        </w:rPr>
        <w:t>análisis cualitativo</w:t>
      </w:r>
      <w:r w:rsidRPr="006A45F5">
        <w:t> es el complemento del análisis fundamental que se enfoca en los </w:t>
      </w:r>
      <w:r w:rsidRPr="006A45F5">
        <w:rPr>
          <w:rStyle w:val="Textoennegrita"/>
          <w:b w:val="0"/>
        </w:rPr>
        <w:t>aspectos intangibles y no numéricos</w:t>
      </w:r>
      <w:r w:rsidRPr="006A45F5">
        <w:t> de una empresa. Su objetivo es entender la calidad del negocio, su posición competitiva y su capacidad de sostener el crecimiento en el tiempo.</w:t>
      </w:r>
    </w:p>
    <w:p w:rsidR="008968C9" w:rsidRPr="006A45F5" w:rsidRDefault="008968C9" w:rsidP="006A45F5">
      <w:pPr>
        <w:pStyle w:val="NormalWeb"/>
        <w:jc w:val="both"/>
      </w:pPr>
      <w:r w:rsidRPr="006A45F5">
        <w:t>A difere</w:t>
      </w:r>
      <w:r w:rsidR="00535137" w:rsidRPr="006A45F5">
        <w:t>ncia del análisis cuantitativo -</w:t>
      </w:r>
      <w:r w:rsidRPr="006A45F5">
        <w:t>centrado</w:t>
      </w:r>
      <w:r w:rsidR="00535137" w:rsidRPr="006A45F5">
        <w:t xml:space="preserve"> en cifras y ratios financieros-</w:t>
      </w:r>
      <w:r w:rsidRPr="006A45F5">
        <w:t>, el análisis cualitativo examina factores como:</w:t>
      </w:r>
    </w:p>
    <w:p w:rsidR="008968C9" w:rsidRPr="006A45F5" w:rsidRDefault="008968C9" w:rsidP="006A45F5">
      <w:pPr>
        <w:numPr>
          <w:ilvl w:val="0"/>
          <w:numId w:val="14"/>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La </w:t>
      </w:r>
      <w:r w:rsidRPr="006A45F5">
        <w:rPr>
          <w:rStyle w:val="Textoennegrita"/>
          <w:rFonts w:ascii="Times New Roman" w:hAnsi="Times New Roman" w:cs="Times New Roman"/>
          <w:b w:val="0"/>
          <w:sz w:val="24"/>
          <w:szCs w:val="24"/>
        </w:rPr>
        <w:t>calidad del equipo directivo</w:t>
      </w:r>
      <w:r w:rsidRPr="006A45F5">
        <w:rPr>
          <w:rFonts w:ascii="Times New Roman" w:hAnsi="Times New Roman" w:cs="Times New Roman"/>
          <w:sz w:val="24"/>
          <w:szCs w:val="24"/>
        </w:rPr>
        <w:t> y su historial.</w:t>
      </w:r>
    </w:p>
    <w:p w:rsidR="008968C9" w:rsidRPr="006A45F5" w:rsidRDefault="008968C9" w:rsidP="006A45F5">
      <w:pPr>
        <w:numPr>
          <w:ilvl w:val="0"/>
          <w:numId w:val="14"/>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El </w:t>
      </w:r>
      <w:r w:rsidRPr="006A45F5">
        <w:rPr>
          <w:rStyle w:val="Textoennegrita"/>
          <w:rFonts w:ascii="Times New Roman" w:hAnsi="Times New Roman" w:cs="Times New Roman"/>
          <w:b w:val="0"/>
          <w:sz w:val="24"/>
          <w:szCs w:val="24"/>
        </w:rPr>
        <w:t>modelo de negocio</w:t>
      </w:r>
      <w:r w:rsidRPr="006A45F5">
        <w:rPr>
          <w:rFonts w:ascii="Times New Roman" w:hAnsi="Times New Roman" w:cs="Times New Roman"/>
          <w:sz w:val="24"/>
          <w:szCs w:val="24"/>
        </w:rPr>
        <w:t> y su escalabilidad.</w:t>
      </w:r>
    </w:p>
    <w:p w:rsidR="008968C9" w:rsidRPr="006A45F5" w:rsidRDefault="008968C9" w:rsidP="006A45F5">
      <w:pPr>
        <w:numPr>
          <w:ilvl w:val="0"/>
          <w:numId w:val="14"/>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La </w:t>
      </w:r>
      <w:r w:rsidRPr="006A45F5">
        <w:rPr>
          <w:rStyle w:val="Textoennegrita"/>
          <w:rFonts w:ascii="Times New Roman" w:hAnsi="Times New Roman" w:cs="Times New Roman"/>
          <w:b w:val="0"/>
          <w:sz w:val="24"/>
          <w:szCs w:val="24"/>
        </w:rPr>
        <w:t>marca</w:t>
      </w:r>
      <w:r w:rsidRPr="006A45F5">
        <w:rPr>
          <w:rFonts w:ascii="Times New Roman" w:hAnsi="Times New Roman" w:cs="Times New Roman"/>
          <w:sz w:val="24"/>
          <w:szCs w:val="24"/>
        </w:rPr>
        <w:t>, reputación y lealtad del cliente.</w:t>
      </w:r>
    </w:p>
    <w:p w:rsidR="008968C9" w:rsidRPr="006A45F5" w:rsidRDefault="008968C9" w:rsidP="006A45F5">
      <w:pPr>
        <w:numPr>
          <w:ilvl w:val="0"/>
          <w:numId w:val="14"/>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El entorno </w:t>
      </w:r>
      <w:r w:rsidRPr="006A45F5">
        <w:rPr>
          <w:rStyle w:val="Textoennegrita"/>
          <w:rFonts w:ascii="Times New Roman" w:hAnsi="Times New Roman" w:cs="Times New Roman"/>
          <w:b w:val="0"/>
          <w:sz w:val="24"/>
          <w:szCs w:val="24"/>
        </w:rPr>
        <w:t>regulatorio y competitivo</w:t>
      </w:r>
      <w:r w:rsidRPr="006A45F5">
        <w:rPr>
          <w:rFonts w:ascii="Times New Roman" w:hAnsi="Times New Roman" w:cs="Times New Roman"/>
          <w:sz w:val="24"/>
          <w:szCs w:val="24"/>
        </w:rPr>
        <w:t>.</w:t>
      </w:r>
    </w:p>
    <w:p w:rsidR="008968C9" w:rsidRPr="006A45F5" w:rsidRDefault="008968C9" w:rsidP="006A45F5">
      <w:pPr>
        <w:numPr>
          <w:ilvl w:val="0"/>
          <w:numId w:val="14"/>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La capacidad de innovación y adaptación.</w:t>
      </w:r>
    </w:p>
    <w:p w:rsidR="008968C9" w:rsidRPr="006A45F5" w:rsidRDefault="008968C9" w:rsidP="006A45F5">
      <w:pPr>
        <w:pStyle w:val="NormalWeb"/>
        <w:jc w:val="both"/>
      </w:pPr>
      <w:r w:rsidRPr="006A45F5">
        <w:lastRenderedPageBreak/>
        <w:t>Este enfoque busca responder preguntas como: ¿Tiene la empresa una ventaja competitiva sostenible? ¿Está bien gestionada? ¿Opera en un mercado con futuro?</w:t>
      </w:r>
    </w:p>
    <w:p w:rsidR="008968C9" w:rsidRPr="006A45F5" w:rsidRDefault="008968C9" w:rsidP="006A45F5">
      <w:pPr>
        <w:pStyle w:val="Ttulo2"/>
        <w:spacing w:before="0" w:after="234" w:line="240" w:lineRule="auto"/>
        <w:jc w:val="both"/>
        <w:rPr>
          <w:rFonts w:ascii="Times New Roman" w:hAnsi="Times New Roman" w:cs="Times New Roman"/>
          <w:b w:val="0"/>
          <w:color w:val="000000"/>
          <w:sz w:val="24"/>
          <w:szCs w:val="24"/>
        </w:rPr>
      </w:pPr>
      <w:r w:rsidRPr="006A45F5">
        <w:rPr>
          <w:rFonts w:ascii="Times New Roman" w:hAnsi="Times New Roman" w:cs="Times New Roman"/>
          <w:b w:val="0"/>
          <w:color w:val="000000"/>
          <w:sz w:val="24"/>
          <w:szCs w:val="24"/>
        </w:rPr>
        <w:t>Ratios financieros más importantes que se utilizan en el análisis fundamental</w:t>
      </w:r>
    </w:p>
    <w:p w:rsidR="00535137" w:rsidRDefault="008968C9" w:rsidP="006A45F5">
      <w:pPr>
        <w:pStyle w:val="NormalWeb"/>
        <w:jc w:val="both"/>
      </w:pPr>
      <w:r w:rsidRPr="006A45F5">
        <w:t>Al realizar el </w:t>
      </w:r>
      <w:r w:rsidRPr="006A45F5">
        <w:rPr>
          <w:rStyle w:val="Textoennegrita"/>
          <w:b w:val="0"/>
        </w:rPr>
        <w:t>análisis cuantitativo</w:t>
      </w:r>
      <w:r w:rsidRPr="006A45F5">
        <w:t>, los especialistas utilizan ratios que les permiten valorar los “números” de una empresa. Para los inversores, esta información les permite tomar decisiones informadas.</w:t>
      </w:r>
    </w:p>
    <w:p w:rsidR="006A45F5" w:rsidRPr="006A45F5" w:rsidRDefault="006A45F5" w:rsidP="006A45F5">
      <w:pPr>
        <w:pStyle w:val="NormalWeb"/>
        <w:jc w:val="both"/>
      </w:pPr>
      <w:r w:rsidRPr="006A45F5">
        <w:t>Ratio de Liquidez Corriente</w:t>
      </w:r>
    </w:p>
    <w:p w:rsidR="008968C9" w:rsidRPr="006A45F5" w:rsidRDefault="008968C9" w:rsidP="006A45F5">
      <w:pPr>
        <w:pStyle w:val="NormalWeb"/>
        <w:jc w:val="both"/>
      </w:pPr>
      <w:r w:rsidRPr="006A45F5">
        <w:t>El ratio de liquidez corriente nos permite medir la capacidad de una empresa para pagar sus deudas a corto plazo a través de sus activos corrientes.</w:t>
      </w:r>
    </w:p>
    <w:p w:rsidR="00535137" w:rsidRDefault="008968C9" w:rsidP="006A45F5">
      <w:pPr>
        <w:pStyle w:val="NormalWeb"/>
        <w:jc w:val="both"/>
        <w:rPr>
          <w:rStyle w:val="nfasis"/>
          <w:i w:val="0"/>
        </w:rPr>
      </w:pPr>
      <w:r w:rsidRPr="006A45F5">
        <w:rPr>
          <w:rStyle w:val="Textoennegrita"/>
          <w:b w:val="0"/>
        </w:rPr>
        <w:t>Fórmula:</w:t>
      </w:r>
      <w:r w:rsidR="00535137" w:rsidRPr="006A45F5">
        <w:t xml:space="preserve"> </w:t>
      </w:r>
      <w:r w:rsidRPr="006A45F5">
        <w:rPr>
          <w:rStyle w:val="nfasis"/>
          <w:i w:val="0"/>
        </w:rPr>
        <w:t>Liquidez corriente = Activos corrientes / Pasivos corrientes</w:t>
      </w:r>
    </w:p>
    <w:p w:rsidR="006A45F5" w:rsidRPr="006A45F5" w:rsidRDefault="006A45F5" w:rsidP="006A45F5">
      <w:pPr>
        <w:pStyle w:val="NormalWeb"/>
        <w:jc w:val="both"/>
        <w:rPr>
          <w:rStyle w:val="nfasis"/>
          <w:i w:val="0"/>
          <w:iCs w:val="0"/>
        </w:rPr>
      </w:pPr>
      <w:r w:rsidRPr="006A45F5">
        <w:rPr>
          <w:rStyle w:val="nfasis"/>
          <w:i w:val="0"/>
          <w:iCs w:val="0"/>
        </w:rPr>
        <w:t>Ratio de Endeudamiento</w:t>
      </w:r>
    </w:p>
    <w:p w:rsidR="008968C9" w:rsidRPr="006A45F5" w:rsidRDefault="008968C9" w:rsidP="006A45F5">
      <w:pPr>
        <w:pStyle w:val="NormalWeb"/>
        <w:jc w:val="both"/>
      </w:pPr>
      <w:r w:rsidRPr="006A45F5">
        <w:t>Cuando queremos evaluar qué parte de los activos de la empresa está financiada con deuda, utilizamos el Ratio de endeudamiento.</w:t>
      </w:r>
    </w:p>
    <w:p w:rsidR="00535137" w:rsidRDefault="008968C9" w:rsidP="006A45F5">
      <w:pPr>
        <w:pStyle w:val="NormalWeb"/>
        <w:jc w:val="both"/>
        <w:rPr>
          <w:rStyle w:val="nfasis"/>
          <w:i w:val="0"/>
        </w:rPr>
      </w:pPr>
      <w:r w:rsidRPr="006A45F5">
        <w:rPr>
          <w:rStyle w:val="Textoennegrita"/>
          <w:b w:val="0"/>
        </w:rPr>
        <w:t>Fórmula:</w:t>
      </w:r>
      <w:r w:rsidR="00535137" w:rsidRPr="006A45F5">
        <w:t xml:space="preserve"> </w:t>
      </w:r>
      <w:r w:rsidRPr="006A45F5">
        <w:rPr>
          <w:rStyle w:val="nfasis"/>
          <w:i w:val="0"/>
        </w:rPr>
        <w:t>Endeudamiento = Pasivo total / Activo total</w:t>
      </w:r>
    </w:p>
    <w:p w:rsidR="006A45F5" w:rsidRPr="006A45F5" w:rsidRDefault="006A45F5" w:rsidP="006A45F5">
      <w:pPr>
        <w:pStyle w:val="NormalWeb"/>
        <w:jc w:val="both"/>
        <w:rPr>
          <w:rStyle w:val="nfasis"/>
          <w:i w:val="0"/>
        </w:rPr>
      </w:pPr>
      <w:r w:rsidRPr="006A45F5">
        <w:rPr>
          <w:rStyle w:val="nfasis"/>
          <w:i w:val="0"/>
        </w:rPr>
        <w:t>Ratio Deuda sobre Capital (Debt to Equity)</w:t>
      </w:r>
    </w:p>
    <w:p w:rsidR="008968C9" w:rsidRPr="006A45F5" w:rsidRDefault="008968C9" w:rsidP="006A45F5">
      <w:pPr>
        <w:pStyle w:val="NormalWeb"/>
        <w:jc w:val="both"/>
      </w:pPr>
      <w:r w:rsidRPr="006A45F5">
        <w:t>Una de las formas de evaluar la salud financiera de una empresa es mediante la proporción de deuda con relación al patrimonio neto.</w:t>
      </w:r>
    </w:p>
    <w:p w:rsidR="00535137" w:rsidRDefault="008968C9" w:rsidP="006A45F5">
      <w:pPr>
        <w:pStyle w:val="NormalWeb"/>
        <w:jc w:val="both"/>
        <w:rPr>
          <w:rStyle w:val="nfasis"/>
          <w:i w:val="0"/>
        </w:rPr>
      </w:pPr>
      <w:r w:rsidRPr="006A45F5">
        <w:rPr>
          <w:rStyle w:val="Textoennegrita"/>
          <w:b w:val="0"/>
        </w:rPr>
        <w:t>Fórmula:</w:t>
      </w:r>
      <w:r w:rsidR="00535137" w:rsidRPr="006A45F5">
        <w:t xml:space="preserve"> </w:t>
      </w:r>
      <w:r w:rsidRPr="006A45F5">
        <w:rPr>
          <w:rStyle w:val="nfasis"/>
          <w:i w:val="0"/>
        </w:rPr>
        <w:t>Deuda sobre Patrimonio = Deuda total / Patrimonio neto</w:t>
      </w:r>
    </w:p>
    <w:p w:rsidR="006A45F5" w:rsidRPr="006A45F5" w:rsidRDefault="006A45F5" w:rsidP="006A45F5">
      <w:pPr>
        <w:pStyle w:val="NormalWeb"/>
        <w:jc w:val="both"/>
        <w:rPr>
          <w:rStyle w:val="nfasis"/>
          <w:i w:val="0"/>
        </w:rPr>
      </w:pPr>
      <w:r w:rsidRPr="006A45F5">
        <w:rPr>
          <w:rStyle w:val="nfasis"/>
          <w:i w:val="0"/>
        </w:rPr>
        <w:t>Ratio de Rentabilidad sobre el Patrimonio (ROE)</w:t>
      </w:r>
    </w:p>
    <w:p w:rsidR="008968C9" w:rsidRPr="006A45F5" w:rsidRDefault="008968C9" w:rsidP="006A45F5">
      <w:pPr>
        <w:pStyle w:val="NormalWeb"/>
        <w:jc w:val="both"/>
      </w:pPr>
      <w:r w:rsidRPr="006A45F5">
        <w:t>Uno de los ratios que más interesa a los inversores, ya que nos habla de la rentabilidad generada para los accionistas.</w:t>
      </w:r>
    </w:p>
    <w:p w:rsidR="00535137" w:rsidRDefault="008968C9" w:rsidP="006A45F5">
      <w:pPr>
        <w:pStyle w:val="NormalWeb"/>
        <w:jc w:val="both"/>
        <w:rPr>
          <w:rStyle w:val="nfasis"/>
          <w:i w:val="0"/>
        </w:rPr>
      </w:pPr>
      <w:r w:rsidRPr="006A45F5">
        <w:rPr>
          <w:rStyle w:val="Textoennegrita"/>
          <w:b w:val="0"/>
        </w:rPr>
        <w:t>Fórmula:</w:t>
      </w:r>
      <w:r w:rsidR="00535137" w:rsidRPr="006A45F5">
        <w:t xml:space="preserve"> </w:t>
      </w:r>
      <w:r w:rsidRPr="006A45F5">
        <w:rPr>
          <w:rStyle w:val="nfasis"/>
          <w:i w:val="0"/>
        </w:rPr>
        <w:t>ROE = (Utilidad neta / Patrimonio neto) x 100</w:t>
      </w:r>
    </w:p>
    <w:p w:rsidR="006A45F5" w:rsidRPr="006A45F5" w:rsidRDefault="006A45F5" w:rsidP="006A45F5">
      <w:pPr>
        <w:pStyle w:val="NormalWeb"/>
        <w:jc w:val="both"/>
        <w:rPr>
          <w:rStyle w:val="nfasis"/>
          <w:i w:val="0"/>
        </w:rPr>
      </w:pPr>
      <w:r w:rsidRPr="006A45F5">
        <w:rPr>
          <w:rStyle w:val="nfasis"/>
          <w:i w:val="0"/>
        </w:rPr>
        <w:t>Ratio de Rentabilidad sobre los Activos (ROA)</w:t>
      </w:r>
    </w:p>
    <w:p w:rsidR="008968C9" w:rsidRPr="006A45F5" w:rsidRDefault="008968C9" w:rsidP="006A45F5">
      <w:pPr>
        <w:pStyle w:val="NormalWeb"/>
        <w:jc w:val="both"/>
      </w:pPr>
      <w:r w:rsidRPr="006A45F5">
        <w:t>La rentabilidad sobre los activos es un ratio sobre el cual los inversores posarán sus ojos ¿Cuál es la utilidad obtenida por cada unidad monetaria de los activo de la empresa?</w:t>
      </w:r>
    </w:p>
    <w:p w:rsidR="00535137" w:rsidRDefault="008968C9" w:rsidP="006A45F5">
      <w:pPr>
        <w:pStyle w:val="NormalWeb"/>
        <w:jc w:val="both"/>
        <w:rPr>
          <w:rStyle w:val="nfasis"/>
          <w:i w:val="0"/>
        </w:rPr>
      </w:pPr>
      <w:r w:rsidRPr="006A45F5">
        <w:rPr>
          <w:rStyle w:val="Textoennegrita"/>
          <w:b w:val="0"/>
        </w:rPr>
        <w:t>Fórmula:</w:t>
      </w:r>
      <w:r w:rsidR="00535137" w:rsidRPr="006A45F5">
        <w:t xml:space="preserve"> </w:t>
      </w:r>
      <w:r w:rsidRPr="006A45F5">
        <w:rPr>
          <w:rStyle w:val="nfasis"/>
          <w:i w:val="0"/>
        </w:rPr>
        <w:t>ROA = (Utilidad neta / Total de activos) x 100</w:t>
      </w:r>
    </w:p>
    <w:p w:rsidR="006A45F5" w:rsidRPr="006A45F5" w:rsidRDefault="006A45F5" w:rsidP="006A45F5">
      <w:pPr>
        <w:pStyle w:val="NormalWeb"/>
        <w:jc w:val="both"/>
        <w:rPr>
          <w:rStyle w:val="nfasis"/>
          <w:i w:val="0"/>
        </w:rPr>
      </w:pPr>
      <w:r w:rsidRPr="006A45F5">
        <w:rPr>
          <w:rStyle w:val="nfasis"/>
          <w:i w:val="0"/>
        </w:rPr>
        <w:t>Ratio Precio/Utilidad (P/E o PER)</w:t>
      </w:r>
    </w:p>
    <w:p w:rsidR="008968C9" w:rsidRPr="006A45F5" w:rsidRDefault="008968C9" w:rsidP="006A45F5">
      <w:pPr>
        <w:pStyle w:val="NormalWeb"/>
        <w:jc w:val="both"/>
      </w:pPr>
      <w:r w:rsidRPr="006A45F5">
        <w:t>Un ratio que expresa el comportamiento de las acciones de la empresa. Compara el precio en el mercado con relación a la Ganancia por Acción (EPS).</w:t>
      </w:r>
    </w:p>
    <w:p w:rsidR="00535137" w:rsidRDefault="008968C9" w:rsidP="006A45F5">
      <w:pPr>
        <w:pStyle w:val="NormalWeb"/>
        <w:jc w:val="both"/>
        <w:rPr>
          <w:rStyle w:val="nfasis"/>
          <w:i w:val="0"/>
        </w:rPr>
      </w:pPr>
      <w:r w:rsidRPr="006A45F5">
        <w:rPr>
          <w:rStyle w:val="Textoennegrita"/>
          <w:b w:val="0"/>
        </w:rPr>
        <w:t>Fórmula</w:t>
      </w:r>
      <w:r w:rsidRPr="006A45F5">
        <w:rPr>
          <w:rStyle w:val="Textoennegrita"/>
          <w:b w:val="0"/>
          <w:i/>
        </w:rPr>
        <w:t>:</w:t>
      </w:r>
      <w:r w:rsidR="00535137" w:rsidRPr="006A45F5">
        <w:rPr>
          <w:i/>
        </w:rPr>
        <w:t xml:space="preserve"> </w:t>
      </w:r>
      <w:r w:rsidRPr="006A45F5">
        <w:rPr>
          <w:rStyle w:val="nfasis"/>
          <w:i w:val="0"/>
        </w:rPr>
        <w:t>P/E = Precio de la acción / Ganancia por acción (EPS)</w:t>
      </w:r>
    </w:p>
    <w:p w:rsidR="006A45F5" w:rsidRPr="006A45F5" w:rsidRDefault="006A45F5" w:rsidP="006A45F5">
      <w:pPr>
        <w:pStyle w:val="NormalWeb"/>
        <w:jc w:val="both"/>
        <w:rPr>
          <w:rStyle w:val="nfasis"/>
          <w:i w:val="0"/>
        </w:rPr>
      </w:pPr>
      <w:r w:rsidRPr="006A45F5">
        <w:rPr>
          <w:rStyle w:val="nfasis"/>
          <w:i w:val="0"/>
        </w:rPr>
        <w:lastRenderedPageBreak/>
        <w:t>Ratio de Valor Libro por Acción (P/B)</w:t>
      </w:r>
    </w:p>
    <w:p w:rsidR="008968C9" w:rsidRPr="006A45F5" w:rsidRDefault="008968C9" w:rsidP="006A45F5">
      <w:pPr>
        <w:pStyle w:val="NormalWeb"/>
        <w:jc w:val="both"/>
      </w:pPr>
      <w:r w:rsidRPr="006A45F5">
        <w:t>Un ratio clave es el que establece la relación entre el precio de mercado de la acción de una empresa y su valor en los libros contables.</w:t>
      </w:r>
    </w:p>
    <w:p w:rsidR="00535137" w:rsidRDefault="008968C9" w:rsidP="006A45F5">
      <w:pPr>
        <w:pStyle w:val="NormalWeb"/>
        <w:jc w:val="both"/>
        <w:rPr>
          <w:rStyle w:val="nfasis"/>
          <w:i w:val="0"/>
        </w:rPr>
      </w:pPr>
      <w:r w:rsidRPr="006A45F5">
        <w:rPr>
          <w:rStyle w:val="Textoennegrita"/>
          <w:b w:val="0"/>
        </w:rPr>
        <w:t>Fórmula:</w:t>
      </w:r>
      <w:r w:rsidR="00535137" w:rsidRPr="006A45F5">
        <w:t xml:space="preserve"> </w:t>
      </w:r>
      <w:r w:rsidRPr="006A45F5">
        <w:rPr>
          <w:rStyle w:val="nfasis"/>
          <w:i w:val="0"/>
        </w:rPr>
        <w:t>P/B = Precio de la acción / Valor contable de la acción</w:t>
      </w:r>
    </w:p>
    <w:p w:rsidR="006A45F5" w:rsidRPr="006A45F5" w:rsidRDefault="006A45F5" w:rsidP="006A45F5">
      <w:pPr>
        <w:pStyle w:val="NormalWeb"/>
        <w:jc w:val="both"/>
        <w:rPr>
          <w:rStyle w:val="nfasis"/>
          <w:i w:val="0"/>
        </w:rPr>
      </w:pPr>
      <w:r w:rsidRPr="006A45F5">
        <w:rPr>
          <w:rStyle w:val="nfasis"/>
          <w:i w:val="0"/>
        </w:rPr>
        <w:t>Ratio de Cobertura de Intereses</w:t>
      </w:r>
    </w:p>
    <w:p w:rsidR="008968C9" w:rsidRPr="006A45F5" w:rsidRDefault="008968C9" w:rsidP="006A45F5">
      <w:pPr>
        <w:pStyle w:val="NormalWeb"/>
        <w:jc w:val="both"/>
      </w:pPr>
      <w:r w:rsidRPr="006A45F5">
        <w:t>¿Cómo logra cubrir una empresa sus gastos por intereses? Este ratio establece la relación entre la Ganancia antes de intereses e impuestos (EBIT) y los gastos por intereses.</w:t>
      </w:r>
    </w:p>
    <w:p w:rsidR="00535137" w:rsidRDefault="008968C9" w:rsidP="006A45F5">
      <w:pPr>
        <w:pStyle w:val="NormalWeb"/>
        <w:jc w:val="both"/>
        <w:rPr>
          <w:rStyle w:val="nfasis"/>
          <w:i w:val="0"/>
        </w:rPr>
      </w:pPr>
      <w:r w:rsidRPr="006A45F5">
        <w:rPr>
          <w:rStyle w:val="Textoennegrita"/>
          <w:b w:val="0"/>
        </w:rPr>
        <w:t>Fórmula:</w:t>
      </w:r>
      <w:r w:rsidR="00535137" w:rsidRPr="006A45F5">
        <w:t xml:space="preserve"> </w:t>
      </w:r>
      <w:r w:rsidRPr="006A45F5">
        <w:rPr>
          <w:rStyle w:val="nfasis"/>
          <w:i w:val="0"/>
        </w:rPr>
        <w:t>Cobertura de Intereses = EBIT / Gastos por Intereses</w:t>
      </w:r>
    </w:p>
    <w:p w:rsidR="006A45F5" w:rsidRPr="006A45F5" w:rsidRDefault="006A45F5" w:rsidP="006A45F5">
      <w:pPr>
        <w:pStyle w:val="NormalWeb"/>
        <w:jc w:val="both"/>
        <w:rPr>
          <w:rStyle w:val="nfasis"/>
          <w:i w:val="0"/>
        </w:rPr>
      </w:pPr>
      <w:r w:rsidRPr="006A45F5">
        <w:rPr>
          <w:rStyle w:val="nfasis"/>
          <w:i w:val="0"/>
        </w:rPr>
        <w:t>Margen Neto</w:t>
      </w:r>
    </w:p>
    <w:p w:rsidR="008968C9" w:rsidRPr="006A45F5" w:rsidRDefault="008968C9" w:rsidP="006A45F5">
      <w:pPr>
        <w:pStyle w:val="NormalWeb"/>
        <w:jc w:val="both"/>
      </w:pPr>
      <w:r w:rsidRPr="006A45F5">
        <w:t>Cuando hablamos de la salud financiera de una empresa, nos interesa saber qué porcentaje de los ingresos que se obtienen se transforman en ganancias. Así es que los analistas de los fundamentos aplican esta fórmula:</w:t>
      </w:r>
    </w:p>
    <w:p w:rsidR="00535137" w:rsidRDefault="008968C9" w:rsidP="006A45F5">
      <w:pPr>
        <w:pStyle w:val="NormalWeb"/>
        <w:jc w:val="both"/>
        <w:rPr>
          <w:rStyle w:val="nfasis"/>
          <w:i w:val="0"/>
        </w:rPr>
      </w:pPr>
      <w:r w:rsidRPr="006A45F5">
        <w:rPr>
          <w:rStyle w:val="Textoennegrita"/>
          <w:b w:val="0"/>
        </w:rPr>
        <w:t>Fórmula:</w:t>
      </w:r>
      <w:r w:rsidR="00535137" w:rsidRPr="006A45F5">
        <w:t xml:space="preserve"> </w:t>
      </w:r>
      <w:r w:rsidRPr="006A45F5">
        <w:rPr>
          <w:rStyle w:val="nfasis"/>
          <w:i w:val="0"/>
        </w:rPr>
        <w:t>Margen Neto = (Utilidad Neta / Ventas Netas) x 100</w:t>
      </w:r>
    </w:p>
    <w:p w:rsidR="006A45F5" w:rsidRPr="006A45F5" w:rsidRDefault="006A45F5" w:rsidP="006A45F5">
      <w:pPr>
        <w:pStyle w:val="NormalWeb"/>
        <w:jc w:val="both"/>
        <w:rPr>
          <w:rStyle w:val="nfasis"/>
          <w:i w:val="0"/>
        </w:rPr>
      </w:pPr>
      <w:r w:rsidRPr="006A45F5">
        <w:rPr>
          <w:rStyle w:val="nfasis"/>
          <w:i w:val="0"/>
        </w:rPr>
        <w:t>Flujo de Caja Libre (Free Cash Flow)</w:t>
      </w:r>
    </w:p>
    <w:p w:rsidR="008968C9" w:rsidRPr="006A45F5" w:rsidRDefault="008968C9" w:rsidP="006A45F5">
      <w:pPr>
        <w:pStyle w:val="NormalWeb"/>
        <w:jc w:val="both"/>
      </w:pPr>
      <w:r w:rsidRPr="006A45F5">
        <w:t>Se trata de uno de los ratios que goza de la mayor consideración por parte de los analistas. Representa el dinero real que una empresa genera después de cubrir todos sus gastos operativos y sus inversiones en activos fijos</w:t>
      </w:r>
    </w:p>
    <w:p w:rsidR="008968C9" w:rsidRPr="006A45F5" w:rsidRDefault="008968C9" w:rsidP="006A45F5">
      <w:pPr>
        <w:pStyle w:val="NormalWeb"/>
        <w:jc w:val="both"/>
      </w:pPr>
      <w:r w:rsidRPr="006A45F5">
        <w:rPr>
          <w:rStyle w:val="Textoennegrita"/>
          <w:b w:val="0"/>
        </w:rPr>
        <w:t>Fórmula:</w:t>
      </w:r>
      <w:r w:rsidR="00535137" w:rsidRPr="006A45F5">
        <w:t xml:space="preserve"> </w:t>
      </w:r>
      <w:r w:rsidRPr="006A45F5">
        <w:rPr>
          <w:rStyle w:val="nfasis"/>
          <w:i w:val="0"/>
        </w:rPr>
        <w:t xml:space="preserve">FCF </w:t>
      </w:r>
      <w:r w:rsidR="00535137" w:rsidRPr="006A45F5">
        <w:rPr>
          <w:rStyle w:val="nfasis"/>
          <w:i w:val="0"/>
        </w:rPr>
        <w:t>= Flujo de Caja Operativo -</w:t>
      </w:r>
      <w:r w:rsidRPr="006A45F5">
        <w:rPr>
          <w:rStyle w:val="nfasis"/>
          <w:i w:val="0"/>
        </w:rPr>
        <w:t xml:space="preserve"> Gastos de Capital</w:t>
      </w:r>
    </w:p>
    <w:p w:rsidR="008968C9" w:rsidRPr="006A45F5" w:rsidRDefault="008968C9" w:rsidP="006A45F5">
      <w:pPr>
        <w:pStyle w:val="NormalWeb"/>
        <w:jc w:val="both"/>
      </w:pPr>
      <w:r w:rsidRPr="006A45F5">
        <w:t>Cuando el </w:t>
      </w:r>
      <w:r w:rsidRPr="006A45F5">
        <w:rPr>
          <w:rStyle w:val="Textoennegrita"/>
          <w:b w:val="0"/>
        </w:rPr>
        <w:t>análisis fundamental</w:t>
      </w:r>
      <w:r w:rsidRPr="006A45F5">
        <w:t> se enfoca en la información cualitativa de una empresa, lo que busca es conocer todo aquello que está por encima de los ratios y ofrece ventajas o desventajas competitivas.</w:t>
      </w:r>
    </w:p>
    <w:p w:rsidR="008968C9" w:rsidRPr="006A45F5" w:rsidRDefault="008968C9" w:rsidP="006A45F5">
      <w:pPr>
        <w:numPr>
          <w:ilvl w:val="0"/>
          <w:numId w:val="15"/>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Modelo de negocio: ¿es claro, rentable y escalable?</w:t>
      </w:r>
    </w:p>
    <w:p w:rsidR="008968C9" w:rsidRPr="006A45F5" w:rsidRDefault="008968C9" w:rsidP="006A45F5">
      <w:pPr>
        <w:numPr>
          <w:ilvl w:val="0"/>
          <w:numId w:val="15"/>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Ventaja competitiva (moat): ¿posee barreras de entrada sostenibles?</w:t>
      </w:r>
    </w:p>
    <w:p w:rsidR="008968C9" w:rsidRPr="006A45F5" w:rsidRDefault="008968C9" w:rsidP="006A45F5">
      <w:pPr>
        <w:numPr>
          <w:ilvl w:val="0"/>
          <w:numId w:val="15"/>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Calidad del equipo directivo: experiencia, ética y gestión del capital.</w:t>
      </w:r>
    </w:p>
    <w:p w:rsidR="008968C9" w:rsidRPr="006A45F5" w:rsidRDefault="008968C9" w:rsidP="006A45F5">
      <w:pPr>
        <w:numPr>
          <w:ilvl w:val="0"/>
          <w:numId w:val="15"/>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Gobierno corporativo: transparencia, estructura del consejo y políticas ESG.</w:t>
      </w:r>
    </w:p>
    <w:p w:rsidR="008968C9" w:rsidRPr="006A45F5" w:rsidRDefault="008968C9" w:rsidP="006A45F5">
      <w:pPr>
        <w:numPr>
          <w:ilvl w:val="0"/>
          <w:numId w:val="15"/>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Tendencias del sector: demanda futura, regulación, competencia.</w:t>
      </w:r>
    </w:p>
    <w:p w:rsidR="008968C9" w:rsidRPr="006A45F5" w:rsidRDefault="008968C9" w:rsidP="006A45F5">
      <w:pPr>
        <w:pStyle w:val="Ttulo2"/>
        <w:spacing w:before="0" w:after="234" w:line="240" w:lineRule="auto"/>
        <w:jc w:val="both"/>
        <w:rPr>
          <w:rFonts w:ascii="Times New Roman" w:hAnsi="Times New Roman" w:cs="Times New Roman"/>
          <w:b w:val="0"/>
          <w:color w:val="000000"/>
          <w:sz w:val="24"/>
          <w:szCs w:val="24"/>
        </w:rPr>
      </w:pPr>
      <w:r w:rsidRPr="006A45F5">
        <w:rPr>
          <w:rFonts w:ascii="Times New Roman" w:hAnsi="Times New Roman" w:cs="Times New Roman"/>
          <w:b w:val="0"/>
          <w:color w:val="000000"/>
          <w:sz w:val="24"/>
          <w:szCs w:val="24"/>
        </w:rPr>
        <w:t>Ventajas y limitaciones del análisis fundamental</w:t>
      </w:r>
    </w:p>
    <w:p w:rsidR="008968C9" w:rsidRPr="006A45F5" w:rsidRDefault="008968C9" w:rsidP="006A45F5">
      <w:pPr>
        <w:pStyle w:val="NormalWeb"/>
        <w:jc w:val="both"/>
      </w:pPr>
      <w:r w:rsidRPr="006A45F5">
        <w:rPr>
          <w:rStyle w:val="Textoennegrita"/>
          <w:b w:val="0"/>
          <w:iCs/>
        </w:rPr>
        <w:t>Ventajas</w:t>
      </w:r>
    </w:p>
    <w:p w:rsidR="008968C9" w:rsidRPr="006A45F5" w:rsidRDefault="008968C9" w:rsidP="006A45F5">
      <w:pPr>
        <w:numPr>
          <w:ilvl w:val="0"/>
          <w:numId w:val="16"/>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Permite identificar valor real.</w:t>
      </w:r>
    </w:p>
    <w:p w:rsidR="008968C9" w:rsidRPr="006A45F5" w:rsidRDefault="008968C9" w:rsidP="006A45F5">
      <w:pPr>
        <w:numPr>
          <w:ilvl w:val="0"/>
          <w:numId w:val="16"/>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Orienta decisiones a largo plazo.</w:t>
      </w:r>
    </w:p>
    <w:p w:rsidR="008968C9" w:rsidRPr="006A45F5" w:rsidRDefault="008968C9" w:rsidP="006A45F5">
      <w:pPr>
        <w:numPr>
          <w:ilvl w:val="0"/>
          <w:numId w:val="16"/>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Ayuda a evitar inversiones sobrevaloradas.</w:t>
      </w:r>
    </w:p>
    <w:p w:rsidR="00535137" w:rsidRPr="000B181A" w:rsidRDefault="008968C9" w:rsidP="000B181A">
      <w:pPr>
        <w:numPr>
          <w:ilvl w:val="0"/>
          <w:numId w:val="16"/>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Aporta disciplina y método al análisis.</w:t>
      </w:r>
    </w:p>
    <w:p w:rsidR="008968C9" w:rsidRPr="006A45F5" w:rsidRDefault="008968C9" w:rsidP="006A45F5">
      <w:pPr>
        <w:pStyle w:val="NormalWeb"/>
        <w:jc w:val="both"/>
      </w:pPr>
      <w:r w:rsidRPr="006A45F5">
        <w:rPr>
          <w:rStyle w:val="Textoennegrita"/>
          <w:b w:val="0"/>
          <w:iCs/>
        </w:rPr>
        <w:t>Limitaciones</w:t>
      </w:r>
    </w:p>
    <w:p w:rsidR="008968C9" w:rsidRPr="006A45F5" w:rsidRDefault="008968C9" w:rsidP="006A45F5">
      <w:pPr>
        <w:numPr>
          <w:ilvl w:val="0"/>
          <w:numId w:val="17"/>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lastRenderedPageBreak/>
        <w:t>Requiere tiempo y conocimientos contables.</w:t>
      </w:r>
    </w:p>
    <w:p w:rsidR="008968C9" w:rsidRPr="006A45F5" w:rsidRDefault="008968C9" w:rsidP="006A45F5">
      <w:pPr>
        <w:numPr>
          <w:ilvl w:val="0"/>
          <w:numId w:val="17"/>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Se basa en datos históricos.</w:t>
      </w:r>
    </w:p>
    <w:p w:rsidR="008968C9" w:rsidRPr="006A45F5" w:rsidRDefault="008968C9" w:rsidP="006A45F5">
      <w:pPr>
        <w:numPr>
          <w:ilvl w:val="0"/>
          <w:numId w:val="17"/>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Difícil de aplicar a empresas sin historial (startups).</w:t>
      </w:r>
    </w:p>
    <w:p w:rsidR="008968C9" w:rsidRPr="006A45F5" w:rsidRDefault="008968C9" w:rsidP="006A45F5">
      <w:pPr>
        <w:numPr>
          <w:ilvl w:val="0"/>
          <w:numId w:val="17"/>
        </w:numPr>
        <w:spacing w:before="100" w:beforeAutospacing="1" w:after="100" w:afterAutospacing="1" w:line="240" w:lineRule="auto"/>
        <w:jc w:val="both"/>
        <w:rPr>
          <w:rFonts w:ascii="Times New Roman" w:hAnsi="Times New Roman" w:cs="Times New Roman"/>
          <w:sz w:val="24"/>
          <w:szCs w:val="24"/>
        </w:rPr>
      </w:pPr>
      <w:r w:rsidRPr="006A45F5">
        <w:rPr>
          <w:rFonts w:ascii="Times New Roman" w:hAnsi="Times New Roman" w:cs="Times New Roman"/>
          <w:sz w:val="24"/>
          <w:szCs w:val="24"/>
        </w:rPr>
        <w:t>Puede pasar por alto señales técnicas a corto plazo.</w:t>
      </w:r>
    </w:p>
    <w:p w:rsidR="008968C9" w:rsidRDefault="008968C9" w:rsidP="006A45F5">
      <w:pPr>
        <w:pStyle w:val="NormalWeb"/>
        <w:jc w:val="both"/>
      </w:pPr>
      <w:r w:rsidRPr="006A45F5">
        <w:t>El </w:t>
      </w:r>
      <w:r w:rsidRPr="006A45F5">
        <w:rPr>
          <w:rStyle w:val="Textoennegrita"/>
          <w:b w:val="0"/>
        </w:rPr>
        <w:t>análisis fundamental</w:t>
      </w:r>
      <w:r w:rsidRPr="006A45F5">
        <w:t> es una herramienta que no puede</w:t>
      </w:r>
      <w:r w:rsidR="006A45F5" w:rsidRPr="006A45F5">
        <w:t xml:space="preserve"> faltar</w:t>
      </w:r>
      <w:r w:rsidRPr="006A45F5">
        <w:t xml:space="preserve"> si</w:t>
      </w:r>
      <w:r w:rsidR="006A45F5" w:rsidRPr="006A45F5">
        <w:t xml:space="preserve"> se desea</w:t>
      </w:r>
      <w:r w:rsidRPr="006A45F5">
        <w:t> </w:t>
      </w:r>
      <w:r w:rsidRPr="006A45F5">
        <w:rPr>
          <w:rStyle w:val="nfasis"/>
          <w:i w:val="0"/>
        </w:rPr>
        <w:t>tomar decisiones sólidas y racionales</w:t>
      </w:r>
      <w:r w:rsidRPr="006A45F5">
        <w:t>. Al evaluar tanto los números como los aspectos cualitativos de una empresa, se obtiene una visión integral de su verdadero potencial. Con práct</w:t>
      </w:r>
      <w:r w:rsidR="006A45F5" w:rsidRPr="006A45F5">
        <w:t>ica y criterio, este enfoque permite</w:t>
      </w:r>
      <w:r w:rsidRPr="006A45F5">
        <w:t xml:space="preserve"> evitar trampas de mercado, descubrir oportunidades ocultas y construir una cartera alineada con sus objetivos financieros.</w:t>
      </w:r>
    </w:p>
    <w:p w:rsidR="006A45F5" w:rsidRDefault="006A45F5" w:rsidP="006A45F5">
      <w:pPr>
        <w:pStyle w:val="NormalWeb"/>
        <w:jc w:val="both"/>
      </w:pPr>
      <w:r w:rsidRPr="00840DC0">
        <w:t xml:space="preserve">(Antecedentes: </w:t>
      </w:r>
      <w:hyperlink r:id="rId95" w:history="1">
        <w:r w:rsidR="00840DC0" w:rsidRPr="00840DC0">
          <w:rPr>
            <w:rStyle w:val="Hipervnculo"/>
            <w:color w:val="auto"/>
            <w:u w:val="none"/>
          </w:rPr>
          <w:t>https://clubdecapitales.com/</w:t>
        </w:r>
      </w:hyperlink>
      <w:r w:rsidR="00840DC0" w:rsidRPr="00840DC0">
        <w:t>)</w:t>
      </w:r>
    </w:p>
    <w:p w:rsidR="00FC16C1" w:rsidRPr="000B181A" w:rsidRDefault="0073247E" w:rsidP="00FC16C1">
      <w:pPr>
        <w:pStyle w:val="NormalWeb"/>
        <w:jc w:val="both"/>
        <w:rPr>
          <w:b/>
        </w:rPr>
      </w:pPr>
      <w:r w:rsidRPr="000B181A">
        <w:rPr>
          <w:b/>
        </w:rPr>
        <w:t>En busca del inversor inteligente</w:t>
      </w:r>
      <w:r w:rsidR="00E76712">
        <w:rPr>
          <w:b/>
        </w:rPr>
        <w:t xml:space="preserve">: El “Value Investing”, una opción a tener en cuenta </w:t>
      </w:r>
    </w:p>
    <w:p w:rsidR="00FC16C1" w:rsidRDefault="00FC16C1" w:rsidP="00FC16C1">
      <w:pPr>
        <w:pStyle w:val="NormalWeb"/>
        <w:jc w:val="both"/>
      </w:pPr>
      <w:r>
        <w:t>El Value Investing se basa en un principio simple pero poderoso: comprar activos a un precio inferior a su valor real, esperando que, con el tiempo, el mercado ajuste esta discrepancia. Los inversores que siguen esta filosofía analizan exhaustivamente el estado financiero de las empresas, sus ventajas competitivas, perspectivas de crecimiento y otros factores fundamentales. La idea es encontrar “diamantes en bruto” en sectores o mercados que, por factores temporales, están siendo subestimados.</w:t>
      </w:r>
    </w:p>
    <w:p w:rsidR="0073247E" w:rsidRDefault="0073247E" w:rsidP="0073247E">
      <w:pPr>
        <w:pStyle w:val="NormalWeb"/>
        <w:jc w:val="both"/>
      </w:pPr>
      <w:r>
        <w:t>Esta filosofía fue desarrollada por Benjamin Graham en los años 20 del siglo pasado, y enseñada durante gran parte de su vida en la Columbia Business School de Nueva York, centro en el que ejerció como profesor de finanzas. Aunque ha habido numerosos inversores que han ayudado a mantener la vigencia del value investing hasta nuestros días, la figura más destacada es, sin lugar a dudas, el inversor, empresario y filántropo, Warren Buffett; una de las mayores</w:t>
      </w:r>
      <w:r w:rsidR="00805885">
        <w:t xml:space="preserve"> </w:t>
      </w:r>
      <w:r>
        <w:t>fortuna</w:t>
      </w:r>
      <w:r w:rsidR="00805885">
        <w:t>s</w:t>
      </w:r>
      <w:r>
        <w:t xml:space="preserve"> del mundo</w:t>
      </w:r>
      <w:r w:rsidR="00805885">
        <w:t>,</w:t>
      </w:r>
      <w:r>
        <w:t xml:space="preserve"> según la publicación Forbes.</w:t>
      </w:r>
    </w:p>
    <w:p w:rsidR="0073247E" w:rsidRPr="00840DC0" w:rsidRDefault="0073247E" w:rsidP="0073247E">
      <w:pPr>
        <w:pStyle w:val="NormalWeb"/>
        <w:jc w:val="both"/>
      </w:pPr>
      <w:r>
        <w:t>En 1934, Graham publicó el libro “Security Analysis”, en el que, junto a David Dodd, desgranó un enfoque pionero para el análisis de valores. Un valor, o título valor, (en inglés security) es un instrumento financiero intercambiable por dinero u otros instrumentos financieros de similares características, y que permite a su emisor, empresas y gobiernos, captar capital. Pueden ser valores representativos de la participación en los fondos propios de una empresa (acciones), o representativos de deuda (bonos, letras, obligaciones, pagarés, etc.).</w:t>
      </w:r>
    </w:p>
    <w:p w:rsidR="00FC16C1" w:rsidRPr="0073247E" w:rsidRDefault="00FC16C1" w:rsidP="00FC16C1">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Características principales de la inversión en valor:</w:t>
      </w:r>
    </w:p>
    <w:p w:rsidR="00FC16C1" w:rsidRPr="0073247E" w:rsidRDefault="00FC16C1" w:rsidP="00FC16C1">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 xml:space="preserve">Saber el valor de las cosas: Como normal general, el valor de un activo depende, fundamentalmente, de los flujos de caja que es capaz de generar a lo largo del tiempo. Por ello, una de las técnicas de valoración más usadas en este sector es el “Descuento de flujos de caja”. Con ella, el valor de un activo se calcula descontando a valor presente los flujos de caja libres que generará en el futuro. La razón de traer a valor presente los flujos de caja futuros es que, financieramente hablando, no se pueden comparar dos flujos obtenidos en dos momentos del tiempo distintos. No valoramos igual recibir 1.000 euros hoy que recibirlos dentro de 5 años. Necesariamente, esos 1.000 euros futuros deben tener un valor presente menor, de ahí haya que aplicarles un factor de descuento antes de sumarlos a los 1.000 euros obtenidos hoy, y así con el resto de flujos. La dificultad radica en encontrar la tasa de descuento apropiada para cada tipo de activo y ser capaces de predecir con cierta precisión los flujos de caja que será capaz de producir, así como asignarle un valor terminal cuando proceda. Por esta razón, </w:t>
      </w:r>
      <w:r w:rsidRPr="0073247E">
        <w:rPr>
          <w:rFonts w:ascii="Times New Roman" w:hAnsi="Times New Roman" w:cs="Times New Roman"/>
          <w:sz w:val="24"/>
          <w:szCs w:val="24"/>
        </w:rPr>
        <w:lastRenderedPageBreak/>
        <w:t>los gestores y analistas pueden utilizar otras técnicas de valoración en función de las características del negocio a valorar.</w:t>
      </w:r>
    </w:p>
    <w:p w:rsidR="00FC16C1" w:rsidRPr="0073247E" w:rsidRDefault="00FC16C1" w:rsidP="00FC16C1">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Enfocarse en el largo plazo: El Value Investing promueve la paciencia y la disciplina. Aunque los precios pueden fluctuar de manera importante en el corto plazo, a largo plazo el precio de la acción tiende a converger con el valor intrínseco de la compañía.</w:t>
      </w:r>
    </w:p>
    <w:p w:rsidR="00FC16C1" w:rsidRPr="0073247E" w:rsidRDefault="00FC16C1" w:rsidP="00FC16C1">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Aislarse del ruido del mercado: Al centrarse en el análisis fundamental de las empresas y no en la especulación a corto plazo, esta estrategia evita decisiones basadas en emociones pasajeras.</w:t>
      </w:r>
    </w:p>
    <w:p w:rsidR="00FC16C1" w:rsidRPr="0073247E" w:rsidRDefault="00FC16C1" w:rsidP="00FC16C1">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Potencial de crecimiento sostenido: Las empresas infravaloradas cuyas bases sean sólidas y puedan seguir creciendo, tienen el potencial de ofrecer un retorno significativo cuando se produzca el destape del valor.</w:t>
      </w:r>
    </w:p>
    <w:p w:rsidR="00FC16C1" w:rsidRPr="0073247E" w:rsidRDefault="00FC16C1" w:rsidP="00FC16C1">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¿Por qué es necesario esperar al menos 5 años para ver resultados?</w:t>
      </w:r>
    </w:p>
    <w:p w:rsidR="00FC16C1" w:rsidRPr="0073247E" w:rsidRDefault="00FC16C1" w:rsidP="0073247E">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 xml:space="preserve">El Value Investing requiere de un compromiso a largo plazo, y según las estadísticas disponibles sobre la rentabilidad de la renta variable en sus más de 200 años de historia, 5 años sería un periodo razonable para minimizar las opciones de pérdida derivadas de las fluctuaciones del corto plazo, y poder obtener una rentabilidad relevante en comparación con otros activos. </w:t>
      </w:r>
    </w:p>
    <w:p w:rsidR="00FC16C1" w:rsidRPr="0073247E" w:rsidRDefault="00FC16C1" w:rsidP="00FC16C1">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La necesidad de esperar varios años para ver result</w:t>
      </w:r>
      <w:r w:rsidR="0073247E" w:rsidRPr="0073247E">
        <w:rPr>
          <w:rFonts w:ascii="Times New Roman" w:hAnsi="Times New Roman" w:cs="Times New Roman"/>
          <w:sz w:val="24"/>
          <w:szCs w:val="24"/>
        </w:rPr>
        <w:t>ados se debe a varios factores:</w:t>
      </w:r>
    </w:p>
    <w:p w:rsidR="00FC16C1" w:rsidRPr="0073247E" w:rsidRDefault="00FC16C1" w:rsidP="00FC16C1">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Testarudez del mercado: Puede llevar tiempo para que el mercado reconozca el verdadero valor de una empresa infravalorada. Las fuerzas del mercado y la percepción de los inversores no cambian de un día para otro.</w:t>
      </w:r>
    </w:p>
    <w:p w:rsidR="00FC16C1" w:rsidRPr="0073247E" w:rsidRDefault="00FC16C1" w:rsidP="00FC16C1">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Maduración de las inversiones: Muchas empresas que están infravaloradas pueden necesitar ejecutar planes de negocio, desarrollar nuevos productos o superar desafíos económicos antes de alcanzar su verdadero potencial.</w:t>
      </w:r>
    </w:p>
    <w:p w:rsidR="00FC16C1" w:rsidRPr="0073247E" w:rsidRDefault="00FC16C1" w:rsidP="00FC16C1">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Funcionamiento del interés compuesto: El efecto de la capitalización compuesta permite que los rendimientos acumulados en una inversión crezcan de forma exponencial, pero esto solo es observable en periodos de tiempo largos. Warren Buffett lleva décadas invertido en algunas empresas, posponiendo el pago de impuestos por las ganancias de capital obtenidas hasta la fecha, lo que le permite a su vez generar rendimientos cada vez mayores en esas inversiones.</w:t>
      </w:r>
    </w:p>
    <w:p w:rsidR="00FC16C1" w:rsidRPr="0073247E" w:rsidRDefault="00FC16C1" w:rsidP="00FC16C1">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Como suele decir Buffett: “La regla Nº1 es no perder dinero. La regla Nº2 es, nunca olvides la regla Nº1”. Esta búsqueda va de la mano con el análisis profundo de compañías que cumplan con lo</w:t>
      </w:r>
      <w:r w:rsidR="0073247E" w:rsidRPr="0073247E">
        <w:rPr>
          <w:rFonts w:ascii="Times New Roman" w:hAnsi="Times New Roman" w:cs="Times New Roman"/>
          <w:sz w:val="24"/>
          <w:szCs w:val="24"/>
        </w:rPr>
        <w:t>s criterios del Value Investing.</w:t>
      </w:r>
    </w:p>
    <w:p w:rsidR="0073247E" w:rsidRPr="0073247E" w:rsidRDefault="0073247E" w:rsidP="0073247E">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El Value Investing no solo es una estrategia, es una mentalidad que requiere disciplina, análisis y una visión clara del largo plazo. Si bien puede parecer desafiante, los beneficios pueden ser sustanciales para quienes saben esperar. La paciencia y la inversión fundamentada son pilares clave para construir riqueza sostenible y consistente.</w:t>
      </w:r>
    </w:p>
    <w:p w:rsidR="00FC16C1" w:rsidRPr="0073247E" w:rsidRDefault="0073247E" w:rsidP="00FC16C1">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L</w:t>
      </w:r>
      <w:r w:rsidR="00FC16C1" w:rsidRPr="0073247E">
        <w:rPr>
          <w:rFonts w:ascii="Times New Roman" w:hAnsi="Times New Roman" w:cs="Times New Roman"/>
          <w:sz w:val="24"/>
          <w:szCs w:val="24"/>
        </w:rPr>
        <w:t>a clave radica en la paciencia y en comprender que se trata de una carrera de fondo. Un horizonte temporal de al menos 5 años permite mitigar el impacto de la volatilidad y maximizar el poten</w:t>
      </w:r>
      <w:r w:rsidRPr="0073247E">
        <w:rPr>
          <w:rFonts w:ascii="Times New Roman" w:hAnsi="Times New Roman" w:cs="Times New Roman"/>
          <w:sz w:val="24"/>
          <w:szCs w:val="24"/>
        </w:rPr>
        <w:t xml:space="preserve">cial de las inversiones. </w:t>
      </w:r>
    </w:p>
    <w:p w:rsidR="00E0676E" w:rsidRPr="000B181A" w:rsidRDefault="0073247E" w:rsidP="00E24FA0">
      <w:pPr>
        <w:spacing w:before="120" w:after="120" w:line="240" w:lineRule="auto"/>
        <w:jc w:val="both"/>
        <w:rPr>
          <w:rFonts w:ascii="Times New Roman" w:hAnsi="Times New Roman" w:cs="Times New Roman"/>
          <w:sz w:val="24"/>
          <w:szCs w:val="24"/>
        </w:rPr>
      </w:pPr>
      <w:r w:rsidRPr="0073247E">
        <w:rPr>
          <w:rFonts w:ascii="Times New Roman" w:hAnsi="Times New Roman" w:cs="Times New Roman"/>
          <w:sz w:val="24"/>
          <w:szCs w:val="24"/>
        </w:rPr>
        <w:t>(Antecedentes: https://horosam.com/)</w:t>
      </w:r>
    </w:p>
    <w:p w:rsidR="00C44FB8" w:rsidRDefault="00C44FB8" w:rsidP="00805885">
      <w:pPr>
        <w:spacing w:before="120" w:after="120" w:line="240" w:lineRule="auto"/>
        <w:jc w:val="both"/>
        <w:rPr>
          <w:rFonts w:ascii="Times New Roman" w:hAnsi="Times New Roman" w:cs="Times New Roman"/>
          <w:b/>
          <w:sz w:val="24"/>
          <w:szCs w:val="24"/>
        </w:rPr>
      </w:pPr>
    </w:p>
    <w:p w:rsidR="00C44FB8" w:rsidRDefault="00C44FB8" w:rsidP="00805885">
      <w:pPr>
        <w:spacing w:before="120" w:after="120" w:line="240" w:lineRule="auto"/>
        <w:jc w:val="both"/>
        <w:rPr>
          <w:rFonts w:ascii="Times New Roman" w:hAnsi="Times New Roman" w:cs="Times New Roman"/>
          <w:b/>
          <w:sz w:val="24"/>
          <w:szCs w:val="24"/>
        </w:rPr>
      </w:pPr>
    </w:p>
    <w:p w:rsidR="00805885" w:rsidRPr="000B181A" w:rsidRDefault="00602986" w:rsidP="00805885">
      <w:pPr>
        <w:spacing w:before="120" w:after="120" w:line="240" w:lineRule="auto"/>
        <w:jc w:val="both"/>
        <w:rPr>
          <w:rFonts w:ascii="Times New Roman" w:hAnsi="Times New Roman" w:cs="Times New Roman"/>
          <w:b/>
          <w:sz w:val="24"/>
          <w:szCs w:val="24"/>
        </w:rPr>
      </w:pPr>
      <w:r w:rsidRPr="000B181A">
        <w:rPr>
          <w:rFonts w:ascii="Times New Roman" w:hAnsi="Times New Roman" w:cs="Times New Roman"/>
          <w:b/>
          <w:sz w:val="24"/>
          <w:szCs w:val="24"/>
        </w:rPr>
        <w:lastRenderedPageBreak/>
        <w:t>La soledad del inversor de fondo</w:t>
      </w:r>
      <w:r w:rsidR="00805885" w:rsidRPr="000B181A">
        <w:rPr>
          <w:rFonts w:ascii="Times New Roman" w:hAnsi="Times New Roman" w:cs="Times New Roman"/>
          <w:b/>
          <w:sz w:val="24"/>
          <w:szCs w:val="24"/>
        </w:rPr>
        <w:t xml:space="preserve"> (y los falsarios patológicos)</w:t>
      </w:r>
    </w:p>
    <w:p w:rsidR="00805885" w:rsidRPr="0074324C" w:rsidRDefault="00805885" w:rsidP="00805885">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 xml:space="preserve">Un </w:t>
      </w:r>
      <w:r w:rsidR="0060322A" w:rsidRPr="0074324C">
        <w:rPr>
          <w:rFonts w:ascii="Times New Roman" w:hAnsi="Times New Roman" w:cs="Times New Roman"/>
          <w:b/>
          <w:sz w:val="24"/>
          <w:szCs w:val="24"/>
        </w:rPr>
        <w:t>“</w:t>
      </w:r>
      <w:r w:rsidRPr="0074324C">
        <w:rPr>
          <w:rFonts w:ascii="Times New Roman" w:hAnsi="Times New Roman" w:cs="Times New Roman"/>
          <w:b/>
          <w:sz w:val="24"/>
          <w:szCs w:val="24"/>
        </w:rPr>
        <w:t>creador de mercado</w:t>
      </w:r>
      <w:r w:rsidR="0060322A" w:rsidRPr="0074324C">
        <w:rPr>
          <w:rFonts w:ascii="Times New Roman" w:hAnsi="Times New Roman" w:cs="Times New Roman"/>
          <w:b/>
          <w:sz w:val="24"/>
          <w:szCs w:val="24"/>
        </w:rPr>
        <w:t>”</w:t>
      </w:r>
      <w:r w:rsidRPr="0074324C">
        <w:rPr>
          <w:rFonts w:ascii="Times New Roman" w:hAnsi="Times New Roman" w:cs="Times New Roman"/>
          <w:b/>
          <w:sz w:val="24"/>
          <w:szCs w:val="24"/>
        </w:rPr>
        <w:t xml:space="preserve"> es un participante de mercado que compra y vende grandes cantidades de un activo determinado para facilitar la liquidez y asegurar el buen funcionamiento de los mercados financieros. </w:t>
      </w:r>
    </w:p>
    <w:p w:rsidR="00805885" w:rsidRPr="0074324C" w:rsidRDefault="0060322A" w:rsidP="00805885">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 xml:space="preserve">La mayoría de las veces </w:t>
      </w:r>
      <w:r w:rsidR="00805885" w:rsidRPr="0074324C">
        <w:rPr>
          <w:rFonts w:ascii="Times New Roman" w:hAnsi="Times New Roman" w:cs="Times New Roman"/>
          <w:b/>
          <w:sz w:val="24"/>
          <w:szCs w:val="24"/>
        </w:rPr>
        <w:t>esos “creadores de mercado” resultan ser unos “falsarios patológicos”: no es que digan mentiras sino que alcanzan la sublimación de convertir sus mendacidades en argumentos</w:t>
      </w:r>
      <w:r w:rsidRPr="0074324C">
        <w:rPr>
          <w:rFonts w:ascii="Times New Roman" w:hAnsi="Times New Roman" w:cs="Times New Roman"/>
          <w:b/>
          <w:sz w:val="24"/>
          <w:szCs w:val="24"/>
        </w:rPr>
        <w:t>. Terminan perdiendo los pocos anclajes con la realidad que le quedan</w:t>
      </w:r>
      <w:r w:rsidR="00E76712">
        <w:rPr>
          <w:rFonts w:ascii="Times New Roman" w:hAnsi="Times New Roman" w:cs="Times New Roman"/>
          <w:b/>
          <w:sz w:val="24"/>
          <w:szCs w:val="24"/>
        </w:rPr>
        <w:t>,</w:t>
      </w:r>
      <w:r w:rsidRPr="0074324C">
        <w:rPr>
          <w:rFonts w:ascii="Times New Roman" w:hAnsi="Times New Roman" w:cs="Times New Roman"/>
          <w:b/>
          <w:sz w:val="24"/>
          <w:szCs w:val="24"/>
        </w:rPr>
        <w:t xml:space="preserve"> en su intento de seguir ganando tiempo.</w:t>
      </w:r>
    </w:p>
    <w:p w:rsidR="0060322A" w:rsidRPr="0074324C" w:rsidRDefault="0060322A" w:rsidP="0060322A">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Y por paradójico que resulte, los “creadores de mercado” (el sistema) se comportan como siempre: alimentando la codicia del inversor (ahorrista), y tratando que el resultado alcanzado, no inquiete especialmente al cautivo (cliente).</w:t>
      </w:r>
    </w:p>
    <w:p w:rsidR="00282A00" w:rsidRPr="0074324C" w:rsidRDefault="00282A00" w:rsidP="0060322A">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Mientras</w:t>
      </w:r>
      <w:r w:rsidR="00602986" w:rsidRPr="0074324C">
        <w:rPr>
          <w:rFonts w:ascii="Times New Roman" w:hAnsi="Times New Roman" w:cs="Times New Roman"/>
          <w:b/>
          <w:sz w:val="24"/>
          <w:szCs w:val="24"/>
        </w:rPr>
        <w:t>,</w:t>
      </w:r>
      <w:r w:rsidRPr="0074324C">
        <w:rPr>
          <w:rFonts w:ascii="Times New Roman" w:hAnsi="Times New Roman" w:cs="Times New Roman"/>
          <w:b/>
          <w:sz w:val="24"/>
          <w:szCs w:val="24"/>
        </w:rPr>
        <w:t xml:space="preserve"> los académicos, vacas sagradas, cabezas de huevo, gurús m</w:t>
      </w:r>
      <w:r w:rsidR="00602986" w:rsidRPr="0074324C">
        <w:rPr>
          <w:rFonts w:ascii="Times New Roman" w:hAnsi="Times New Roman" w:cs="Times New Roman"/>
          <w:b/>
          <w:sz w:val="24"/>
          <w:szCs w:val="24"/>
        </w:rPr>
        <w:t xml:space="preserve">ediáticos, analistas de postín, y </w:t>
      </w:r>
      <w:r w:rsidRPr="0074324C">
        <w:rPr>
          <w:rFonts w:ascii="Times New Roman" w:hAnsi="Times New Roman" w:cs="Times New Roman"/>
          <w:b/>
          <w:sz w:val="24"/>
          <w:szCs w:val="24"/>
        </w:rPr>
        <w:t>prensa especializada, permanece ciega como si llevara burka, silente como en clausura. Todo lo consienten, convertidos en estatuas de sal, tragándose toda la jerigonza de la bolsa (el sistema).</w:t>
      </w:r>
    </w:p>
    <w:p w:rsidR="00282A00" w:rsidRPr="0074324C" w:rsidRDefault="00602986" w:rsidP="0060322A">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Ignoran el tumor económico que se alimenta del</w:t>
      </w:r>
      <w:r w:rsidR="00282A00" w:rsidRPr="0074324C">
        <w:rPr>
          <w:rFonts w:ascii="Times New Roman" w:hAnsi="Times New Roman" w:cs="Times New Roman"/>
          <w:b/>
          <w:sz w:val="24"/>
          <w:szCs w:val="24"/>
        </w:rPr>
        <w:t xml:space="preserve"> cuerpo</w:t>
      </w:r>
      <w:r w:rsidRPr="0074324C">
        <w:rPr>
          <w:rFonts w:ascii="Times New Roman" w:hAnsi="Times New Roman" w:cs="Times New Roman"/>
          <w:b/>
          <w:sz w:val="24"/>
          <w:szCs w:val="24"/>
        </w:rPr>
        <w:t xml:space="preserve"> del inversor (el </w:t>
      </w:r>
      <w:r w:rsidR="00282A00" w:rsidRPr="0074324C">
        <w:rPr>
          <w:rFonts w:ascii="Times New Roman" w:hAnsi="Times New Roman" w:cs="Times New Roman"/>
          <w:b/>
          <w:sz w:val="24"/>
          <w:szCs w:val="24"/>
        </w:rPr>
        <w:t>enfermo</w:t>
      </w:r>
      <w:r w:rsidRPr="0074324C">
        <w:rPr>
          <w:rFonts w:ascii="Times New Roman" w:hAnsi="Times New Roman" w:cs="Times New Roman"/>
          <w:b/>
          <w:sz w:val="24"/>
          <w:szCs w:val="24"/>
        </w:rPr>
        <w:t>)</w:t>
      </w:r>
      <w:r w:rsidR="00282A00" w:rsidRPr="0074324C">
        <w:rPr>
          <w:rFonts w:ascii="Times New Roman" w:hAnsi="Times New Roman" w:cs="Times New Roman"/>
          <w:b/>
          <w:sz w:val="24"/>
          <w:szCs w:val="24"/>
        </w:rPr>
        <w:t>. Con el agravante de que los médicos</w:t>
      </w:r>
      <w:r w:rsidRPr="0074324C">
        <w:rPr>
          <w:rFonts w:ascii="Times New Roman" w:hAnsi="Times New Roman" w:cs="Times New Roman"/>
          <w:b/>
          <w:sz w:val="24"/>
          <w:szCs w:val="24"/>
        </w:rPr>
        <w:t xml:space="preserve"> (referentes sociales)</w:t>
      </w:r>
      <w:r w:rsidR="00282A00" w:rsidRPr="0074324C">
        <w:rPr>
          <w:rFonts w:ascii="Times New Roman" w:hAnsi="Times New Roman" w:cs="Times New Roman"/>
          <w:b/>
          <w:sz w:val="24"/>
          <w:szCs w:val="24"/>
        </w:rPr>
        <w:t xml:space="preserve"> están muy contentos de haberse conocido. ¡Qué importan los pacientes desquiciados mientras el Hospital que les mantiene aún siga en pie!  Lo que dure siempre será más lucrativo que atreverse a asumir el riesgo del quirófano.</w:t>
      </w:r>
    </w:p>
    <w:p w:rsidR="00282A00" w:rsidRPr="0074324C" w:rsidRDefault="00602986" w:rsidP="00282A00">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A la mayoría de los referentes sociales (académicos, vacas sagradas, cabezas de huevo…), hacer algún tipo de crítica profunda al negocio de la bolsa</w:t>
      </w:r>
      <w:r w:rsidR="00282A00" w:rsidRPr="0074324C">
        <w:rPr>
          <w:rFonts w:ascii="Times New Roman" w:hAnsi="Times New Roman" w:cs="Times New Roman"/>
          <w:b/>
          <w:sz w:val="24"/>
          <w:szCs w:val="24"/>
        </w:rPr>
        <w:t xml:space="preserve"> les parece como entrar en el quirófano. Allí donde nadie sale lo mismo que entró; ni los cirujanos ni los pacientes. Les importa un carajo el tumor mientras el cuerpo aguante. </w:t>
      </w:r>
      <w:r w:rsidRPr="0074324C">
        <w:rPr>
          <w:rFonts w:ascii="Times New Roman" w:hAnsi="Times New Roman" w:cs="Times New Roman"/>
          <w:b/>
          <w:sz w:val="24"/>
          <w:szCs w:val="24"/>
        </w:rPr>
        <w:t>Por paradójico que resulte, el s</w:t>
      </w:r>
      <w:r w:rsidR="00282A00" w:rsidRPr="0074324C">
        <w:rPr>
          <w:rFonts w:ascii="Times New Roman" w:hAnsi="Times New Roman" w:cs="Times New Roman"/>
          <w:b/>
          <w:sz w:val="24"/>
          <w:szCs w:val="24"/>
        </w:rPr>
        <w:t>istema se comporta como sie</w:t>
      </w:r>
      <w:r w:rsidRPr="0074324C">
        <w:rPr>
          <w:rFonts w:ascii="Times New Roman" w:hAnsi="Times New Roman" w:cs="Times New Roman"/>
          <w:b/>
          <w:sz w:val="24"/>
          <w:szCs w:val="24"/>
        </w:rPr>
        <w:t xml:space="preserve">mpre: hay que alimentar la codicia, mientras </w:t>
      </w:r>
      <w:r w:rsidR="00282A00" w:rsidRPr="0074324C">
        <w:rPr>
          <w:rFonts w:ascii="Times New Roman" w:hAnsi="Times New Roman" w:cs="Times New Roman"/>
          <w:b/>
          <w:sz w:val="24"/>
          <w:szCs w:val="24"/>
        </w:rPr>
        <w:t>el miedo</w:t>
      </w:r>
      <w:r w:rsidRPr="0074324C">
        <w:rPr>
          <w:rFonts w:ascii="Times New Roman" w:hAnsi="Times New Roman" w:cs="Times New Roman"/>
          <w:b/>
          <w:sz w:val="24"/>
          <w:szCs w:val="24"/>
        </w:rPr>
        <w:t xml:space="preserve"> (a las pérdidas)</w:t>
      </w:r>
      <w:r w:rsidR="00282A00" w:rsidRPr="0074324C">
        <w:rPr>
          <w:rFonts w:ascii="Times New Roman" w:hAnsi="Times New Roman" w:cs="Times New Roman"/>
          <w:b/>
          <w:sz w:val="24"/>
          <w:szCs w:val="24"/>
        </w:rPr>
        <w:t xml:space="preserve"> no in</w:t>
      </w:r>
      <w:r w:rsidRPr="0074324C">
        <w:rPr>
          <w:rFonts w:ascii="Times New Roman" w:hAnsi="Times New Roman" w:cs="Times New Roman"/>
          <w:b/>
          <w:sz w:val="24"/>
          <w:szCs w:val="24"/>
        </w:rPr>
        <w:t>quiete demasiado</w:t>
      </w:r>
      <w:r w:rsidR="00282A00" w:rsidRPr="0074324C">
        <w:rPr>
          <w:rFonts w:ascii="Times New Roman" w:hAnsi="Times New Roman" w:cs="Times New Roman"/>
          <w:b/>
          <w:sz w:val="24"/>
          <w:szCs w:val="24"/>
        </w:rPr>
        <w:t xml:space="preserve"> a la ciudadanía</w:t>
      </w:r>
      <w:r w:rsidR="00A05770" w:rsidRPr="0074324C">
        <w:rPr>
          <w:rFonts w:ascii="Times New Roman" w:hAnsi="Times New Roman" w:cs="Times New Roman"/>
          <w:b/>
          <w:sz w:val="24"/>
          <w:szCs w:val="24"/>
        </w:rPr>
        <w:t xml:space="preserve"> (la manada)</w:t>
      </w:r>
      <w:r w:rsidR="00282A00" w:rsidRPr="0074324C">
        <w:rPr>
          <w:rFonts w:ascii="Times New Roman" w:hAnsi="Times New Roman" w:cs="Times New Roman"/>
          <w:b/>
          <w:sz w:val="24"/>
          <w:szCs w:val="24"/>
        </w:rPr>
        <w:t>.</w:t>
      </w:r>
    </w:p>
    <w:p w:rsidR="00805885" w:rsidRPr="0074324C" w:rsidRDefault="00805885" w:rsidP="00805885">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 xml:space="preserve">El inversor precavido, cuando lea sus informes, o escuche sus palabras, y luego constate los resultados alcanzados, debería pensar que quizá haya diversos tipos de honradez no homologables. Tal vez, se les estén perdiendo los muchos sentidos que </w:t>
      </w:r>
      <w:r w:rsidR="0060322A" w:rsidRPr="0074324C">
        <w:rPr>
          <w:rFonts w:ascii="Times New Roman" w:hAnsi="Times New Roman" w:cs="Times New Roman"/>
          <w:b/>
          <w:sz w:val="24"/>
          <w:szCs w:val="24"/>
        </w:rPr>
        <w:t>tienen sus actos (excrecencias).</w:t>
      </w:r>
    </w:p>
    <w:p w:rsidR="00805885" w:rsidRPr="0074324C" w:rsidRDefault="00805885" w:rsidP="00805885">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¿Se burlan del inversor o lo toman por idiota? No lo tengo del todo claro, aunque creo que las dos cosas juntas, pero de lo que estoy seguro es que lo necesitan para vivir. Para mantener el aforo. Para que siga la fiesta. Para cobrar el próximo bonus.</w:t>
      </w:r>
    </w:p>
    <w:p w:rsidR="001214F2" w:rsidRPr="0074324C" w:rsidRDefault="00805885" w:rsidP="00805885">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Sea por lo uno (burlarse), o por lo otro (tomar por idiota), me sorprende que un pueblo tan disciplinado, formal, prudente, tradicionalista,</w:t>
      </w:r>
      <w:r w:rsidR="00A05770" w:rsidRPr="0074324C">
        <w:rPr>
          <w:rFonts w:ascii="Times New Roman" w:hAnsi="Times New Roman" w:cs="Times New Roman"/>
          <w:b/>
          <w:sz w:val="24"/>
          <w:szCs w:val="24"/>
        </w:rPr>
        <w:t xml:space="preserve"> con una fuerte ética de trabajo, respeto por la jerarquía, cultura colectivista, énfasis en la armonía social, cultura del honor, </w:t>
      </w:r>
      <w:r w:rsidRPr="0074324C">
        <w:rPr>
          <w:rFonts w:ascii="Times New Roman" w:hAnsi="Times New Roman" w:cs="Times New Roman"/>
          <w:b/>
          <w:sz w:val="24"/>
          <w:szCs w:val="24"/>
        </w:rPr>
        <w:t>aséptico, discreto, reflexivo</w:t>
      </w:r>
      <w:r w:rsidR="00A05770" w:rsidRPr="0074324C">
        <w:rPr>
          <w:rFonts w:ascii="Times New Roman" w:hAnsi="Times New Roman" w:cs="Times New Roman"/>
          <w:b/>
          <w:sz w:val="24"/>
          <w:szCs w:val="24"/>
        </w:rPr>
        <w:t>, cortes</w:t>
      </w:r>
      <w:r w:rsidRPr="0074324C">
        <w:rPr>
          <w:rFonts w:ascii="Times New Roman" w:hAnsi="Times New Roman" w:cs="Times New Roman"/>
          <w:b/>
          <w:sz w:val="24"/>
          <w:szCs w:val="24"/>
        </w:rPr>
        <w:t xml:space="preserve">… como el japonés sucumba ante fórmulas de inversión que esconden un gigantesco autoengaño.  </w:t>
      </w:r>
    </w:p>
    <w:p w:rsidR="00805885" w:rsidRPr="0074324C" w:rsidRDefault="00805885" w:rsidP="00805885">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¿Por hacer de cortesanos en el reino de las urgencias (Wall Street) no se están olvidando del largo plazo? ¿Por comprar un éxito imaginario (renta variable aplicando análisis técnico) no están engendrando una derrota futura?</w:t>
      </w:r>
      <w:r w:rsidR="005A51D9" w:rsidRPr="0074324C">
        <w:rPr>
          <w:rFonts w:ascii="Times New Roman" w:hAnsi="Times New Roman" w:cs="Times New Roman"/>
          <w:b/>
          <w:sz w:val="24"/>
          <w:szCs w:val="24"/>
        </w:rPr>
        <w:t xml:space="preserve"> ¿Por tanto replicar los índices del NYSE, no estarán haciendo de copiloto en un vehículo que marcha sin frenos hacia el abismo</w:t>
      </w:r>
      <w:r w:rsidR="00E76712">
        <w:rPr>
          <w:rFonts w:ascii="Times New Roman" w:hAnsi="Times New Roman" w:cs="Times New Roman"/>
          <w:b/>
          <w:sz w:val="24"/>
          <w:szCs w:val="24"/>
        </w:rPr>
        <w:t xml:space="preserve"> (la próxima crisis autogenerada)</w:t>
      </w:r>
      <w:r w:rsidR="005A51D9" w:rsidRPr="0074324C">
        <w:rPr>
          <w:rFonts w:ascii="Times New Roman" w:hAnsi="Times New Roman" w:cs="Times New Roman"/>
          <w:b/>
          <w:sz w:val="24"/>
          <w:szCs w:val="24"/>
        </w:rPr>
        <w:t>?</w:t>
      </w:r>
      <w:r w:rsidRPr="0074324C">
        <w:rPr>
          <w:rFonts w:ascii="Times New Roman" w:hAnsi="Times New Roman" w:cs="Times New Roman"/>
          <w:b/>
          <w:sz w:val="24"/>
          <w:szCs w:val="24"/>
        </w:rPr>
        <w:t xml:space="preserve"> </w:t>
      </w:r>
    </w:p>
    <w:p w:rsidR="00805885" w:rsidRPr="0074324C" w:rsidRDefault="005A51D9" w:rsidP="00805885">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Fuera metáforas…. Y, “last, but not least”</w:t>
      </w:r>
      <w:r w:rsidR="00805885" w:rsidRPr="0074324C">
        <w:rPr>
          <w:rFonts w:ascii="Times New Roman" w:hAnsi="Times New Roman" w:cs="Times New Roman"/>
          <w:b/>
          <w:sz w:val="24"/>
          <w:szCs w:val="24"/>
        </w:rPr>
        <w:t>, todo esto será imposible si</w:t>
      </w:r>
      <w:r w:rsidRPr="0074324C">
        <w:rPr>
          <w:rFonts w:ascii="Times New Roman" w:hAnsi="Times New Roman" w:cs="Times New Roman"/>
          <w:b/>
          <w:sz w:val="24"/>
          <w:szCs w:val="24"/>
        </w:rPr>
        <w:t xml:space="preserve"> en vez de estar abducidos por el “fly to for profit” (Wall Street), adoptaran el “back to the base” (TSE).</w:t>
      </w:r>
    </w:p>
    <w:p w:rsidR="00BB1617" w:rsidRPr="000B181A" w:rsidRDefault="00BB1617" w:rsidP="00805885">
      <w:pPr>
        <w:spacing w:before="120" w:after="120" w:line="240" w:lineRule="auto"/>
        <w:jc w:val="both"/>
        <w:rPr>
          <w:rFonts w:ascii="Times New Roman" w:hAnsi="Times New Roman" w:cs="Times New Roman"/>
          <w:b/>
          <w:sz w:val="24"/>
          <w:szCs w:val="24"/>
        </w:rPr>
      </w:pPr>
      <w:r w:rsidRPr="000B181A">
        <w:rPr>
          <w:rFonts w:ascii="Times New Roman" w:hAnsi="Times New Roman" w:cs="Times New Roman"/>
          <w:b/>
          <w:sz w:val="24"/>
          <w:szCs w:val="24"/>
        </w:rPr>
        <w:lastRenderedPageBreak/>
        <w:t>Una respetuosa advertencia (a modo de final), al inversor japonés</w:t>
      </w:r>
      <w:r w:rsidR="009003FD" w:rsidRPr="000B181A">
        <w:rPr>
          <w:rFonts w:ascii="Times New Roman" w:hAnsi="Times New Roman" w:cs="Times New Roman"/>
          <w:b/>
          <w:sz w:val="24"/>
          <w:szCs w:val="24"/>
        </w:rPr>
        <w:t xml:space="preserve"> y de paso, a los demás</w:t>
      </w:r>
    </w:p>
    <w:p w:rsidR="00BB1617" w:rsidRPr="0074324C" w:rsidRDefault="00BB1617" w:rsidP="00805885">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¿Cómo funciona el cerebro de los “Hamelin” de Wall Street?</w:t>
      </w:r>
    </w:p>
    <w:p w:rsidR="00BB1617" w:rsidRPr="0074324C" w:rsidRDefault="0074324C" w:rsidP="00805885">
      <w:pPr>
        <w:spacing w:before="120" w:after="120" w:line="240" w:lineRule="auto"/>
        <w:jc w:val="both"/>
        <w:rPr>
          <w:rFonts w:ascii="Times New Roman" w:hAnsi="Times New Roman" w:cs="Times New Roman"/>
          <w:b/>
          <w:sz w:val="24"/>
          <w:szCs w:val="24"/>
        </w:rPr>
      </w:pPr>
      <w:r>
        <w:rPr>
          <w:rFonts w:ascii="Times New Roman" w:hAnsi="Times New Roman" w:cs="Times New Roman"/>
          <w:b/>
          <w:sz w:val="24"/>
          <w:szCs w:val="24"/>
        </w:rPr>
        <w:t>El s</w:t>
      </w:r>
      <w:r w:rsidR="00BB1617" w:rsidRPr="0074324C">
        <w:rPr>
          <w:rFonts w:ascii="Times New Roman" w:hAnsi="Times New Roman" w:cs="Times New Roman"/>
          <w:b/>
          <w:sz w:val="24"/>
          <w:szCs w:val="24"/>
        </w:rPr>
        <w:t>índrome del “narciso maligno” (la personalidad del “trader” perfecto)</w:t>
      </w:r>
    </w:p>
    <w:p w:rsidR="00BB1617" w:rsidRPr="0074324C" w:rsidRDefault="00BB1617" w:rsidP="00805885">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Es el trastorno de personalidad más peligroso. Egocentrismo extremo, insensibilidad</w:t>
      </w:r>
      <w:r w:rsidR="00C44FB8">
        <w:rPr>
          <w:rFonts w:ascii="Times New Roman" w:hAnsi="Times New Roman" w:cs="Times New Roman"/>
          <w:b/>
          <w:sz w:val="24"/>
          <w:szCs w:val="24"/>
        </w:rPr>
        <w:t xml:space="preserve">, crueldad, </w:t>
      </w:r>
      <w:r w:rsidRPr="0074324C">
        <w:rPr>
          <w:rFonts w:ascii="Times New Roman" w:hAnsi="Times New Roman" w:cs="Times New Roman"/>
          <w:b/>
          <w:sz w:val="24"/>
          <w:szCs w:val="24"/>
        </w:rPr>
        <w:t xml:space="preserve">y falta de remordimiento por sus acciones. </w:t>
      </w:r>
    </w:p>
    <w:p w:rsidR="00BB1617" w:rsidRPr="0074324C" w:rsidRDefault="00BB1617" w:rsidP="00805885">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Hablan consigo mismo, se creen profetas. Creen que son inmortales</w:t>
      </w:r>
      <w:r w:rsidR="009003FD" w:rsidRPr="0074324C">
        <w:rPr>
          <w:rFonts w:ascii="Times New Roman" w:hAnsi="Times New Roman" w:cs="Times New Roman"/>
          <w:b/>
          <w:sz w:val="24"/>
          <w:szCs w:val="24"/>
        </w:rPr>
        <w:t>, y que tiene</w:t>
      </w:r>
      <w:r w:rsidR="000E7F2C">
        <w:rPr>
          <w:rFonts w:ascii="Times New Roman" w:hAnsi="Times New Roman" w:cs="Times New Roman"/>
          <w:b/>
          <w:sz w:val="24"/>
          <w:szCs w:val="24"/>
        </w:rPr>
        <w:t>n</w:t>
      </w:r>
      <w:r w:rsidR="009003FD" w:rsidRPr="0074324C">
        <w:rPr>
          <w:rFonts w:ascii="Times New Roman" w:hAnsi="Times New Roman" w:cs="Times New Roman"/>
          <w:b/>
          <w:sz w:val="24"/>
          <w:szCs w:val="24"/>
        </w:rPr>
        <w:t xml:space="preserve"> un destino que cump</w:t>
      </w:r>
      <w:r w:rsidR="00C44FB8">
        <w:rPr>
          <w:rFonts w:ascii="Times New Roman" w:hAnsi="Times New Roman" w:cs="Times New Roman"/>
          <w:b/>
          <w:sz w:val="24"/>
          <w:szCs w:val="24"/>
        </w:rPr>
        <w:t>lir. E</w:t>
      </w:r>
      <w:r w:rsidR="009003FD" w:rsidRPr="0074324C">
        <w:rPr>
          <w:rFonts w:ascii="Times New Roman" w:hAnsi="Times New Roman" w:cs="Times New Roman"/>
          <w:b/>
          <w:sz w:val="24"/>
          <w:szCs w:val="24"/>
        </w:rPr>
        <w:t>n unas personalidades que son agre</w:t>
      </w:r>
      <w:r w:rsidR="000E7F2C">
        <w:rPr>
          <w:rFonts w:ascii="Times New Roman" w:hAnsi="Times New Roman" w:cs="Times New Roman"/>
          <w:b/>
          <w:sz w:val="24"/>
          <w:szCs w:val="24"/>
        </w:rPr>
        <w:t>sivas y sádicas</w:t>
      </w:r>
      <w:r w:rsidR="00C44FB8">
        <w:rPr>
          <w:rFonts w:ascii="Times New Roman" w:hAnsi="Times New Roman" w:cs="Times New Roman"/>
          <w:b/>
          <w:sz w:val="24"/>
          <w:szCs w:val="24"/>
        </w:rPr>
        <w:t>, no hay atisbo de empatía</w:t>
      </w:r>
      <w:r w:rsidR="000E7F2C">
        <w:rPr>
          <w:rFonts w:ascii="Times New Roman" w:hAnsi="Times New Roman" w:cs="Times New Roman"/>
          <w:b/>
          <w:sz w:val="24"/>
          <w:szCs w:val="24"/>
        </w:rPr>
        <w:t>. Ello se refiere</w:t>
      </w:r>
      <w:r w:rsidR="009003FD" w:rsidRPr="0074324C">
        <w:rPr>
          <w:rFonts w:ascii="Times New Roman" w:hAnsi="Times New Roman" w:cs="Times New Roman"/>
          <w:b/>
          <w:sz w:val="24"/>
          <w:szCs w:val="24"/>
        </w:rPr>
        <w:t xml:space="preserve"> a la incapacidad de estar en sintonía con los sentimientos de otra persona, de sentir las cosas y verlas como ellas las ven.</w:t>
      </w:r>
    </w:p>
    <w:p w:rsidR="009003FD" w:rsidRPr="0074324C" w:rsidRDefault="009003FD" w:rsidP="00805885">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En cualquier circunstancia adoptan un punto de vista egoísta sin interesarles absolutamente nada del otro</w:t>
      </w:r>
      <w:r w:rsidR="00C44FB8">
        <w:rPr>
          <w:rFonts w:ascii="Times New Roman" w:hAnsi="Times New Roman" w:cs="Times New Roman"/>
          <w:b/>
          <w:sz w:val="24"/>
          <w:szCs w:val="24"/>
        </w:rPr>
        <w:t>,</w:t>
      </w:r>
      <w:r w:rsidRPr="0074324C">
        <w:rPr>
          <w:rFonts w:ascii="Times New Roman" w:hAnsi="Times New Roman" w:cs="Times New Roman"/>
          <w:b/>
          <w:sz w:val="24"/>
          <w:szCs w:val="24"/>
        </w:rPr>
        <w:t xml:space="preserve"> y sin sentir nada por él.</w:t>
      </w:r>
    </w:p>
    <w:p w:rsidR="009003FD" w:rsidRPr="0074324C" w:rsidRDefault="009003FD" w:rsidP="00805885">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Repasemos</w:t>
      </w:r>
      <w:r w:rsidR="003B269E" w:rsidRPr="0074324C">
        <w:rPr>
          <w:rFonts w:ascii="Times New Roman" w:hAnsi="Times New Roman" w:cs="Times New Roman"/>
          <w:b/>
          <w:sz w:val="24"/>
          <w:szCs w:val="24"/>
        </w:rPr>
        <w:t xml:space="preserve"> el perfil </w:t>
      </w:r>
      <w:r w:rsidR="005B4675">
        <w:rPr>
          <w:rFonts w:ascii="Times New Roman" w:hAnsi="Times New Roman" w:cs="Times New Roman"/>
          <w:b/>
          <w:sz w:val="24"/>
          <w:szCs w:val="24"/>
        </w:rPr>
        <w:t>del “operador” (psicópata corporativo</w:t>
      </w:r>
      <w:r w:rsidR="003B269E" w:rsidRPr="0074324C">
        <w:rPr>
          <w:rFonts w:ascii="Times New Roman" w:hAnsi="Times New Roman" w:cs="Times New Roman"/>
          <w:b/>
          <w:sz w:val="24"/>
          <w:szCs w:val="24"/>
        </w:rPr>
        <w:t>) de Wall Street</w:t>
      </w:r>
      <w:r w:rsidRPr="0074324C">
        <w:rPr>
          <w:rFonts w:ascii="Times New Roman" w:hAnsi="Times New Roman" w:cs="Times New Roman"/>
          <w:b/>
          <w:sz w:val="24"/>
          <w:szCs w:val="24"/>
        </w:rPr>
        <w:t>:</w:t>
      </w:r>
    </w:p>
    <w:p w:rsidR="003B269E" w:rsidRPr="0074324C" w:rsidRDefault="005B4675" w:rsidP="009003FD">
      <w:pPr>
        <w:spacing w:before="120" w:after="12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w:t>
      </w:r>
      <w:r w:rsidR="000E7F2C">
        <w:rPr>
          <w:rFonts w:ascii="Times New Roman" w:hAnsi="Times New Roman" w:cs="Times New Roman"/>
          <w:b/>
          <w:sz w:val="24"/>
          <w:szCs w:val="24"/>
        </w:rPr>
        <w:t>“</w:t>
      </w:r>
      <w:r>
        <w:rPr>
          <w:rFonts w:ascii="Times New Roman" w:hAnsi="Times New Roman" w:cs="Times New Roman"/>
          <w:b/>
          <w:sz w:val="24"/>
          <w:szCs w:val="24"/>
        </w:rPr>
        <w:t>psicópata con corbata</w:t>
      </w:r>
      <w:r w:rsidR="000E7F2C">
        <w:rPr>
          <w:rFonts w:ascii="Times New Roman" w:hAnsi="Times New Roman" w:cs="Times New Roman"/>
          <w:b/>
          <w:sz w:val="24"/>
          <w:szCs w:val="24"/>
        </w:rPr>
        <w:t>”</w:t>
      </w:r>
      <w:r>
        <w:rPr>
          <w:rFonts w:ascii="Times New Roman" w:hAnsi="Times New Roman" w:cs="Times New Roman"/>
          <w:b/>
          <w:sz w:val="24"/>
          <w:szCs w:val="24"/>
        </w:rPr>
        <w:t xml:space="preserve">: </w:t>
      </w:r>
      <w:r w:rsidR="003B269E" w:rsidRPr="0074324C">
        <w:rPr>
          <w:rFonts w:ascii="Times New Roman" w:hAnsi="Times New Roman" w:cs="Times New Roman"/>
          <w:b/>
          <w:sz w:val="24"/>
          <w:szCs w:val="24"/>
        </w:rPr>
        <w:t>D</w:t>
      </w:r>
      <w:r w:rsidR="009003FD" w:rsidRPr="0074324C">
        <w:rPr>
          <w:rFonts w:ascii="Times New Roman" w:hAnsi="Times New Roman" w:cs="Times New Roman"/>
          <w:b/>
          <w:sz w:val="24"/>
          <w:szCs w:val="24"/>
        </w:rPr>
        <w:t>omi</w:t>
      </w:r>
      <w:r w:rsidR="003B269E" w:rsidRPr="0074324C">
        <w:rPr>
          <w:rFonts w:ascii="Times New Roman" w:hAnsi="Times New Roman" w:cs="Times New Roman"/>
          <w:b/>
          <w:sz w:val="24"/>
          <w:szCs w:val="24"/>
        </w:rPr>
        <w:t>n</w:t>
      </w:r>
      <w:r w:rsidR="009003FD" w:rsidRPr="0074324C">
        <w:rPr>
          <w:rFonts w:ascii="Times New Roman" w:hAnsi="Times New Roman" w:cs="Times New Roman"/>
          <w:b/>
          <w:sz w:val="24"/>
          <w:szCs w:val="24"/>
        </w:rPr>
        <w:t>ante</w:t>
      </w:r>
      <w:r>
        <w:rPr>
          <w:rFonts w:ascii="Times New Roman" w:hAnsi="Times New Roman" w:cs="Times New Roman"/>
          <w:b/>
          <w:sz w:val="24"/>
          <w:szCs w:val="24"/>
        </w:rPr>
        <w:t xml:space="preserve"> </w:t>
      </w:r>
      <w:r w:rsidR="003B269E" w:rsidRPr="0074324C">
        <w:rPr>
          <w:rFonts w:ascii="Times New Roman" w:hAnsi="Times New Roman" w:cs="Times New Roman"/>
          <w:b/>
          <w:sz w:val="24"/>
          <w:szCs w:val="24"/>
        </w:rPr>
        <w:t>-</w:t>
      </w:r>
      <w:r>
        <w:rPr>
          <w:rFonts w:ascii="Times New Roman" w:hAnsi="Times New Roman" w:cs="Times New Roman"/>
          <w:b/>
          <w:sz w:val="24"/>
          <w:szCs w:val="24"/>
        </w:rPr>
        <w:t xml:space="preserve"> Seductor - Mentiroso patológico - </w:t>
      </w:r>
      <w:r w:rsidR="003B269E" w:rsidRPr="0074324C">
        <w:rPr>
          <w:rFonts w:ascii="Times New Roman" w:hAnsi="Times New Roman" w:cs="Times New Roman"/>
          <w:b/>
          <w:sz w:val="24"/>
          <w:szCs w:val="24"/>
        </w:rPr>
        <w:t>Ambicioso</w:t>
      </w:r>
      <w:r>
        <w:rPr>
          <w:rFonts w:ascii="Times New Roman" w:hAnsi="Times New Roman" w:cs="Times New Roman"/>
          <w:b/>
          <w:sz w:val="24"/>
          <w:szCs w:val="24"/>
        </w:rPr>
        <w:t xml:space="preserve"> </w:t>
      </w:r>
      <w:r w:rsidR="003B269E" w:rsidRPr="0074324C">
        <w:rPr>
          <w:rFonts w:ascii="Times New Roman" w:hAnsi="Times New Roman" w:cs="Times New Roman"/>
          <w:b/>
          <w:sz w:val="24"/>
          <w:szCs w:val="24"/>
        </w:rPr>
        <w:t>- Audaz</w:t>
      </w:r>
      <w:r>
        <w:rPr>
          <w:rFonts w:ascii="Times New Roman" w:hAnsi="Times New Roman" w:cs="Times New Roman"/>
          <w:b/>
          <w:sz w:val="24"/>
          <w:szCs w:val="24"/>
        </w:rPr>
        <w:t xml:space="preserve"> </w:t>
      </w:r>
      <w:r w:rsidR="003B269E" w:rsidRPr="0074324C">
        <w:rPr>
          <w:rFonts w:ascii="Times New Roman" w:hAnsi="Times New Roman" w:cs="Times New Roman"/>
          <w:b/>
          <w:sz w:val="24"/>
          <w:szCs w:val="24"/>
        </w:rPr>
        <w:t>- Agresivo</w:t>
      </w:r>
      <w:r>
        <w:rPr>
          <w:rFonts w:ascii="Times New Roman" w:hAnsi="Times New Roman" w:cs="Times New Roman"/>
          <w:b/>
          <w:sz w:val="24"/>
          <w:szCs w:val="24"/>
        </w:rPr>
        <w:t xml:space="preserve"> </w:t>
      </w:r>
      <w:r w:rsidR="003B269E" w:rsidRPr="0074324C">
        <w:rPr>
          <w:rFonts w:ascii="Times New Roman" w:hAnsi="Times New Roman" w:cs="Times New Roman"/>
          <w:b/>
          <w:sz w:val="24"/>
          <w:szCs w:val="24"/>
        </w:rPr>
        <w:t>-</w:t>
      </w:r>
      <w:r>
        <w:rPr>
          <w:rFonts w:ascii="Times New Roman" w:hAnsi="Times New Roman" w:cs="Times New Roman"/>
          <w:b/>
          <w:sz w:val="24"/>
          <w:szCs w:val="24"/>
        </w:rPr>
        <w:t xml:space="preserve"> Dominante - Manipulador -</w:t>
      </w:r>
      <w:r w:rsidR="003B269E" w:rsidRPr="0074324C">
        <w:rPr>
          <w:rFonts w:ascii="Times New Roman" w:hAnsi="Times New Roman" w:cs="Times New Roman"/>
          <w:b/>
          <w:sz w:val="24"/>
          <w:szCs w:val="24"/>
        </w:rPr>
        <w:t xml:space="preserve"> Controlador</w:t>
      </w:r>
      <w:r>
        <w:rPr>
          <w:rFonts w:ascii="Times New Roman" w:hAnsi="Times New Roman" w:cs="Times New Roman"/>
          <w:b/>
          <w:sz w:val="24"/>
          <w:szCs w:val="24"/>
        </w:rPr>
        <w:t xml:space="preserve"> </w:t>
      </w:r>
      <w:r w:rsidR="003B269E" w:rsidRPr="0074324C">
        <w:rPr>
          <w:rFonts w:ascii="Times New Roman" w:hAnsi="Times New Roman" w:cs="Times New Roman"/>
          <w:b/>
          <w:sz w:val="24"/>
          <w:szCs w:val="24"/>
        </w:rPr>
        <w:t>- Egoísta</w:t>
      </w:r>
      <w:r>
        <w:rPr>
          <w:rFonts w:ascii="Times New Roman" w:hAnsi="Times New Roman" w:cs="Times New Roman"/>
          <w:b/>
          <w:sz w:val="24"/>
          <w:szCs w:val="24"/>
        </w:rPr>
        <w:t xml:space="preserve"> </w:t>
      </w:r>
      <w:r w:rsidR="003B269E" w:rsidRPr="0074324C">
        <w:rPr>
          <w:rFonts w:ascii="Times New Roman" w:hAnsi="Times New Roman" w:cs="Times New Roman"/>
          <w:b/>
          <w:sz w:val="24"/>
          <w:szCs w:val="24"/>
        </w:rPr>
        <w:t>- Explotador</w:t>
      </w:r>
      <w:r>
        <w:rPr>
          <w:rFonts w:ascii="Times New Roman" w:hAnsi="Times New Roman" w:cs="Times New Roman"/>
          <w:b/>
          <w:sz w:val="24"/>
          <w:szCs w:val="24"/>
        </w:rPr>
        <w:t xml:space="preserve"> </w:t>
      </w:r>
      <w:r w:rsidR="003B269E" w:rsidRPr="0074324C">
        <w:rPr>
          <w:rFonts w:ascii="Times New Roman" w:hAnsi="Times New Roman" w:cs="Times New Roman"/>
          <w:b/>
          <w:sz w:val="24"/>
          <w:szCs w:val="24"/>
        </w:rPr>
        <w:t>- Megalómano</w:t>
      </w:r>
      <w:r>
        <w:rPr>
          <w:rFonts w:ascii="Times New Roman" w:hAnsi="Times New Roman" w:cs="Times New Roman"/>
          <w:b/>
          <w:sz w:val="24"/>
          <w:szCs w:val="24"/>
        </w:rPr>
        <w:t xml:space="preserve"> </w:t>
      </w:r>
      <w:r w:rsidR="003B269E" w:rsidRPr="0074324C">
        <w:rPr>
          <w:rFonts w:ascii="Times New Roman" w:hAnsi="Times New Roman" w:cs="Times New Roman"/>
          <w:b/>
          <w:sz w:val="24"/>
          <w:szCs w:val="24"/>
        </w:rPr>
        <w:t>-</w:t>
      </w:r>
      <w:r>
        <w:rPr>
          <w:rFonts w:ascii="Times New Roman" w:hAnsi="Times New Roman" w:cs="Times New Roman"/>
          <w:b/>
          <w:sz w:val="24"/>
          <w:szCs w:val="24"/>
        </w:rPr>
        <w:t xml:space="preserve"> Omnipotente -  Narcisista -</w:t>
      </w:r>
      <w:r w:rsidR="003B269E" w:rsidRPr="0074324C">
        <w:rPr>
          <w:rFonts w:ascii="Times New Roman" w:hAnsi="Times New Roman" w:cs="Times New Roman"/>
          <w:b/>
          <w:sz w:val="24"/>
          <w:szCs w:val="24"/>
        </w:rPr>
        <w:t xml:space="preserve"> Impulsivo</w:t>
      </w:r>
      <w:r>
        <w:rPr>
          <w:rFonts w:ascii="Times New Roman" w:hAnsi="Times New Roman" w:cs="Times New Roman"/>
          <w:b/>
          <w:sz w:val="24"/>
          <w:szCs w:val="24"/>
        </w:rPr>
        <w:t xml:space="preserve"> </w:t>
      </w:r>
      <w:r w:rsidR="003B269E" w:rsidRPr="0074324C">
        <w:rPr>
          <w:rFonts w:ascii="Times New Roman" w:hAnsi="Times New Roman" w:cs="Times New Roman"/>
          <w:b/>
          <w:sz w:val="24"/>
          <w:szCs w:val="24"/>
        </w:rPr>
        <w:t>- Orientación paranoide</w:t>
      </w:r>
      <w:r>
        <w:rPr>
          <w:rFonts w:ascii="Times New Roman" w:hAnsi="Times New Roman" w:cs="Times New Roman"/>
          <w:b/>
          <w:sz w:val="24"/>
          <w:szCs w:val="24"/>
        </w:rPr>
        <w:t xml:space="preserve"> - Deseo de engañar - Ausencia de remordimiento - Camaleónicos -  </w:t>
      </w:r>
    </w:p>
    <w:p w:rsidR="003B269E" w:rsidRPr="0074324C" w:rsidRDefault="00CB2AA5" w:rsidP="009003FD">
      <w:pPr>
        <w:spacing w:before="120" w:after="120" w:line="240" w:lineRule="auto"/>
        <w:jc w:val="both"/>
        <w:rPr>
          <w:rFonts w:ascii="Times New Roman" w:hAnsi="Times New Roman" w:cs="Times New Roman"/>
          <w:b/>
          <w:sz w:val="24"/>
          <w:szCs w:val="24"/>
        </w:rPr>
      </w:pPr>
      <w:r>
        <w:rPr>
          <w:rFonts w:ascii="Times New Roman" w:hAnsi="Times New Roman" w:cs="Times New Roman"/>
          <w:b/>
          <w:sz w:val="24"/>
          <w:szCs w:val="24"/>
        </w:rPr>
        <w:t>Pero al final: no es un genio, solo está loco</w:t>
      </w:r>
      <w:r w:rsidR="003B269E" w:rsidRPr="0074324C">
        <w:rPr>
          <w:rFonts w:ascii="Times New Roman" w:hAnsi="Times New Roman" w:cs="Times New Roman"/>
          <w:b/>
          <w:sz w:val="24"/>
          <w:szCs w:val="24"/>
        </w:rPr>
        <w:t>.</w:t>
      </w:r>
    </w:p>
    <w:p w:rsidR="003B269E" w:rsidRPr="0074324C" w:rsidRDefault="003B269E" w:rsidP="009003FD">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Queda a vuestro cargo establecer el vínculo que puede existir entre la locura y el poder.</w:t>
      </w:r>
    </w:p>
    <w:p w:rsidR="003B269E" w:rsidRPr="0074324C" w:rsidRDefault="003B269E" w:rsidP="009003FD">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Si el inversor</w:t>
      </w:r>
      <w:r w:rsidR="00CB2AA5">
        <w:rPr>
          <w:rFonts w:ascii="Times New Roman" w:hAnsi="Times New Roman" w:cs="Times New Roman"/>
          <w:b/>
          <w:sz w:val="24"/>
          <w:szCs w:val="24"/>
        </w:rPr>
        <w:t xml:space="preserve"> (japonés</w:t>
      </w:r>
      <w:r w:rsidR="000E7F2C">
        <w:rPr>
          <w:rFonts w:ascii="Times New Roman" w:hAnsi="Times New Roman" w:cs="Times New Roman"/>
          <w:b/>
          <w:sz w:val="24"/>
          <w:szCs w:val="24"/>
        </w:rPr>
        <w:t>,</w:t>
      </w:r>
      <w:r w:rsidR="00CB2AA5">
        <w:rPr>
          <w:rFonts w:ascii="Times New Roman" w:hAnsi="Times New Roman" w:cs="Times New Roman"/>
          <w:b/>
          <w:sz w:val="24"/>
          <w:szCs w:val="24"/>
        </w:rPr>
        <w:t xml:space="preserve"> o de otros países</w:t>
      </w:r>
      <w:r w:rsidRPr="0074324C">
        <w:rPr>
          <w:rFonts w:ascii="Times New Roman" w:hAnsi="Times New Roman" w:cs="Times New Roman"/>
          <w:b/>
          <w:sz w:val="24"/>
          <w:szCs w:val="24"/>
        </w:rPr>
        <w:t>) quiere seguir los consejos de estos siniestro</w:t>
      </w:r>
      <w:r w:rsidR="0074324C">
        <w:rPr>
          <w:rFonts w:ascii="Times New Roman" w:hAnsi="Times New Roman" w:cs="Times New Roman"/>
          <w:b/>
          <w:sz w:val="24"/>
          <w:szCs w:val="24"/>
        </w:rPr>
        <w:t>s</w:t>
      </w:r>
      <w:r w:rsidRPr="0074324C">
        <w:rPr>
          <w:rFonts w:ascii="Times New Roman" w:hAnsi="Times New Roman" w:cs="Times New Roman"/>
          <w:b/>
          <w:sz w:val="24"/>
          <w:szCs w:val="24"/>
        </w:rPr>
        <w:t xml:space="preserve"> personajes, ya no tengo</w:t>
      </w:r>
      <w:r w:rsidR="0074324C">
        <w:rPr>
          <w:rFonts w:ascii="Times New Roman" w:hAnsi="Times New Roman" w:cs="Times New Roman"/>
          <w:b/>
          <w:sz w:val="24"/>
          <w:szCs w:val="24"/>
        </w:rPr>
        <w:t xml:space="preserve"> nada</w:t>
      </w:r>
      <w:r w:rsidRPr="0074324C">
        <w:rPr>
          <w:rFonts w:ascii="Times New Roman" w:hAnsi="Times New Roman" w:cs="Times New Roman"/>
          <w:b/>
          <w:sz w:val="24"/>
          <w:szCs w:val="24"/>
        </w:rPr>
        <w:t xml:space="preserve"> más q</w:t>
      </w:r>
      <w:r w:rsidR="0074324C" w:rsidRPr="0074324C">
        <w:rPr>
          <w:rFonts w:ascii="Times New Roman" w:hAnsi="Times New Roman" w:cs="Times New Roman"/>
          <w:b/>
          <w:sz w:val="24"/>
          <w:szCs w:val="24"/>
        </w:rPr>
        <w:t xml:space="preserve">ue decir. </w:t>
      </w:r>
      <w:r w:rsidR="00CB2AA5">
        <w:rPr>
          <w:rFonts w:ascii="Times New Roman" w:hAnsi="Times New Roman" w:cs="Times New Roman"/>
          <w:b/>
          <w:sz w:val="24"/>
          <w:szCs w:val="24"/>
        </w:rPr>
        <w:t>Pasarán a ser los ratones (¿banzai?) que siguen “abduc</w:t>
      </w:r>
      <w:r w:rsidR="00C44FB8">
        <w:rPr>
          <w:rFonts w:ascii="Times New Roman" w:hAnsi="Times New Roman" w:cs="Times New Roman"/>
          <w:b/>
          <w:sz w:val="24"/>
          <w:szCs w:val="24"/>
        </w:rPr>
        <w:t>idos” a los Hamelin de la bolsa</w:t>
      </w:r>
      <w:r w:rsidR="008C6CBC">
        <w:rPr>
          <w:rFonts w:ascii="Times New Roman" w:hAnsi="Times New Roman" w:cs="Times New Roman"/>
          <w:b/>
          <w:sz w:val="24"/>
          <w:szCs w:val="24"/>
        </w:rPr>
        <w:t>, hasta el río (donde terminan ahogados</w:t>
      </w:r>
      <w:r w:rsidR="00C44FB8">
        <w:rPr>
          <w:rFonts w:ascii="Times New Roman" w:hAnsi="Times New Roman" w:cs="Times New Roman"/>
          <w:b/>
          <w:sz w:val="24"/>
          <w:szCs w:val="24"/>
        </w:rPr>
        <w:t>).</w:t>
      </w:r>
    </w:p>
    <w:p w:rsidR="0074324C" w:rsidRPr="0074324C" w:rsidRDefault="0074324C" w:rsidP="009003FD">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Pero antes de “tomar posicione</w:t>
      </w:r>
      <w:r w:rsidR="00CB2AA5">
        <w:rPr>
          <w:rFonts w:ascii="Times New Roman" w:hAnsi="Times New Roman" w:cs="Times New Roman"/>
          <w:b/>
          <w:sz w:val="24"/>
          <w:szCs w:val="24"/>
        </w:rPr>
        <w:t xml:space="preserve">s” (como suelen decir los alquimistas </w:t>
      </w:r>
      <w:r w:rsidRPr="0074324C">
        <w:rPr>
          <w:rFonts w:ascii="Times New Roman" w:hAnsi="Times New Roman" w:cs="Times New Roman"/>
          <w:b/>
          <w:sz w:val="24"/>
          <w:szCs w:val="24"/>
        </w:rPr>
        <w:t>de Wall Street), tengan cuidado que las inversiones de “high yield” (alto rendimiento), pueden no compensar el “high risk” (alto riesgo), de perder parte</w:t>
      </w:r>
      <w:r>
        <w:rPr>
          <w:rFonts w:ascii="Times New Roman" w:hAnsi="Times New Roman" w:cs="Times New Roman"/>
          <w:b/>
          <w:sz w:val="24"/>
          <w:szCs w:val="24"/>
        </w:rPr>
        <w:t>,</w:t>
      </w:r>
      <w:r w:rsidRPr="0074324C">
        <w:rPr>
          <w:rFonts w:ascii="Times New Roman" w:hAnsi="Times New Roman" w:cs="Times New Roman"/>
          <w:b/>
          <w:sz w:val="24"/>
          <w:szCs w:val="24"/>
        </w:rPr>
        <w:t xml:space="preserve"> o todo</w:t>
      </w:r>
      <w:r>
        <w:rPr>
          <w:rFonts w:ascii="Times New Roman" w:hAnsi="Times New Roman" w:cs="Times New Roman"/>
          <w:b/>
          <w:sz w:val="24"/>
          <w:szCs w:val="24"/>
        </w:rPr>
        <w:t>,</w:t>
      </w:r>
      <w:r w:rsidRPr="0074324C">
        <w:rPr>
          <w:rFonts w:ascii="Times New Roman" w:hAnsi="Times New Roman" w:cs="Times New Roman"/>
          <w:b/>
          <w:sz w:val="24"/>
          <w:szCs w:val="24"/>
        </w:rPr>
        <w:t xml:space="preserve"> el capital invertido.</w:t>
      </w:r>
    </w:p>
    <w:p w:rsidR="0074324C" w:rsidRPr="00D23621" w:rsidRDefault="0074324C" w:rsidP="009003FD">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Remember: Hay amores (Wall Street) que matan, y hay errores (</w:t>
      </w:r>
      <w:r w:rsidR="0048022B">
        <w:rPr>
          <w:rFonts w:ascii="Times New Roman" w:hAnsi="Times New Roman" w:cs="Times New Roman"/>
          <w:b/>
          <w:sz w:val="24"/>
          <w:szCs w:val="24"/>
        </w:rPr>
        <w:t xml:space="preserve">creer en </w:t>
      </w:r>
      <w:r w:rsidRPr="0074324C">
        <w:rPr>
          <w:rFonts w:ascii="Times New Roman" w:hAnsi="Times New Roman" w:cs="Times New Roman"/>
          <w:b/>
          <w:sz w:val="24"/>
          <w:szCs w:val="24"/>
        </w:rPr>
        <w:t>Wall Street) que rematan.</w:t>
      </w:r>
      <w:r w:rsidR="00D23621">
        <w:rPr>
          <w:rFonts w:ascii="Times New Roman" w:hAnsi="Times New Roman" w:cs="Times New Roman"/>
          <w:b/>
          <w:sz w:val="24"/>
          <w:szCs w:val="24"/>
        </w:rPr>
        <w:t xml:space="preserve"> </w:t>
      </w:r>
      <w:r w:rsidR="00D23621" w:rsidRPr="00D23621">
        <w:rPr>
          <w:rFonts w:ascii="Times New Roman" w:hAnsi="Times New Roman" w:cs="Times New Roman"/>
          <w:b/>
          <w:sz w:val="24"/>
          <w:szCs w:val="24"/>
          <w:shd w:val="clear" w:color="auto" w:fill="FFFFFF"/>
        </w:rPr>
        <w:t>Quizás menospreciar los riesgos sea temerario.</w:t>
      </w:r>
    </w:p>
    <w:p w:rsidR="000E7F2C" w:rsidRDefault="003355C5" w:rsidP="009003FD">
      <w:pPr>
        <w:spacing w:before="120" w:after="120" w:line="240" w:lineRule="auto"/>
        <w:jc w:val="both"/>
        <w:rPr>
          <w:rFonts w:ascii="Times New Roman" w:hAnsi="Times New Roman" w:cs="Times New Roman"/>
          <w:b/>
          <w:sz w:val="24"/>
          <w:szCs w:val="24"/>
        </w:rPr>
      </w:pPr>
      <w:r w:rsidRPr="003355C5">
        <w:rPr>
          <w:rFonts w:ascii="Times New Roman" w:hAnsi="Times New Roman" w:cs="Times New Roman"/>
          <w:b/>
          <w:sz w:val="24"/>
          <w:szCs w:val="24"/>
          <w:shd w:val="clear" w:color="auto" w:fill="FFFFFF"/>
        </w:rPr>
        <w:t xml:space="preserve">Mientras ustedes reflexionan si no están siendo demasiado </w:t>
      </w:r>
      <w:r w:rsidR="008C6CBC">
        <w:rPr>
          <w:rFonts w:ascii="Times New Roman" w:hAnsi="Times New Roman" w:cs="Times New Roman"/>
          <w:b/>
          <w:sz w:val="24"/>
          <w:szCs w:val="24"/>
          <w:shd w:val="clear" w:color="auto" w:fill="FFFFFF"/>
        </w:rPr>
        <w:t>“</w:t>
      </w:r>
      <w:r w:rsidRPr="003355C5">
        <w:rPr>
          <w:rFonts w:ascii="Times New Roman" w:hAnsi="Times New Roman" w:cs="Times New Roman"/>
          <w:b/>
          <w:sz w:val="24"/>
          <w:szCs w:val="24"/>
          <w:shd w:val="clear" w:color="auto" w:fill="FFFFFF"/>
        </w:rPr>
        <w:t>compla</w:t>
      </w:r>
      <w:r w:rsidR="00D53FB3">
        <w:rPr>
          <w:rFonts w:ascii="Times New Roman" w:hAnsi="Times New Roman" w:cs="Times New Roman"/>
          <w:b/>
          <w:sz w:val="24"/>
          <w:szCs w:val="24"/>
          <w:shd w:val="clear" w:color="auto" w:fill="FFFFFF"/>
        </w:rPr>
        <w:t>cientes</w:t>
      </w:r>
      <w:r w:rsidR="008C6CBC">
        <w:rPr>
          <w:rFonts w:ascii="Times New Roman" w:hAnsi="Times New Roman" w:cs="Times New Roman"/>
          <w:b/>
          <w:sz w:val="24"/>
          <w:szCs w:val="24"/>
          <w:shd w:val="clear" w:color="auto" w:fill="FFFFFF"/>
        </w:rPr>
        <w:t>”</w:t>
      </w:r>
      <w:r w:rsidR="00D53FB3">
        <w:rPr>
          <w:rFonts w:ascii="Times New Roman" w:hAnsi="Times New Roman" w:cs="Times New Roman"/>
          <w:b/>
          <w:sz w:val="24"/>
          <w:szCs w:val="24"/>
          <w:shd w:val="clear" w:color="auto" w:fill="FFFFFF"/>
        </w:rPr>
        <w:t xml:space="preserve"> con la</w:t>
      </w:r>
      <w:r>
        <w:rPr>
          <w:rFonts w:ascii="Times New Roman" w:hAnsi="Times New Roman" w:cs="Times New Roman"/>
          <w:b/>
          <w:sz w:val="24"/>
          <w:szCs w:val="24"/>
          <w:shd w:val="clear" w:color="auto" w:fill="FFFFFF"/>
        </w:rPr>
        <w:t>s</w:t>
      </w:r>
      <w:r w:rsidR="00D53FB3">
        <w:rPr>
          <w:rFonts w:ascii="Times New Roman" w:hAnsi="Times New Roman" w:cs="Times New Roman"/>
          <w:b/>
          <w:sz w:val="24"/>
          <w:szCs w:val="24"/>
          <w:shd w:val="clear" w:color="auto" w:fill="FFFFFF"/>
        </w:rPr>
        <w:t xml:space="preserve"> correlaciones extrañas, los</w:t>
      </w:r>
      <w:r>
        <w:rPr>
          <w:rFonts w:ascii="Times New Roman" w:hAnsi="Times New Roman" w:cs="Times New Roman"/>
          <w:b/>
          <w:sz w:val="24"/>
          <w:szCs w:val="24"/>
          <w:shd w:val="clear" w:color="auto" w:fill="FFFFFF"/>
        </w:rPr>
        <w:t xml:space="preserve"> riesgos </w:t>
      </w:r>
      <w:r w:rsidR="000E7F2C">
        <w:rPr>
          <w:rFonts w:ascii="Times New Roman" w:hAnsi="Times New Roman" w:cs="Times New Roman"/>
          <w:b/>
          <w:sz w:val="24"/>
          <w:szCs w:val="24"/>
          <w:shd w:val="clear" w:color="auto" w:fill="FFFFFF"/>
        </w:rPr>
        <w:t>del análisis técnico</w:t>
      </w:r>
      <w:r w:rsidR="00D53FB3">
        <w:rPr>
          <w:rFonts w:ascii="Times New Roman" w:hAnsi="Times New Roman" w:cs="Times New Roman"/>
          <w:b/>
          <w:sz w:val="24"/>
          <w:szCs w:val="24"/>
          <w:shd w:val="clear" w:color="auto" w:fill="FFFFFF"/>
        </w:rPr>
        <w:t xml:space="preserve"> (líneas, barras</w:t>
      </w:r>
      <w:r w:rsidR="000E7F2C">
        <w:rPr>
          <w:rFonts w:ascii="Times New Roman" w:hAnsi="Times New Roman" w:cs="Times New Roman"/>
          <w:b/>
          <w:sz w:val="24"/>
          <w:szCs w:val="24"/>
          <w:shd w:val="clear" w:color="auto" w:fill="FFFFFF"/>
        </w:rPr>
        <w:t>,</w:t>
      </w:r>
      <w:r w:rsidR="00D53FB3">
        <w:rPr>
          <w:rFonts w:ascii="Times New Roman" w:hAnsi="Times New Roman" w:cs="Times New Roman"/>
          <w:b/>
          <w:sz w:val="24"/>
          <w:szCs w:val="24"/>
          <w:shd w:val="clear" w:color="auto" w:fill="FFFFFF"/>
        </w:rPr>
        <w:t xml:space="preserve"> velas, t</w:t>
      </w:r>
      <w:r w:rsidR="00D53FB3" w:rsidRPr="00D53FB3">
        <w:rPr>
          <w:rFonts w:ascii="Times New Roman" w:hAnsi="Times New Roman" w:cs="Times New Roman"/>
          <w:b/>
          <w:sz w:val="24"/>
          <w:szCs w:val="24"/>
          <w:shd w:val="clear" w:color="auto" w:fill="FFFFFF"/>
        </w:rPr>
        <w:t>echo de cabeza y hombros</w:t>
      </w:r>
      <w:r w:rsidR="00D53FB3">
        <w:rPr>
          <w:rFonts w:ascii="Times New Roman" w:hAnsi="Times New Roman" w:cs="Times New Roman"/>
          <w:b/>
          <w:sz w:val="24"/>
          <w:szCs w:val="24"/>
          <w:shd w:val="clear" w:color="auto" w:fill="FFFFFF"/>
        </w:rPr>
        <w:t>, b</w:t>
      </w:r>
      <w:r w:rsidR="00D53FB3" w:rsidRPr="00D53FB3">
        <w:rPr>
          <w:rFonts w:ascii="Times New Roman" w:hAnsi="Times New Roman" w:cs="Times New Roman"/>
          <w:b/>
          <w:sz w:val="24"/>
          <w:szCs w:val="24"/>
          <w:shd w:val="clear" w:color="auto" w:fill="FFFFFF"/>
        </w:rPr>
        <w:t>ase de cabeza y hombros</w:t>
      </w:r>
      <w:r w:rsidR="00D53FB3">
        <w:rPr>
          <w:rFonts w:ascii="Times New Roman" w:hAnsi="Times New Roman" w:cs="Times New Roman"/>
          <w:b/>
          <w:sz w:val="24"/>
          <w:szCs w:val="24"/>
          <w:shd w:val="clear" w:color="auto" w:fill="FFFFFF"/>
        </w:rPr>
        <w:t>, techo/b</w:t>
      </w:r>
      <w:r w:rsidR="00D53FB3" w:rsidRPr="00D53FB3">
        <w:rPr>
          <w:rFonts w:ascii="Times New Roman" w:hAnsi="Times New Roman" w:cs="Times New Roman"/>
          <w:b/>
          <w:sz w:val="24"/>
          <w:szCs w:val="24"/>
          <w:shd w:val="clear" w:color="auto" w:fill="FFFFFF"/>
        </w:rPr>
        <w:t>ase doble</w:t>
      </w:r>
      <w:r w:rsidR="00D53FB3">
        <w:rPr>
          <w:rFonts w:ascii="Times New Roman" w:hAnsi="Times New Roman" w:cs="Times New Roman"/>
          <w:b/>
          <w:sz w:val="24"/>
          <w:szCs w:val="24"/>
          <w:shd w:val="clear" w:color="auto" w:fill="FFFFFF"/>
        </w:rPr>
        <w:t>, techo/b</w:t>
      </w:r>
      <w:r w:rsidR="00D53FB3" w:rsidRPr="00D53FB3">
        <w:rPr>
          <w:rFonts w:ascii="Times New Roman" w:hAnsi="Times New Roman" w:cs="Times New Roman"/>
          <w:b/>
          <w:sz w:val="24"/>
          <w:szCs w:val="24"/>
          <w:shd w:val="clear" w:color="auto" w:fill="FFFFFF"/>
        </w:rPr>
        <w:t>ase triple</w:t>
      </w:r>
      <w:r w:rsidR="00D53FB3">
        <w:rPr>
          <w:rFonts w:ascii="Times New Roman" w:hAnsi="Times New Roman" w:cs="Times New Roman"/>
          <w:b/>
          <w:sz w:val="24"/>
          <w:szCs w:val="24"/>
          <w:shd w:val="clear" w:color="auto" w:fill="FFFFFF"/>
        </w:rPr>
        <w:t xml:space="preserve">, </w:t>
      </w:r>
      <w:r w:rsidR="00D53FB3" w:rsidRPr="00D53FB3">
        <w:rPr>
          <w:rFonts w:ascii="Times New Roman" w:hAnsi="Times New Roman" w:cs="Times New Roman"/>
          <w:b/>
          <w:sz w:val="24"/>
          <w:szCs w:val="24"/>
          <w:shd w:val="clear" w:color="auto" w:fill="FFFFFF"/>
        </w:rPr>
        <w:t>las barras de Pinocho</w:t>
      </w:r>
      <w:r w:rsidR="00D53FB3">
        <w:rPr>
          <w:rFonts w:ascii="Times New Roman" w:hAnsi="Times New Roman" w:cs="Times New Roman"/>
          <w:b/>
          <w:sz w:val="24"/>
          <w:szCs w:val="24"/>
          <w:shd w:val="clear" w:color="auto" w:fill="FFFFFF"/>
        </w:rPr>
        <w:t>, el envolvente, las líne</w:t>
      </w:r>
      <w:r w:rsidR="00B218E5">
        <w:rPr>
          <w:rFonts w:ascii="Times New Roman" w:hAnsi="Times New Roman" w:cs="Times New Roman"/>
          <w:b/>
          <w:sz w:val="24"/>
          <w:szCs w:val="24"/>
          <w:shd w:val="clear" w:color="auto" w:fill="FFFFFF"/>
        </w:rPr>
        <w:t>a</w:t>
      </w:r>
      <w:r w:rsidR="00D53FB3">
        <w:rPr>
          <w:rFonts w:ascii="Times New Roman" w:hAnsi="Times New Roman" w:cs="Times New Roman"/>
          <w:b/>
          <w:sz w:val="24"/>
          <w:szCs w:val="24"/>
          <w:shd w:val="clear" w:color="auto" w:fill="FFFFFF"/>
        </w:rPr>
        <w:t>s de tendencia,</w:t>
      </w:r>
      <w:r w:rsidR="00B218E5">
        <w:rPr>
          <w:rFonts w:ascii="Times New Roman" w:hAnsi="Times New Roman" w:cs="Times New Roman"/>
          <w:b/>
          <w:sz w:val="24"/>
          <w:szCs w:val="24"/>
          <w:shd w:val="clear" w:color="auto" w:fill="FFFFFF"/>
        </w:rPr>
        <w:t xml:space="preserve"> los indicadores de volúmenes, los osciladores estocásticos),</w:t>
      </w:r>
      <w:r w:rsidR="00D53FB3">
        <w:rPr>
          <w:rFonts w:ascii="Times New Roman" w:hAnsi="Times New Roman" w:cs="Times New Roman"/>
          <w:b/>
          <w:sz w:val="24"/>
          <w:szCs w:val="24"/>
          <w:shd w:val="clear" w:color="auto" w:fill="FFFFFF"/>
        </w:rPr>
        <w:t xml:space="preserve"> los algoritmos</w:t>
      </w:r>
      <w:r w:rsidR="00B218E5">
        <w:rPr>
          <w:rFonts w:ascii="Times New Roman" w:hAnsi="Times New Roman" w:cs="Times New Roman"/>
          <w:b/>
          <w:sz w:val="24"/>
          <w:szCs w:val="24"/>
          <w:shd w:val="clear" w:color="auto" w:fill="FFFFFF"/>
        </w:rPr>
        <w:t>,</w:t>
      </w:r>
      <w:r w:rsidR="00D53FB3">
        <w:rPr>
          <w:rFonts w:ascii="Times New Roman" w:hAnsi="Times New Roman" w:cs="Times New Roman"/>
          <w:b/>
          <w:sz w:val="24"/>
          <w:szCs w:val="24"/>
          <w:shd w:val="clear" w:color="auto" w:fill="FFFFFF"/>
        </w:rPr>
        <w:t xml:space="preserve"> o </w:t>
      </w:r>
      <w:r w:rsidR="000E7F2C">
        <w:rPr>
          <w:rFonts w:ascii="Times New Roman" w:hAnsi="Times New Roman" w:cs="Times New Roman"/>
          <w:b/>
          <w:sz w:val="24"/>
          <w:szCs w:val="24"/>
          <w:shd w:val="clear" w:color="auto" w:fill="FFFFFF"/>
        </w:rPr>
        <w:t>el trading de alta velocidad</w:t>
      </w:r>
      <w:r w:rsidRPr="003355C5">
        <w:rPr>
          <w:rFonts w:ascii="Times New Roman" w:hAnsi="Times New Roman" w:cs="Times New Roman"/>
          <w:b/>
          <w:sz w:val="24"/>
          <w:szCs w:val="24"/>
          <w:shd w:val="clear" w:color="auto" w:fill="FFFFFF"/>
        </w:rPr>
        <w:t>,</w:t>
      </w:r>
      <w:r w:rsidR="00B218E5">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t</w:t>
      </w:r>
      <w:r>
        <w:rPr>
          <w:rFonts w:ascii="Times New Roman" w:hAnsi="Times New Roman" w:cs="Times New Roman"/>
          <w:b/>
          <w:sz w:val="24"/>
          <w:szCs w:val="24"/>
        </w:rPr>
        <w:t>engan en cuenta que, c</w:t>
      </w:r>
      <w:r w:rsidR="0074324C" w:rsidRPr="0074324C">
        <w:rPr>
          <w:rFonts w:ascii="Times New Roman" w:hAnsi="Times New Roman" w:cs="Times New Roman"/>
          <w:b/>
          <w:sz w:val="24"/>
          <w:szCs w:val="24"/>
        </w:rPr>
        <w:t>omo decía Hegel: “Lo único que aprendemos de la historia es que no aprendemos nada de la historia”.</w:t>
      </w:r>
      <w:r>
        <w:rPr>
          <w:rFonts w:ascii="Times New Roman" w:hAnsi="Times New Roman" w:cs="Times New Roman"/>
          <w:b/>
          <w:sz w:val="24"/>
          <w:szCs w:val="24"/>
        </w:rPr>
        <w:t xml:space="preserve"> </w:t>
      </w:r>
    </w:p>
    <w:p w:rsidR="0074324C" w:rsidRPr="003355C5" w:rsidRDefault="0074324C" w:rsidP="009003FD">
      <w:pPr>
        <w:spacing w:before="120" w:after="120" w:line="240" w:lineRule="auto"/>
        <w:jc w:val="both"/>
        <w:rPr>
          <w:rFonts w:ascii="Times New Roman" w:hAnsi="Times New Roman" w:cs="Times New Roman"/>
          <w:b/>
          <w:sz w:val="24"/>
          <w:szCs w:val="24"/>
        </w:rPr>
      </w:pPr>
      <w:r w:rsidRPr="0074324C">
        <w:rPr>
          <w:rFonts w:ascii="Times New Roman" w:hAnsi="Times New Roman" w:cs="Times New Roman"/>
          <w:b/>
          <w:sz w:val="24"/>
          <w:szCs w:val="24"/>
        </w:rPr>
        <w:t>A partir de ello</w:t>
      </w:r>
      <w:r w:rsidR="00CA2AD9">
        <w:rPr>
          <w:rFonts w:ascii="Times New Roman" w:hAnsi="Times New Roman" w:cs="Times New Roman"/>
          <w:b/>
          <w:sz w:val="24"/>
          <w:szCs w:val="24"/>
        </w:rPr>
        <w:t xml:space="preserve"> (vivir para no creer)</w:t>
      </w:r>
      <w:r w:rsidRPr="0074324C">
        <w:rPr>
          <w:rFonts w:ascii="Times New Roman" w:hAnsi="Times New Roman" w:cs="Times New Roman"/>
          <w:b/>
          <w:sz w:val="24"/>
          <w:szCs w:val="24"/>
        </w:rPr>
        <w:t>…</w:t>
      </w:r>
      <w:r w:rsidR="003355C5">
        <w:rPr>
          <w:rFonts w:ascii="Times New Roman" w:hAnsi="Times New Roman" w:cs="Times New Roman"/>
          <w:b/>
          <w:sz w:val="24"/>
          <w:szCs w:val="24"/>
        </w:rPr>
        <w:t xml:space="preserve"> u</w:t>
      </w:r>
      <w:r w:rsidRPr="0074324C">
        <w:rPr>
          <w:rFonts w:ascii="Times New Roman" w:hAnsi="Times New Roman" w:cs="Times New Roman"/>
          <w:b/>
          <w:sz w:val="24"/>
          <w:szCs w:val="24"/>
        </w:rPr>
        <w:t>stedes mismos.</w:t>
      </w:r>
    </w:p>
    <w:p w:rsidR="007601E6" w:rsidRDefault="0048022B" w:rsidP="009003FD">
      <w:pPr>
        <w:spacing w:before="120" w:after="120" w:line="240" w:lineRule="auto"/>
        <w:jc w:val="both"/>
        <w:rPr>
          <w:rFonts w:ascii="Times New Roman" w:hAnsi="Times New Roman" w:cs="Times New Roman"/>
          <w:color w:val="FF0000"/>
          <w:sz w:val="24"/>
          <w:szCs w:val="24"/>
        </w:rPr>
      </w:pPr>
      <w:r w:rsidRPr="007601E6">
        <w:rPr>
          <w:rFonts w:ascii="Times New Roman" w:hAnsi="Times New Roman" w:cs="Times New Roman"/>
          <w:color w:val="FF0000"/>
          <w:sz w:val="24"/>
          <w:szCs w:val="24"/>
        </w:rPr>
        <w:t>Nota: creo</w:t>
      </w:r>
      <w:r w:rsidR="008C6CBC" w:rsidRPr="007601E6">
        <w:rPr>
          <w:rFonts w:ascii="Times New Roman" w:hAnsi="Times New Roman" w:cs="Times New Roman"/>
          <w:color w:val="FF0000"/>
          <w:sz w:val="24"/>
          <w:szCs w:val="24"/>
        </w:rPr>
        <w:t xml:space="preserve"> que</w:t>
      </w:r>
      <w:r w:rsidR="00B218E5" w:rsidRPr="007601E6">
        <w:rPr>
          <w:rFonts w:ascii="Times New Roman" w:hAnsi="Times New Roman" w:cs="Times New Roman"/>
          <w:color w:val="FF0000"/>
          <w:sz w:val="24"/>
          <w:szCs w:val="24"/>
        </w:rPr>
        <w:t xml:space="preserve"> puede resultar de interés para el lector </w:t>
      </w:r>
      <w:r w:rsidRPr="007601E6">
        <w:rPr>
          <w:rFonts w:ascii="Times New Roman" w:hAnsi="Times New Roman" w:cs="Times New Roman"/>
          <w:color w:val="FF0000"/>
          <w:sz w:val="24"/>
          <w:szCs w:val="24"/>
        </w:rPr>
        <w:t>contrastar mi</w:t>
      </w:r>
      <w:r w:rsidR="00D23621" w:rsidRPr="007601E6">
        <w:rPr>
          <w:rFonts w:ascii="Times New Roman" w:hAnsi="Times New Roman" w:cs="Times New Roman"/>
          <w:color w:val="FF0000"/>
          <w:sz w:val="24"/>
          <w:szCs w:val="24"/>
        </w:rPr>
        <w:t>s humildes conocimientos</w:t>
      </w:r>
      <w:r w:rsidRPr="007601E6">
        <w:rPr>
          <w:rFonts w:ascii="Times New Roman" w:hAnsi="Times New Roman" w:cs="Times New Roman"/>
          <w:color w:val="FF0000"/>
          <w:sz w:val="24"/>
          <w:szCs w:val="24"/>
        </w:rPr>
        <w:t xml:space="preserve"> </w:t>
      </w:r>
      <w:r w:rsidR="00D23621" w:rsidRPr="007601E6">
        <w:rPr>
          <w:rFonts w:ascii="Times New Roman" w:hAnsi="Times New Roman" w:cs="Times New Roman"/>
          <w:color w:val="FF0000"/>
          <w:sz w:val="24"/>
          <w:szCs w:val="24"/>
        </w:rPr>
        <w:t>(</w:t>
      </w:r>
      <w:r w:rsidRPr="007601E6">
        <w:rPr>
          <w:rFonts w:ascii="Times New Roman" w:hAnsi="Times New Roman" w:cs="Times New Roman"/>
          <w:color w:val="FF0000"/>
          <w:sz w:val="24"/>
          <w:szCs w:val="24"/>
        </w:rPr>
        <w:t>inteligencia biológica</w:t>
      </w:r>
      <w:r w:rsidR="00CB2AA5" w:rsidRPr="007601E6">
        <w:rPr>
          <w:rFonts w:ascii="Times New Roman" w:hAnsi="Times New Roman" w:cs="Times New Roman"/>
          <w:color w:val="FF0000"/>
          <w:sz w:val="24"/>
          <w:szCs w:val="24"/>
        </w:rPr>
        <w:t xml:space="preserve">) </w:t>
      </w:r>
      <w:r w:rsidR="00D23621" w:rsidRPr="007601E6">
        <w:rPr>
          <w:rFonts w:ascii="Times New Roman" w:hAnsi="Times New Roman" w:cs="Times New Roman"/>
          <w:color w:val="FF0000"/>
          <w:sz w:val="24"/>
          <w:szCs w:val="24"/>
        </w:rPr>
        <w:t>sobre el negocio de la bolsa</w:t>
      </w:r>
      <w:r w:rsidRPr="007601E6">
        <w:rPr>
          <w:rFonts w:ascii="Times New Roman" w:hAnsi="Times New Roman" w:cs="Times New Roman"/>
          <w:color w:val="FF0000"/>
          <w:sz w:val="24"/>
          <w:szCs w:val="24"/>
        </w:rPr>
        <w:t>, con la respuesta que puede dar la “inteligencia artificial” (la bibli</w:t>
      </w:r>
      <w:r w:rsidR="00D23621" w:rsidRPr="007601E6">
        <w:rPr>
          <w:rFonts w:ascii="Times New Roman" w:hAnsi="Times New Roman" w:cs="Times New Roman"/>
          <w:color w:val="FF0000"/>
          <w:sz w:val="24"/>
          <w:szCs w:val="24"/>
        </w:rPr>
        <w:t>oteca del mundo), tan de moda</w:t>
      </w:r>
      <w:r w:rsidR="00B82D2D" w:rsidRPr="007601E6">
        <w:rPr>
          <w:rFonts w:ascii="Times New Roman" w:hAnsi="Times New Roman" w:cs="Times New Roman"/>
          <w:color w:val="FF0000"/>
          <w:sz w:val="24"/>
          <w:szCs w:val="24"/>
        </w:rPr>
        <w:t>,</w:t>
      </w:r>
      <w:r w:rsidR="00D23621" w:rsidRPr="007601E6">
        <w:rPr>
          <w:rFonts w:ascii="Times New Roman" w:hAnsi="Times New Roman" w:cs="Times New Roman"/>
          <w:color w:val="FF0000"/>
          <w:sz w:val="24"/>
          <w:szCs w:val="24"/>
        </w:rPr>
        <w:t xml:space="preserve"> últimamente. Por</w:t>
      </w:r>
      <w:r w:rsidRPr="007601E6">
        <w:rPr>
          <w:rFonts w:ascii="Times New Roman" w:hAnsi="Times New Roman" w:cs="Times New Roman"/>
          <w:color w:val="FF0000"/>
          <w:sz w:val="24"/>
          <w:szCs w:val="24"/>
        </w:rPr>
        <w:t xml:space="preserve"> ello he realizado un cuestionario sobre el análisis fundamental y el análisis técnico, sus ventajas y desventajas</w:t>
      </w:r>
      <w:r w:rsidR="00D23621" w:rsidRPr="007601E6">
        <w:rPr>
          <w:rFonts w:ascii="Times New Roman" w:hAnsi="Times New Roman" w:cs="Times New Roman"/>
          <w:color w:val="FF0000"/>
          <w:sz w:val="24"/>
          <w:szCs w:val="24"/>
        </w:rPr>
        <w:t>,</w:t>
      </w:r>
      <w:r w:rsidRPr="007601E6">
        <w:rPr>
          <w:rFonts w:ascii="Times New Roman" w:hAnsi="Times New Roman" w:cs="Times New Roman"/>
          <w:color w:val="FF0000"/>
          <w:sz w:val="24"/>
          <w:szCs w:val="24"/>
        </w:rPr>
        <w:t xml:space="preserve"> a ChatGPT. </w:t>
      </w:r>
      <w:r w:rsidR="0005750F" w:rsidRPr="007601E6">
        <w:rPr>
          <w:rFonts w:ascii="Times New Roman" w:hAnsi="Times New Roman" w:cs="Times New Roman"/>
          <w:color w:val="FF0000"/>
          <w:sz w:val="24"/>
          <w:szCs w:val="24"/>
        </w:rPr>
        <w:t>En el</w:t>
      </w:r>
      <w:r w:rsidRPr="007601E6">
        <w:rPr>
          <w:rFonts w:ascii="Times New Roman" w:hAnsi="Times New Roman" w:cs="Times New Roman"/>
          <w:color w:val="FF0000"/>
          <w:sz w:val="24"/>
          <w:szCs w:val="24"/>
        </w:rPr>
        <w:t xml:space="preserve"> siguiente Apartado, están las respuestas aportadas por la </w:t>
      </w:r>
      <w:r w:rsidR="0005750F" w:rsidRPr="007601E6">
        <w:rPr>
          <w:rFonts w:ascii="Times New Roman" w:hAnsi="Times New Roman" w:cs="Times New Roman"/>
          <w:color w:val="FF0000"/>
          <w:sz w:val="24"/>
          <w:szCs w:val="24"/>
        </w:rPr>
        <w:t>I</w:t>
      </w:r>
      <w:r w:rsidRPr="007601E6">
        <w:rPr>
          <w:rFonts w:ascii="Times New Roman" w:hAnsi="Times New Roman" w:cs="Times New Roman"/>
          <w:color w:val="FF0000"/>
          <w:sz w:val="24"/>
          <w:szCs w:val="24"/>
        </w:rPr>
        <w:t>nteligencia</w:t>
      </w:r>
      <w:r w:rsidR="0005750F" w:rsidRPr="007601E6">
        <w:rPr>
          <w:rFonts w:ascii="Times New Roman" w:hAnsi="Times New Roman" w:cs="Times New Roman"/>
          <w:color w:val="FF0000"/>
          <w:sz w:val="24"/>
          <w:szCs w:val="24"/>
        </w:rPr>
        <w:t xml:space="preserve"> Artificial. Pasen</w:t>
      </w:r>
      <w:r w:rsidR="00B82D2D" w:rsidRPr="007601E6">
        <w:rPr>
          <w:rFonts w:ascii="Times New Roman" w:hAnsi="Times New Roman" w:cs="Times New Roman"/>
          <w:color w:val="FF0000"/>
          <w:sz w:val="24"/>
          <w:szCs w:val="24"/>
        </w:rPr>
        <w:t>,</w:t>
      </w:r>
      <w:r w:rsidR="0005750F" w:rsidRPr="007601E6">
        <w:rPr>
          <w:rFonts w:ascii="Times New Roman" w:hAnsi="Times New Roman" w:cs="Times New Roman"/>
          <w:color w:val="FF0000"/>
          <w:sz w:val="24"/>
          <w:szCs w:val="24"/>
        </w:rPr>
        <w:t xml:space="preserve"> y lean. </w:t>
      </w:r>
    </w:p>
    <w:p w:rsidR="005C44FB" w:rsidRDefault="005C44FB" w:rsidP="009003FD">
      <w:pPr>
        <w:spacing w:before="120" w:after="120" w:line="240" w:lineRule="auto"/>
        <w:jc w:val="both"/>
        <w:rPr>
          <w:rFonts w:ascii="Times New Roman" w:hAnsi="Times New Roman" w:cs="Times New Roman"/>
          <w:color w:val="FF0000"/>
          <w:sz w:val="24"/>
          <w:szCs w:val="24"/>
        </w:rPr>
      </w:pPr>
    </w:p>
    <w:p w:rsidR="005C44FB" w:rsidRDefault="005C44FB" w:rsidP="009003FD">
      <w:pPr>
        <w:spacing w:before="120" w:after="120" w:line="240" w:lineRule="auto"/>
        <w:jc w:val="both"/>
        <w:rPr>
          <w:rFonts w:ascii="Times New Roman" w:hAnsi="Times New Roman" w:cs="Times New Roman"/>
          <w:color w:val="FF0000"/>
          <w:sz w:val="24"/>
          <w:szCs w:val="24"/>
        </w:rPr>
      </w:pPr>
    </w:p>
    <w:p w:rsidR="005C44FB" w:rsidRDefault="005C44FB" w:rsidP="005C44FB">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lastRenderedPageBreak/>
        <w:t>Segunda Parte: Cómo nos cuenta la misma historia, la Inteligencia Artificial (ChatGPT)</w:t>
      </w:r>
    </w:p>
    <w:p w:rsidR="005C44FB" w:rsidRPr="007937D0" w:rsidRDefault="005C44FB" w:rsidP="005C44FB">
      <w:pPr>
        <w:spacing w:line="240" w:lineRule="auto"/>
        <w:jc w:val="both"/>
        <w:rPr>
          <w:rFonts w:ascii="Times New Roman" w:hAnsi="Times New Roman" w:cs="Times New Roman"/>
          <w:b/>
          <w:color w:val="FF0000"/>
          <w:sz w:val="24"/>
          <w:szCs w:val="24"/>
        </w:rPr>
      </w:pPr>
      <w:r w:rsidRPr="007937D0">
        <w:rPr>
          <w:rFonts w:ascii="Times New Roman" w:hAnsi="Times New Roman" w:cs="Times New Roman"/>
          <w:b/>
          <w:color w:val="FF0000"/>
          <w:sz w:val="24"/>
          <w:szCs w:val="24"/>
        </w:rPr>
        <w:t>Vista creada con Inteligencia Artificial</w:t>
      </w:r>
    </w:p>
    <w:p w:rsidR="005C44FB" w:rsidRPr="00B57DCF" w:rsidRDefault="005C44FB" w:rsidP="005C44FB">
      <w:pPr>
        <w:spacing w:line="240" w:lineRule="auto"/>
        <w:jc w:val="both"/>
        <w:rPr>
          <w:rFonts w:ascii="Times New Roman" w:hAnsi="Times New Roman" w:cs="Times New Roman"/>
          <w:b/>
          <w:color w:val="FF0000"/>
          <w:sz w:val="24"/>
          <w:szCs w:val="24"/>
        </w:rPr>
      </w:pPr>
      <w:r w:rsidRPr="00B57DCF">
        <w:rPr>
          <w:rFonts w:ascii="Times New Roman" w:hAnsi="Times New Roman" w:cs="Times New Roman"/>
          <w:b/>
          <w:color w:val="FF0000"/>
          <w:sz w:val="24"/>
          <w:szCs w:val="24"/>
        </w:rPr>
        <w:t xml:space="preserve">Sí, existe correlación entre los índices bursátiles, lo que significa que los movimientos de precios de diferentes índices tienden a estar relacionados, ya sea en la misma dirección (correlación positiva) o en direcciones opuestas (correlación negativa). </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Elaboración:</w:t>
      </w:r>
    </w:p>
    <w:p w:rsidR="005C44FB" w:rsidRDefault="005C44FB" w:rsidP="005C44FB">
      <w:pPr>
        <w:spacing w:line="240" w:lineRule="auto"/>
        <w:jc w:val="both"/>
        <w:rPr>
          <w:rFonts w:ascii="Times New Roman" w:hAnsi="Times New Roman" w:cs="Times New Roman"/>
          <w:color w:val="FF0000"/>
          <w:sz w:val="24"/>
          <w:szCs w:val="24"/>
        </w:rPr>
      </w:pPr>
      <w:r w:rsidRPr="00664D0C">
        <w:rPr>
          <w:rFonts w:ascii="Times New Roman" w:hAnsi="Times New Roman" w:cs="Times New Roman"/>
          <w:color w:val="FF0000"/>
          <w:sz w:val="24"/>
          <w:szCs w:val="24"/>
        </w:rPr>
        <w:t>La correlación en el contexto bursátil se refiere a la medida en que los movimientos de diferentes índices bursátiles están relaci</w:t>
      </w:r>
      <w:r>
        <w:rPr>
          <w:rFonts w:ascii="Times New Roman" w:hAnsi="Times New Roman" w:cs="Times New Roman"/>
          <w:color w:val="FF0000"/>
          <w:sz w:val="24"/>
          <w:szCs w:val="24"/>
        </w:rPr>
        <w:t>onados. Esta relación puede ser:</w:t>
      </w:r>
    </w:p>
    <w:p w:rsidR="005C44FB" w:rsidRPr="00664D0C" w:rsidRDefault="005C44FB" w:rsidP="005C44FB">
      <w:pPr>
        <w:spacing w:line="240" w:lineRule="auto"/>
        <w:jc w:val="both"/>
        <w:rPr>
          <w:rFonts w:ascii="Times New Roman" w:hAnsi="Times New Roman" w:cs="Times New Roman"/>
          <w:color w:val="FF0000"/>
          <w:sz w:val="24"/>
          <w:szCs w:val="24"/>
        </w:rPr>
      </w:pPr>
      <w:r w:rsidRPr="00664D0C">
        <w:rPr>
          <w:rFonts w:ascii="Times New Roman" w:hAnsi="Times New Roman" w:cs="Times New Roman"/>
          <w:color w:val="FF0000"/>
          <w:sz w:val="24"/>
          <w:szCs w:val="24"/>
        </w:rPr>
        <w:t xml:space="preserve"> -</w:t>
      </w:r>
      <w:r>
        <w:rPr>
          <w:rFonts w:ascii="Times New Roman" w:hAnsi="Times New Roman" w:cs="Times New Roman"/>
          <w:color w:val="FF0000"/>
          <w:sz w:val="24"/>
          <w:szCs w:val="24"/>
        </w:rPr>
        <w:t xml:space="preserve"> </w:t>
      </w:r>
      <w:r w:rsidRPr="00664D0C">
        <w:rPr>
          <w:rFonts w:ascii="Times New Roman" w:hAnsi="Times New Roman" w:cs="Times New Roman"/>
          <w:color w:val="FF0000"/>
          <w:sz w:val="24"/>
          <w:szCs w:val="24"/>
        </w:rPr>
        <w:t xml:space="preserve">Positiva: Los índices se mueven en la misma dirección. Por ejemplo, si el S&amp;P 500 sube, es probable que otros índices como el Euro Stoxx 50 también suban. </w:t>
      </w:r>
    </w:p>
    <w:p w:rsidR="005C44FB" w:rsidRPr="003820E2"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3820E2">
        <w:rPr>
          <w:rFonts w:ascii="Times New Roman" w:hAnsi="Times New Roman" w:cs="Times New Roman"/>
          <w:color w:val="FF0000"/>
          <w:sz w:val="24"/>
          <w:szCs w:val="24"/>
        </w:rPr>
        <w:t xml:space="preserve">Negativa: Los índices se mueven en direcciones opuestas. Por ejemplo, si el dólar estadounidense se fortalece, el precio del oro tiende a bajar. </w:t>
      </w:r>
    </w:p>
    <w:p w:rsidR="005C44FB" w:rsidRPr="003820E2"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3820E2">
        <w:rPr>
          <w:rFonts w:ascii="Times New Roman" w:hAnsi="Times New Roman" w:cs="Times New Roman"/>
          <w:color w:val="FF0000"/>
          <w:sz w:val="24"/>
          <w:szCs w:val="24"/>
        </w:rPr>
        <w:t xml:space="preserve">Nula o débil: No hay una relación clara entre los movimientos de los índices. </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Factores que influyen en la correlación:</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Región económica:</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 xml:space="preserve">Los índices de una misma región suelen estar más correlacionados, aunque pueden existir diferencias basadas en la composición sectorial. </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Factores macroeconómicos:</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 xml:space="preserve">Eventos como cambios en las tasas de interés, datos de inflación o políticas fiscales pueden afectar a varios índices simultáneamente. </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Correlaciones inversas:</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 xml:space="preserve">Algunos activos, como el oro y el dólar, a menudo tienen una correlación inversa, donde un aumento en uno se asocia con una disminución en el otro. </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Importancia para los inversores:</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Diversificación:</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 xml:space="preserve">Comprender las correlaciones ayuda a los inversores a construir carteras diversificadas, combinando activos con baja o negativa correlación para reducir el riesgo general. </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Identificación de tendencias:</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 xml:space="preserve">Las correlaciones positivas pueden ayudar a identificar tendencias y confirmar movimientos en otros índices relacionados. </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Estrategias de trading:</w:t>
      </w:r>
    </w:p>
    <w:p w:rsidR="005C44FB" w:rsidRPr="003820E2"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t xml:space="preserve">Las correlaciones pueden ser utilizadas para desarrollar estrategias de trading, aprovechando las divergencias entre activos correlacionados. </w:t>
      </w:r>
    </w:p>
    <w:p w:rsidR="005C44FB" w:rsidRDefault="005C44FB" w:rsidP="005C44FB">
      <w:pPr>
        <w:spacing w:line="240" w:lineRule="auto"/>
        <w:jc w:val="both"/>
        <w:rPr>
          <w:rFonts w:ascii="Times New Roman" w:hAnsi="Times New Roman" w:cs="Times New Roman"/>
          <w:color w:val="FF0000"/>
          <w:sz w:val="24"/>
          <w:szCs w:val="24"/>
        </w:rPr>
      </w:pPr>
      <w:r w:rsidRPr="003820E2">
        <w:rPr>
          <w:rFonts w:ascii="Times New Roman" w:hAnsi="Times New Roman" w:cs="Times New Roman"/>
          <w:color w:val="FF0000"/>
          <w:sz w:val="24"/>
          <w:szCs w:val="24"/>
        </w:rPr>
        <w:lastRenderedPageBreak/>
        <w:t>En resumen, la correlación entre índices bursátiles es un concepto importante para entender cómo se mueven los mercados y cómo los inversores pueden gestionar sus carteras y estrategias de trading.</w:t>
      </w:r>
    </w:p>
    <w:p w:rsidR="005C44FB" w:rsidRPr="000516D8" w:rsidRDefault="005C44FB" w:rsidP="005C44FB">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Vista creada con IA</w:t>
      </w:r>
    </w:p>
    <w:p w:rsidR="005C44FB" w:rsidRPr="000516D8"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b/>
          <w:color w:val="FF0000"/>
          <w:sz w:val="24"/>
          <w:szCs w:val="24"/>
        </w:rPr>
        <w:t>Las críticas a las correlaciones entre índices bursátiles se centran en su inestabilidad y falta de fiabilidad a largo plazo</w:t>
      </w:r>
      <w:r w:rsidRPr="000516D8">
        <w:rPr>
          <w:rFonts w:ascii="Times New Roman" w:hAnsi="Times New Roman" w:cs="Times New Roman"/>
          <w:color w:val="FF0000"/>
          <w:sz w:val="24"/>
          <w:szCs w:val="24"/>
        </w:rPr>
        <w:t xml:space="preserve">. Aunque las correlaciones pueden proporcionar información valiosa sobre las relaciones entre diferentes mercados, también pueden cambiar drásticamente con el tiempo, especialmente durante crisis económicas o cambios en las políticas monetarias. Además, las correlaciones no siempre son un indicador perfecto del comportamiento futuro de los activos y pueden llevar a decisiones de inversión erróneas si se toman como una verdad absoluta. </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A continuación, se detallan algunas de las principales críticas:</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Inestabilidad de las correlaciones:</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 xml:space="preserve">Las correlaciones entre índices bursátiles no son constantes y pueden cambiar con el tiempo, especialmente durante períodos de alta volatilidad o cambios en las políticas económicas. </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Falta de fiabilidad a largo plazo:</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 xml:space="preserve">Si bien las correlaciones pueden ser útiles a corto plazo, no son una garantía de comportamiento futuro. Un activo que ha mostrado correlación positiva con otro en el pasado puede dejar de tenerla en el futuro, especialmente en situaciones económicas cambiantes. </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Riesgo de tomar decisiones erróneas:</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 xml:space="preserve">Basar las decisiones de inversión únicamente en correlaciones puede ser peligroso. Si se asume que una correlación observada se mantendrá, se pueden tomar decisiones erróneas que resulten en pérdidas financieras. </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No todas las correlaciones son iguales:</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 xml:space="preserve">La fuerza de la correlación puede variar considerablemente entre diferentes índices bursátiles y pares de divisas. </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Limitaciones en el uso de correlaciones como señales de operación:</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 xml:space="preserve">Si bien una alta correlación puede indicar una relación fuerte, no necesariamente implica que se pueda utilizar como señal para operar. Por ejemplo, una correlación inversa entre un índice y un par de divisas no indica la magnitud de los movimientos, solo la dirección. </w:t>
      </w:r>
    </w:p>
    <w:p w:rsidR="005C44FB"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En resumen, aunque las correlaciones pueden ser una herramienta útil para entender las relaciones entre diferentes activos, es crucial no confiar en ellas ciegamente y considerar otros factores antes de tomar decisiones de inversión. Las correlaciones pueden cambiar, y las decisiones basadas únicamente en ellas pueden llevar a errores costosos.</w:t>
      </w:r>
    </w:p>
    <w:p w:rsidR="005C44FB" w:rsidRPr="000516D8" w:rsidRDefault="005C44FB" w:rsidP="005C44FB">
      <w:pPr>
        <w:spacing w:line="240" w:lineRule="auto"/>
        <w:jc w:val="both"/>
        <w:rPr>
          <w:rFonts w:ascii="Times New Roman" w:hAnsi="Times New Roman" w:cs="Times New Roman"/>
          <w:b/>
          <w:color w:val="FF0000"/>
          <w:sz w:val="24"/>
          <w:szCs w:val="24"/>
        </w:rPr>
      </w:pPr>
      <w:r w:rsidRPr="000516D8">
        <w:rPr>
          <w:rFonts w:ascii="Times New Roman" w:hAnsi="Times New Roman" w:cs="Times New Roman"/>
          <w:b/>
          <w:color w:val="FF0000"/>
          <w:sz w:val="24"/>
          <w:szCs w:val="24"/>
        </w:rPr>
        <w:t>Vista creada con IA</w:t>
      </w:r>
    </w:p>
    <w:p w:rsidR="005C44FB" w:rsidRPr="000516D8"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b/>
          <w:color w:val="FF0000"/>
          <w:sz w:val="24"/>
          <w:szCs w:val="24"/>
        </w:rPr>
        <w:t>La correlación entre los índices de la Bolsa de Nueva York (NYSE) y otras bolsas internacionales, aunque generalmente alta, no es perfecta y presenta críticas importantes</w:t>
      </w:r>
      <w:r w:rsidRPr="000516D8">
        <w:rPr>
          <w:rFonts w:ascii="Times New Roman" w:hAnsi="Times New Roman" w:cs="Times New Roman"/>
          <w:color w:val="FF0000"/>
          <w:sz w:val="24"/>
          <w:szCs w:val="24"/>
        </w:rPr>
        <w:t xml:space="preserve">. Si bien existe una tendencia general a moverse en la misma dirección </w:t>
      </w:r>
      <w:r w:rsidRPr="000516D8">
        <w:rPr>
          <w:rFonts w:ascii="Times New Roman" w:hAnsi="Times New Roman" w:cs="Times New Roman"/>
          <w:color w:val="FF0000"/>
          <w:sz w:val="24"/>
          <w:szCs w:val="24"/>
        </w:rPr>
        <w:lastRenderedPageBreak/>
        <w:t xml:space="preserve">(especialmente en tendencias alcistas), las diferencias en la composición de los índices, los factores específicos de cada mercado y la influencia de eventos locales pueden generar desviaciones significativas. </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Críticas principales a la correlación:</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No es perfecta:</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 xml:space="preserve">Aunque la correlación sea alta, no significa que los movimientos sean idénticos. Factores como la composición del índice (un índice muy concentrado en un sector puede moverse de manera diferente a uno más diversificado), la liquidez de los mercados y las políticas económicas locales pueden generar divergencias. </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Impacto de eventos locales:</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 xml:space="preserve">Eventos específicos de un país o región pueden afectar su mercado de manera más pronunciada que a otros. Por ejemplo, una crisis política en un país puede no tener el mismo impacto en la bolsa de otro país con una economía más estable. </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Diferencias en la composición de los índices:</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 xml:space="preserve">Los índices de diferentes países tienen distintas composiciones. Un índice dominado por empresas tecnológicas, como el NASDAQ, puede responder de manera diferente a un índice más general como el S&amp;P 500 o a índices de otros países con diferentes sectores. </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Asimetría en la respuesta:</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 xml:space="preserve">La correlación puede ser más fuerte en movimientos alcistas que en bajistas. Los mercados tienden a seguir las tendencias alcistas de Estados Unidos, pero pueden reaccionar de manera más diversa ante caídas, especialmente si hay factores locales que agravan la situación. </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 xml:space="preserve">Efecto </w:t>
      </w:r>
      <w:r>
        <w:rPr>
          <w:rFonts w:ascii="Times New Roman" w:hAnsi="Times New Roman" w:cs="Times New Roman"/>
          <w:color w:val="FF0000"/>
          <w:sz w:val="24"/>
          <w:szCs w:val="24"/>
        </w:rPr>
        <w:t>“motor” de EEUU</w:t>
      </w:r>
      <w:r w:rsidRPr="000516D8">
        <w:rPr>
          <w:rFonts w:ascii="Times New Roman" w:hAnsi="Times New Roman" w:cs="Times New Roman"/>
          <w:color w:val="FF0000"/>
          <w:sz w:val="24"/>
          <w:szCs w:val="24"/>
        </w:rPr>
        <w:t>:</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Si bien las bolsas internacionales su</w:t>
      </w:r>
      <w:r>
        <w:rPr>
          <w:rFonts w:ascii="Times New Roman" w:hAnsi="Times New Roman" w:cs="Times New Roman"/>
          <w:color w:val="FF0000"/>
          <w:sz w:val="24"/>
          <w:szCs w:val="24"/>
        </w:rPr>
        <w:t>elen seguir la tendencia de EEUU</w:t>
      </w:r>
      <w:r w:rsidRPr="000516D8">
        <w:rPr>
          <w:rFonts w:ascii="Times New Roman" w:hAnsi="Times New Roman" w:cs="Times New Roman"/>
          <w:color w:val="FF0000"/>
          <w:sz w:val="24"/>
          <w:szCs w:val="24"/>
        </w:rPr>
        <w:t>, la correlación no implica c</w:t>
      </w:r>
      <w:r>
        <w:rPr>
          <w:rFonts w:ascii="Times New Roman" w:hAnsi="Times New Roman" w:cs="Times New Roman"/>
          <w:color w:val="FF0000"/>
          <w:sz w:val="24"/>
          <w:szCs w:val="24"/>
        </w:rPr>
        <w:t>ausalidad. La influencia de EEUU</w:t>
      </w:r>
      <w:r w:rsidRPr="000516D8">
        <w:rPr>
          <w:rFonts w:ascii="Times New Roman" w:hAnsi="Times New Roman" w:cs="Times New Roman"/>
          <w:color w:val="FF0000"/>
          <w:sz w:val="24"/>
          <w:szCs w:val="24"/>
        </w:rPr>
        <w:t xml:space="preserve"> puede ser más pronunciada en algunos mercados que en otros. </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Diversificación:</w:t>
      </w:r>
    </w:p>
    <w:p w:rsidR="005C44FB" w:rsidRPr="000516D8"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 xml:space="preserve">A pesar de la correlación, la diversificación internacional sigue siendo importante para mitigar riesgos, ya que la correlación no es perfecta y los mercados pueden moverse de manera diferente. </w:t>
      </w:r>
    </w:p>
    <w:p w:rsidR="005C44FB" w:rsidRDefault="005C44FB" w:rsidP="005C44FB">
      <w:pPr>
        <w:spacing w:line="240" w:lineRule="auto"/>
        <w:jc w:val="both"/>
        <w:rPr>
          <w:rFonts w:ascii="Times New Roman" w:hAnsi="Times New Roman" w:cs="Times New Roman"/>
          <w:color w:val="FF0000"/>
          <w:sz w:val="24"/>
          <w:szCs w:val="24"/>
        </w:rPr>
      </w:pPr>
      <w:r w:rsidRPr="000516D8">
        <w:rPr>
          <w:rFonts w:ascii="Times New Roman" w:hAnsi="Times New Roman" w:cs="Times New Roman"/>
          <w:color w:val="FF0000"/>
          <w:sz w:val="24"/>
          <w:szCs w:val="24"/>
        </w:rPr>
        <w:t>En resumen, aunque la correlación entre los índices bursátiles internacionales es un fenómeno común, existen críticas importantes que resaltan las limitaciones de esta relación. Es crucial considerar las diferencias en la composición de los índices, los factores locales y la asimetría en la respuesta para una comprensión más completa de los mercados.</w:t>
      </w:r>
    </w:p>
    <w:p w:rsidR="005C44FB" w:rsidRPr="00B57DCF" w:rsidRDefault="005C44FB" w:rsidP="005C44FB">
      <w:pPr>
        <w:spacing w:line="240" w:lineRule="auto"/>
        <w:jc w:val="both"/>
        <w:rPr>
          <w:rFonts w:ascii="Times New Roman" w:hAnsi="Times New Roman" w:cs="Times New Roman"/>
          <w:b/>
          <w:color w:val="FF0000"/>
          <w:sz w:val="24"/>
          <w:szCs w:val="24"/>
        </w:rPr>
      </w:pPr>
      <w:r w:rsidRPr="00B57DCF">
        <w:rPr>
          <w:rFonts w:ascii="Times New Roman" w:hAnsi="Times New Roman" w:cs="Times New Roman"/>
          <w:b/>
          <w:color w:val="FF0000"/>
          <w:sz w:val="24"/>
          <w:szCs w:val="24"/>
        </w:rPr>
        <w:t>Vista creada con IA</w:t>
      </w:r>
    </w:p>
    <w:p w:rsidR="005C44FB"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b/>
          <w:color w:val="FF0000"/>
          <w:sz w:val="24"/>
          <w:szCs w:val="24"/>
        </w:rPr>
        <w:t>La correlación entre índices bursátiles puede ser un concepto engañoso</w:t>
      </w:r>
      <w:r w:rsidRPr="00B57DCF">
        <w:rPr>
          <w:rFonts w:ascii="Times New Roman" w:hAnsi="Times New Roman" w:cs="Times New Roman"/>
          <w:color w:val="FF0000"/>
          <w:sz w:val="24"/>
          <w:szCs w:val="24"/>
        </w:rPr>
        <w:t xml:space="preserve">. Aunque a menudo se espera que los índices se muevan en conjunto, en la práctica, las correlaciones pueden ser complejas y no siempre predecibles, especialmente a corto plazo. Factores como </w:t>
      </w:r>
      <w:r w:rsidRPr="00B57DCF">
        <w:rPr>
          <w:rFonts w:ascii="Times New Roman" w:hAnsi="Times New Roman" w:cs="Times New Roman"/>
          <w:color w:val="FF0000"/>
          <w:sz w:val="24"/>
          <w:szCs w:val="24"/>
        </w:rPr>
        <w:lastRenderedPageBreak/>
        <w:t>la volatilidad del mercado, el comportamiento de los inversores y eventos inesperados pueden llevar a desviaciones significativas entre los movimientos de diferentes índices.</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Factores que afectan la correlación entre índices:</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Factores económicos:</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 xml:space="preserve">Cambios en las tasas de interés, la inflación, el crecimiento económico y las políticas monetarias pueden afectar a diferentes sectores y economías de manera desigual, lo que puede llevar a divergencias en el rendimiento de los índices. </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Factores específicos del mercado:</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 xml:space="preserve">La composición de los índices, las industrias predominantes y los eventos específicos de cada mercado pueden influir en su rendimiento relativo. </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Comportamiento de los inversores:</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 xml:space="preserve">El sentimiento del mercado, las estrategias de inversión y la psicología de los inversores pueden generar movimientos inesperados en los índices, incluso si las condiciones económicas son similares. </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Factores externos:</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 xml:space="preserve">Eventos globales, como conflictos geopolíticos, desastres naturales o pandemias, pueden tener impactos diferentes en diferentes mercados y afectar la correlación entre índices. </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Ejemplos de falta de correlación:</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Mercados emergentes y desarrollados:</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 xml:space="preserve">Los mercados emergentes a menudo muestran una mayor volatilidad y pueden moverse de manera diferente a los mercados desarrollados, incluso en períodos de crecimiento económico global. </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Sectores específicos:</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 xml:space="preserve">Algunos sectores, como el tecnológico o el energético, pueden tener ciclos de crecimiento y declive distintos, lo que puede llevar a una falta de correlación entre los índices que los representan. </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Oro y mercados bursátiles:</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 xml:space="preserve">Históricamente, el oro se ha considerado un activo refugio, por lo que tiende a subir cuando los mercados bursátiles caen. Sin embargo, esta correlación puede no ser constante y puede depender de diversos factores. </w:t>
      </w:r>
    </w:p>
    <w:p w:rsidR="005C44FB" w:rsidRPr="00B57DCF"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Conclusión:</w:t>
      </w:r>
    </w:p>
    <w:p w:rsidR="005C44FB" w:rsidRDefault="005C44FB" w:rsidP="005C44FB">
      <w:pPr>
        <w:spacing w:line="240" w:lineRule="auto"/>
        <w:jc w:val="both"/>
        <w:rPr>
          <w:rFonts w:ascii="Times New Roman" w:hAnsi="Times New Roman" w:cs="Times New Roman"/>
          <w:color w:val="FF0000"/>
          <w:sz w:val="24"/>
          <w:szCs w:val="24"/>
        </w:rPr>
      </w:pPr>
      <w:r w:rsidRPr="00B57DCF">
        <w:rPr>
          <w:rFonts w:ascii="Times New Roman" w:hAnsi="Times New Roman" w:cs="Times New Roman"/>
          <w:color w:val="FF0000"/>
          <w:sz w:val="24"/>
          <w:szCs w:val="24"/>
        </w:rPr>
        <w:t>Si bien la correlación entre índices bursátiles puede ser una herramienta útil para la toma de decisiones de inversión, es importante recordar que no es una ciencia exacta. Los inversores deben ser conscientes de los factores que pueden afectar la correlación y no depender exclusivamente de ella para predecir el comportamiento del mercado. La diversificación y la gestión del riesgo son fundamentales para navegar en un entorno de mercado complejo y dinámico.</w:t>
      </w:r>
    </w:p>
    <w:p w:rsidR="005C44FB" w:rsidRDefault="005C44FB" w:rsidP="005C44FB">
      <w:pPr>
        <w:spacing w:line="240" w:lineRule="auto"/>
        <w:jc w:val="both"/>
        <w:rPr>
          <w:rFonts w:ascii="Times New Roman" w:hAnsi="Times New Roman" w:cs="Times New Roman"/>
          <w:b/>
          <w:color w:val="FF0000"/>
          <w:sz w:val="24"/>
          <w:szCs w:val="24"/>
        </w:rPr>
      </w:pPr>
      <w:r w:rsidRPr="0079499A">
        <w:rPr>
          <w:rFonts w:ascii="Times New Roman" w:hAnsi="Times New Roman" w:cs="Times New Roman"/>
          <w:b/>
          <w:color w:val="FF0000"/>
          <w:sz w:val="24"/>
          <w:szCs w:val="24"/>
        </w:rPr>
        <w:lastRenderedPageBreak/>
        <w:t>Vista creada con IA</w:t>
      </w:r>
    </w:p>
    <w:p w:rsidR="005C44FB" w:rsidRDefault="005C44FB" w:rsidP="005C44FB">
      <w:pPr>
        <w:spacing w:line="240" w:lineRule="auto"/>
        <w:jc w:val="both"/>
        <w:rPr>
          <w:rFonts w:ascii="Times New Roman" w:hAnsi="Times New Roman" w:cs="Times New Roman"/>
          <w:b/>
          <w:color w:val="FF0000"/>
          <w:sz w:val="24"/>
          <w:szCs w:val="24"/>
        </w:rPr>
      </w:pPr>
      <w:r w:rsidRPr="00656261">
        <w:rPr>
          <w:rFonts w:ascii="Times New Roman" w:hAnsi="Times New Roman" w:cs="Times New Roman"/>
          <w:b/>
          <w:color w:val="FF0000"/>
          <w:sz w:val="24"/>
          <w:szCs w:val="24"/>
        </w:rPr>
        <w:t xml:space="preserve">El índice Nikkei 225 de Japón y el Dow Jones de Estados Unidos muestran una correlación generalmente positiva, lo que significa que tienden a moverse en la misma dirección. Sin embargo, la fuerza de esta correlación puede variar y no siempre es perfecta. </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Explicación:</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Correlación positiva:</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 xml:space="preserve">Un índice de correlación positivo indica que cuando un índice sube, es probable que el otro también suba, y viceversa. </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Factores que influyen:</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La correlación entre el Nikkei y el Dow Jones puede verse influenciada por diversos factores, como:</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 xml:space="preserve">Conexiones económicas: Japón y Estados Unidos son importantes socios comerciales y sus economías están interconectadas. </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 xml:space="preserve">Eventos globales: Noticias económicas, políticas o incluso eventos globales pueden afectar a ambos mercados. </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 xml:space="preserve">Sentimiento del mercado: El optimismo o pesimismo general en los mercados financieros puede influir en ambos índices. </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Volatilidad:</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 xml:space="preserve">El Nikkei 225 puede ser más volátil que el Dow Jones, lo que significa que sus movimientos pueden ser más rápidos y pronunciados. </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Análisis técnico:</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 xml:space="preserve">Los traders e inversores a menudo utilizan herramientas de análisis técnico para evaluar la correlación y tomar decisiones comerciales. </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En resumen: Aunque existe una correlación positiva, es importante considerar los factores específicos que pueden afectar a cada índice y no asumir que se moverán exactamente igual en todo momento.</w:t>
      </w:r>
    </w:p>
    <w:p w:rsidR="005C44FB" w:rsidRPr="0079499A"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b/>
          <w:color w:val="FF0000"/>
          <w:sz w:val="24"/>
          <w:szCs w:val="24"/>
        </w:rPr>
        <w:t>La correlación entre el Nikkei 225 y el Dow Jones no es inherentemente absurda, pero su relación puede variar significativamente</w:t>
      </w:r>
      <w:r w:rsidRPr="0079499A">
        <w:rPr>
          <w:rFonts w:ascii="Times New Roman" w:hAnsi="Times New Roman" w:cs="Times New Roman"/>
          <w:color w:val="FF0000"/>
          <w:sz w:val="24"/>
          <w:szCs w:val="24"/>
        </w:rPr>
        <w:t xml:space="preserve">. Si bien ambos son índices bursátiles importantes, representan mercados y economías diferentes, con diferentes factores que los influyen. La correlación entre ellos puede ser alta en ciertos momentos, impulsada por factores globales como el sentimiento de riesgo o las políticas monetarias de los bancos centrales, pero también puede haber períodos de divergencia donde los movimientos de uno no se reflejan en el otro. </w:t>
      </w:r>
    </w:p>
    <w:p w:rsidR="005C44FB" w:rsidRPr="0079499A"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t>Explicación:</w:t>
      </w:r>
    </w:p>
    <w:p w:rsidR="005C44FB" w:rsidRPr="0079499A"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t>Diferentes mercados:</w:t>
      </w:r>
    </w:p>
    <w:p w:rsidR="005C44FB" w:rsidRPr="0079499A"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lastRenderedPageBreak/>
        <w:t xml:space="preserve">El Nikkei 225 representa el mercado de valores japonés, mientras que el Dow Jones se centra en las 30 empresas más grandes de Estados Unidos. </w:t>
      </w:r>
    </w:p>
    <w:p w:rsidR="005C44FB" w:rsidRPr="0079499A"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t>Factores locales:</w:t>
      </w:r>
    </w:p>
    <w:p w:rsidR="005C44FB" w:rsidRPr="0079499A"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t xml:space="preserve">Cada índice está sujeto a factores específicos de su mercado local, como la política económica del país, el desempeño de las empresas individuales, las tasas de interés, etc. </w:t>
      </w:r>
    </w:p>
    <w:p w:rsidR="005C44FB" w:rsidRPr="0079499A"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t>Factores globales:</w:t>
      </w:r>
    </w:p>
    <w:p w:rsidR="005C44FB" w:rsidRPr="0079499A"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t xml:space="preserve">Ambos índices pueden verse influenciados por factores globales como el crecimiento económico mundial, las tasas de interés internacionales, el sentimiento de riesgo, etc. </w:t>
      </w:r>
    </w:p>
    <w:p w:rsidR="005C44FB" w:rsidRPr="0079499A"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t>Correlación variable:</w:t>
      </w:r>
    </w:p>
    <w:p w:rsidR="005C44FB" w:rsidRPr="0079499A"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t xml:space="preserve">La correlación entre ambos índices puede cambiar con el tiempo. En momentos de alta volatilidad o incertidumbre, la correlación puede ser más fuerte, ya que los inversores pueden buscar refugio en activos considerados seguros, como el yen japonés (en el caso del Nikkei) o el dólar estadounidense (en el caso del Dow Jones). </w:t>
      </w:r>
    </w:p>
    <w:p w:rsidR="005C44FB" w:rsidRPr="0079499A"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t>Ejemplos:</w:t>
      </w:r>
    </w:p>
    <w:p w:rsidR="005C44FB" w:rsidRPr="0079499A"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t xml:space="preserve">Alta correlación: En situaciones donde hay un fuerte sentimiento de riesgo a nivel global, es posible que ambos índices caigan o suban juntos. </w:t>
      </w:r>
    </w:p>
    <w:p w:rsidR="005C44FB" w:rsidRPr="0079499A"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t>Baja correlación: En otros momentos, puede haber divergencias. Por ejemplo, si el Banco de Japón decide mantener tasas de interés bajas para estimular la economía, mientra</w:t>
      </w:r>
      <w:r>
        <w:rPr>
          <w:rFonts w:ascii="Times New Roman" w:hAnsi="Times New Roman" w:cs="Times New Roman"/>
          <w:color w:val="FF0000"/>
          <w:sz w:val="24"/>
          <w:szCs w:val="24"/>
        </w:rPr>
        <w:t>s que la Reserva Federal de EEUU</w:t>
      </w:r>
      <w:r w:rsidRPr="0079499A">
        <w:rPr>
          <w:rFonts w:ascii="Times New Roman" w:hAnsi="Times New Roman" w:cs="Times New Roman"/>
          <w:color w:val="FF0000"/>
          <w:sz w:val="24"/>
          <w:szCs w:val="24"/>
        </w:rPr>
        <w:t xml:space="preserve"> sube las tasas para combatir la inflación, el Nikkei y el Dow Jones podrían moverse en direcciones opuestas. </w:t>
      </w:r>
    </w:p>
    <w:p w:rsidR="005C44FB" w:rsidRDefault="005C44FB" w:rsidP="005C44FB">
      <w:pPr>
        <w:spacing w:line="240" w:lineRule="auto"/>
        <w:jc w:val="both"/>
        <w:rPr>
          <w:rFonts w:ascii="Times New Roman" w:hAnsi="Times New Roman" w:cs="Times New Roman"/>
          <w:color w:val="FF0000"/>
          <w:sz w:val="24"/>
          <w:szCs w:val="24"/>
        </w:rPr>
      </w:pPr>
      <w:r w:rsidRPr="0079499A">
        <w:rPr>
          <w:rFonts w:ascii="Times New Roman" w:hAnsi="Times New Roman" w:cs="Times New Roman"/>
          <w:color w:val="FF0000"/>
          <w:sz w:val="24"/>
          <w:szCs w:val="24"/>
        </w:rPr>
        <w:t>En resumen, la correlación entre el Nikkei y el Dow Jones no es un reflejo directo de la economía global, sino una combinación de factores locales y globales que pueden llevar a movimientos similares o divergentes en los índices.</w:t>
      </w:r>
    </w:p>
    <w:p w:rsidR="005C44FB" w:rsidRDefault="005C44FB" w:rsidP="005C44FB">
      <w:pPr>
        <w:spacing w:line="240" w:lineRule="auto"/>
        <w:jc w:val="both"/>
        <w:rPr>
          <w:rFonts w:ascii="Times New Roman" w:hAnsi="Times New Roman" w:cs="Times New Roman"/>
          <w:b/>
          <w:color w:val="FF0000"/>
          <w:sz w:val="24"/>
          <w:szCs w:val="24"/>
        </w:rPr>
      </w:pPr>
      <w:r w:rsidRPr="007718B2">
        <w:rPr>
          <w:rFonts w:ascii="Times New Roman" w:hAnsi="Times New Roman" w:cs="Times New Roman"/>
          <w:b/>
          <w:color w:val="FF0000"/>
          <w:sz w:val="24"/>
          <w:szCs w:val="24"/>
        </w:rPr>
        <w:t>Vista creada con IA</w:t>
      </w:r>
    </w:p>
    <w:p w:rsidR="005C44FB" w:rsidRPr="00656261" w:rsidRDefault="005C44FB" w:rsidP="005C44FB">
      <w:pPr>
        <w:spacing w:line="240" w:lineRule="auto"/>
        <w:jc w:val="both"/>
        <w:rPr>
          <w:rFonts w:ascii="Times New Roman" w:hAnsi="Times New Roman" w:cs="Times New Roman"/>
          <w:b/>
          <w:color w:val="FF0000"/>
          <w:sz w:val="24"/>
          <w:szCs w:val="24"/>
        </w:rPr>
      </w:pPr>
      <w:r w:rsidRPr="00656261">
        <w:rPr>
          <w:rFonts w:ascii="Times New Roman" w:hAnsi="Times New Roman" w:cs="Times New Roman"/>
          <w:b/>
          <w:color w:val="FF0000"/>
          <w:sz w:val="24"/>
          <w:szCs w:val="24"/>
        </w:rPr>
        <w:t xml:space="preserve">La correlación entre el Nikkei 225 (índice bursátil de Japón) y el S&amp;P 500 (índice bursátil de Estados Unidos) históricamente ha sido baja, lo que significa que los movimientos de un índice no predicen necesariamente los movimientos del otro. Sin embargo, la correlación puede variar con el tiempo y en diferentes condiciones de mercado. </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El Nikkei 225 y el S&amp;P 500 son índices diferentes y representan mercados distintos:</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Nikkei 225:</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 xml:space="preserve">Representa a las 225 empresas más grandes y líquidas que cotizan en la Bolsa de Tokio, principalmente del sector tecnológico y manufacturero. </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S&amp;P 500:</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 xml:space="preserve">Representa a las 500 empresas más grandes de Estados Unidos, con una mayor diversificación de sectores. </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Factores que influyen en la correlación:</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lastRenderedPageBreak/>
        <w:t>Factores económicos globales:</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La economía global, las tasas de interés, las políticas monetarias y los eventos geopolíticos pueden afectar a ambos mercados, aunque no siempre de la misma manera.</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Factores específicos de cada mercado:</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Las políticas del Banco de Japón y el tipo de cambio del yen pueden influir en el Nikkei, mientras que las políticas de la Reserva Federal y el desempeño de las empresas estadounidenses impactan al S&amp;P 500.</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Sentimiento de los inversores:</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 xml:space="preserve">El comportamiento de los inversores y su apetito por el riesgo también pueden influir en la correlación. </w:t>
      </w:r>
    </w:p>
    <w:p w:rsidR="005C44FB" w:rsidRPr="00656261" w:rsidRDefault="005C44FB" w:rsidP="005C44FB">
      <w:pPr>
        <w:spacing w:line="240" w:lineRule="auto"/>
        <w:jc w:val="both"/>
        <w:rPr>
          <w:rFonts w:ascii="Times New Roman" w:hAnsi="Times New Roman" w:cs="Times New Roman"/>
          <w:color w:val="FF0000"/>
          <w:sz w:val="24"/>
          <w:szCs w:val="24"/>
        </w:rPr>
      </w:pPr>
      <w:r w:rsidRPr="00656261">
        <w:rPr>
          <w:rFonts w:ascii="Times New Roman" w:hAnsi="Times New Roman" w:cs="Times New Roman"/>
          <w:color w:val="FF0000"/>
          <w:sz w:val="24"/>
          <w:szCs w:val="24"/>
        </w:rPr>
        <w:t>En resumen: Si bien la correlación entre el Nikkei y el S&amp;P 500 no es alta, no se puede ignorar la influencia de los factores económicos globales y específicos de cada mercado. Es importante analizar ambos índices por separado, considerando sus componentes y las dinámicas específicas de cada mercado, así como su relación con otros factores.</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b/>
          <w:color w:val="FF0000"/>
          <w:sz w:val="24"/>
          <w:szCs w:val="24"/>
        </w:rPr>
        <w:t>La correlación entre el Nikkei 225 y el S&amp;P 500 no es perfecta, y aunque a veces pueden moverse en la misma dirección, existen factores que pueden causar divergencias significativas</w:t>
      </w:r>
      <w:r w:rsidRPr="007718B2">
        <w:rPr>
          <w:rFonts w:ascii="Times New Roman" w:hAnsi="Times New Roman" w:cs="Times New Roman"/>
          <w:color w:val="FF0000"/>
          <w:sz w:val="24"/>
          <w:szCs w:val="24"/>
        </w:rPr>
        <w:t xml:space="preserve">. El Nikkei, representando al mercado japonés, se ve influenciado por factores locales como el tipo de cambio del yen, las políticas del Banco de Japón y la dependencia de las exportaciones, mientras que el S&amp;P 500, que refleja el mercado estadounidense, está más sujeto a las decisiones de la Reserva Federal y a dinámicas internas de la economía estadounidense. </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t>Factores que influyen en la correlación:</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t>Composición del índice:</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t xml:space="preserve">El Nikkei 225 se centra en empresas japonesas, mientras que el S&amp;P 500 incluye una amplia gama de empresas estadounidenses de gran capitalización. </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t>Factores económicos:</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t xml:space="preserve">Las economías de Japón y Estados Unidos tienen dinámicas distintas, con diferentes ciclos económicos y políticas monetarias, lo que puede llevar a movimientos divergentes de los índices. </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t>Tipo de cambio:</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t xml:space="preserve">El yen japonés tiene un impacto significativo en el Nikkei, ya que un yen más débil puede beneficiar a las exportaciones japonesas, mientras que un yen fuerte puede perjudicarlas. Las fluctuaciones del tipo de cambio no afectan directamente al S&amp;P 500. </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t>Políticas monetarias:</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t xml:space="preserve">Las decisiones del Banco de Japón sobre tasas de interés y otras políticas monetarias pueden tener un impacto en el Nikkei que no necesariamente se refleja en el S&amp;P 500, y viceversa. </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t>Eventos globales:</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lastRenderedPageBreak/>
        <w:t xml:space="preserve">Aunque ambos índices pueden verse afectados por eventos globales, la magnitud y la forma en que reaccionan pueden variar. </w:t>
      </w:r>
    </w:p>
    <w:p w:rsidR="005C44FB" w:rsidRPr="007718B2"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t>En resumen:</w:t>
      </w:r>
    </w:p>
    <w:p w:rsidR="005C44FB" w:rsidRDefault="005C44FB" w:rsidP="005C44FB">
      <w:pPr>
        <w:spacing w:line="240" w:lineRule="auto"/>
        <w:jc w:val="both"/>
        <w:rPr>
          <w:rFonts w:ascii="Times New Roman" w:hAnsi="Times New Roman" w:cs="Times New Roman"/>
          <w:color w:val="FF0000"/>
          <w:sz w:val="24"/>
          <w:szCs w:val="24"/>
        </w:rPr>
      </w:pPr>
      <w:r w:rsidRPr="007718B2">
        <w:rPr>
          <w:rFonts w:ascii="Times New Roman" w:hAnsi="Times New Roman" w:cs="Times New Roman"/>
          <w:color w:val="FF0000"/>
          <w:sz w:val="24"/>
          <w:szCs w:val="24"/>
        </w:rPr>
        <w:t>La correlación entre el Nikkei y el S&amp;P 500 no es constante, y existen diferencias significativas en la composición de los índices, los factores económicos que los afectan y las políticas monetarias de cada país, lo que puede llevar a divergencias en sus movimientos.</w:t>
      </w:r>
    </w:p>
    <w:p w:rsidR="005C44FB" w:rsidRPr="008022DC" w:rsidRDefault="005C44FB" w:rsidP="005C44FB">
      <w:pPr>
        <w:spacing w:line="240" w:lineRule="auto"/>
        <w:jc w:val="both"/>
        <w:rPr>
          <w:rFonts w:ascii="Times New Roman" w:hAnsi="Times New Roman" w:cs="Times New Roman"/>
          <w:b/>
          <w:color w:val="FF0000"/>
          <w:sz w:val="24"/>
          <w:szCs w:val="24"/>
        </w:rPr>
      </w:pPr>
      <w:r w:rsidRPr="008022DC">
        <w:rPr>
          <w:rFonts w:ascii="Times New Roman" w:hAnsi="Times New Roman" w:cs="Times New Roman"/>
          <w:b/>
          <w:color w:val="FF0000"/>
          <w:sz w:val="24"/>
          <w:szCs w:val="24"/>
        </w:rPr>
        <w:t>U</w:t>
      </w:r>
      <w:r>
        <w:rPr>
          <w:rFonts w:ascii="Times New Roman" w:hAnsi="Times New Roman" w:cs="Times New Roman"/>
          <w:b/>
          <w:color w:val="FF0000"/>
          <w:sz w:val="24"/>
          <w:szCs w:val="24"/>
        </w:rPr>
        <w:t>na crí</w:t>
      </w:r>
      <w:r w:rsidRPr="008022DC">
        <w:rPr>
          <w:rFonts w:ascii="Times New Roman" w:hAnsi="Times New Roman" w:cs="Times New Roman"/>
          <w:b/>
          <w:color w:val="FF0000"/>
          <w:sz w:val="24"/>
          <w:szCs w:val="24"/>
        </w:rPr>
        <w:t>tica a la correlación entre el índice</w:t>
      </w:r>
      <w:r>
        <w:rPr>
          <w:rFonts w:ascii="Times New Roman" w:hAnsi="Times New Roman" w:cs="Times New Roman"/>
          <w:b/>
          <w:color w:val="FF0000"/>
          <w:sz w:val="24"/>
          <w:szCs w:val="24"/>
        </w:rPr>
        <w:t xml:space="preserve"> Dow Jones y el Índice N</w:t>
      </w:r>
      <w:r w:rsidRPr="008022DC">
        <w:rPr>
          <w:rFonts w:ascii="Times New Roman" w:hAnsi="Times New Roman" w:cs="Times New Roman"/>
          <w:b/>
          <w:color w:val="FF0000"/>
          <w:sz w:val="24"/>
          <w:szCs w:val="24"/>
        </w:rPr>
        <w:t>ikkei 225</w:t>
      </w:r>
    </w:p>
    <w:p w:rsidR="005C44FB" w:rsidRPr="005C44FB" w:rsidRDefault="005C44FB" w:rsidP="005C44FB">
      <w:pPr>
        <w:spacing w:line="240" w:lineRule="auto"/>
        <w:jc w:val="both"/>
        <w:rPr>
          <w:rFonts w:ascii="Times New Roman" w:hAnsi="Times New Roman" w:cs="Times New Roman"/>
          <w:color w:val="FF0000"/>
          <w:sz w:val="24"/>
          <w:szCs w:val="24"/>
        </w:rPr>
      </w:pPr>
      <w:r w:rsidRPr="005C44FB">
        <w:rPr>
          <w:rFonts w:ascii="Times New Roman" w:hAnsi="Times New Roman" w:cs="Times New Roman"/>
          <w:color w:val="FF0000"/>
          <w:sz w:val="24"/>
          <w:szCs w:val="24"/>
        </w:rPr>
        <w:t>ChatGPT Plus</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La correlación entre el índice Dow Jones Industrial Average (DJIA) y el Nikkei 225 es un tema interesante que ha generado diversas interpretaciones entre analistas financieros y economistas. A continuación, te presento una crítica fundamentada sobre esta correlación, abordando sus limitaciones, supuestos y posibles malinterpretaciones:</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Crítica a la correlación entre el Dow Jones y el Nikkei 225</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1. Correlación no implica causalidad</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Uno de los errores más comunes es asumir que una alta correlación entre el Dow Jones y el Nikkei 225 implica un</w:t>
      </w:r>
      <w:r>
        <w:rPr>
          <w:rFonts w:ascii="Times New Roman" w:hAnsi="Times New Roman" w:cs="Times New Roman"/>
          <w:color w:val="FF0000"/>
          <w:sz w:val="24"/>
          <w:szCs w:val="24"/>
        </w:rPr>
        <w:t>a relación causal. Sin embargo:</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La correlación puede surgir por factores comunes externos (como la política monetaria global, crisis financieras o fluctuacione</w:t>
      </w:r>
      <w:r>
        <w:rPr>
          <w:rFonts w:ascii="Times New Roman" w:hAnsi="Times New Roman" w:cs="Times New Roman"/>
          <w:color w:val="FF0000"/>
          <w:sz w:val="24"/>
          <w:szCs w:val="24"/>
        </w:rPr>
        <w:t>s en los precios del petróleo).</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No significa que el movimiento de un índic</w:t>
      </w:r>
      <w:r>
        <w:rPr>
          <w:rFonts w:ascii="Times New Roman" w:hAnsi="Times New Roman" w:cs="Times New Roman"/>
          <w:color w:val="FF0000"/>
          <w:sz w:val="24"/>
          <w:szCs w:val="24"/>
        </w:rPr>
        <w:t>e cause el movimiento del otro.</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2. Diferencias estructurales entre las economías</w:t>
      </w:r>
    </w:p>
    <w:p w:rsidR="005C44FB" w:rsidRPr="008022DC"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EEUU</w:t>
      </w:r>
      <w:r w:rsidRPr="008022DC">
        <w:rPr>
          <w:rFonts w:ascii="Times New Roman" w:hAnsi="Times New Roman" w:cs="Times New Roman"/>
          <w:color w:val="FF0000"/>
          <w:sz w:val="24"/>
          <w:szCs w:val="24"/>
        </w:rPr>
        <w:t xml:space="preserve"> (Dow Jones): Economía basada en el consumo, con un fuerte compo</w:t>
      </w:r>
      <w:r>
        <w:rPr>
          <w:rFonts w:ascii="Times New Roman" w:hAnsi="Times New Roman" w:cs="Times New Roman"/>
          <w:color w:val="FF0000"/>
          <w:sz w:val="24"/>
          <w:szCs w:val="24"/>
        </w:rPr>
        <w:t>nente tecnológico y financiero.</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 xml:space="preserve">Japón (Nikkei 225): Economía más orientada a la exportación, con fuerte peso en </w:t>
      </w:r>
      <w:r>
        <w:rPr>
          <w:rFonts w:ascii="Times New Roman" w:hAnsi="Times New Roman" w:cs="Times New Roman"/>
          <w:color w:val="FF0000"/>
          <w:sz w:val="24"/>
          <w:szCs w:val="24"/>
        </w:rPr>
        <w:t>manufactura e industria pesada.</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Estas diferencias hacen que los índices respondan de forma distinta a eventos globales. La correlación puede romperse fácilmente en tiempos de c</w:t>
      </w:r>
      <w:r>
        <w:rPr>
          <w:rFonts w:ascii="Times New Roman" w:hAnsi="Times New Roman" w:cs="Times New Roman"/>
          <w:color w:val="FF0000"/>
          <w:sz w:val="24"/>
          <w:szCs w:val="24"/>
        </w:rPr>
        <w:t>risis específicas de cada país.</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3. Desfase temporal y diferencias horarias</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El Nikkei opera muchas horas antes que el Dow Jones, debido a la di</w:t>
      </w:r>
      <w:r>
        <w:rPr>
          <w:rFonts w:ascii="Times New Roman" w:hAnsi="Times New Roman" w:cs="Times New Roman"/>
          <w:color w:val="FF0000"/>
          <w:sz w:val="24"/>
          <w:szCs w:val="24"/>
        </w:rPr>
        <w:t>ferencia horaria (13–14 horas).</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Esto introduce un desfase que puede dar una falsa impresió</w:t>
      </w:r>
      <w:r>
        <w:rPr>
          <w:rFonts w:ascii="Times New Roman" w:hAnsi="Times New Roman" w:cs="Times New Roman"/>
          <w:color w:val="FF0000"/>
          <w:sz w:val="24"/>
          <w:szCs w:val="24"/>
        </w:rPr>
        <w:t>n de que uno reacciona al otro.</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Muchas veces, los movimientos del Nikkei reflejan los de</w:t>
      </w:r>
      <w:r>
        <w:rPr>
          <w:rFonts w:ascii="Times New Roman" w:hAnsi="Times New Roman" w:cs="Times New Roman"/>
          <w:color w:val="FF0000"/>
          <w:sz w:val="24"/>
          <w:szCs w:val="24"/>
        </w:rPr>
        <w:t>l Dow del día anterior, no un “reflejo sincrónico”</w:t>
      </w:r>
      <w:r w:rsidRPr="008022DC">
        <w:rPr>
          <w:rFonts w:ascii="Times New Roman" w:hAnsi="Times New Roman" w:cs="Times New Roman"/>
          <w:color w:val="FF0000"/>
          <w:sz w:val="24"/>
          <w:szCs w:val="24"/>
        </w:rPr>
        <w:t xml:space="preserve"> del</w:t>
      </w:r>
      <w:r>
        <w:rPr>
          <w:rFonts w:ascii="Times New Roman" w:hAnsi="Times New Roman" w:cs="Times New Roman"/>
          <w:color w:val="FF0000"/>
          <w:sz w:val="24"/>
          <w:szCs w:val="24"/>
        </w:rPr>
        <w:t xml:space="preserve"> estado global de los mercados.</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4. Naturaleza distinta de los índices</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El Dow Jones está compuesto por solo 30 empresas, con un sesgo hacia las grand</w:t>
      </w:r>
      <w:r>
        <w:rPr>
          <w:rFonts w:ascii="Times New Roman" w:hAnsi="Times New Roman" w:cs="Times New Roman"/>
          <w:color w:val="FF0000"/>
          <w:sz w:val="24"/>
          <w:szCs w:val="24"/>
        </w:rPr>
        <w:t>es compañías industriales de EE</w:t>
      </w:r>
      <w:r w:rsidRPr="008022DC">
        <w:rPr>
          <w:rFonts w:ascii="Times New Roman" w:hAnsi="Times New Roman" w:cs="Times New Roman"/>
          <w:color w:val="FF0000"/>
          <w:sz w:val="24"/>
          <w:szCs w:val="24"/>
        </w:rPr>
        <w:t>UU.</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lastRenderedPageBreak/>
        <w:t>El Nikkei 225, aunque más amplio, también está ponderado por precio (como el Dow), lo que distorsiona el pes</w:t>
      </w:r>
      <w:r>
        <w:rPr>
          <w:rFonts w:ascii="Times New Roman" w:hAnsi="Times New Roman" w:cs="Times New Roman"/>
          <w:color w:val="FF0000"/>
          <w:sz w:val="24"/>
          <w:szCs w:val="24"/>
        </w:rPr>
        <w:t>o real de las empresas grandes.</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Esto hace que una correlación alta entre ambos índices no necesariamente represente una verdadera correlación entre sus respectivas economía</w:t>
      </w:r>
      <w:r>
        <w:rPr>
          <w:rFonts w:ascii="Times New Roman" w:hAnsi="Times New Roman" w:cs="Times New Roman"/>
          <w:color w:val="FF0000"/>
          <w:sz w:val="24"/>
          <w:szCs w:val="24"/>
        </w:rPr>
        <w:t>s o sectores bursátiles.</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5. Efecto de la política monetaria</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El Banco de Japón (BoJ) y la Reserva Federal (Fed) tienen políticas muy distintas. Japón ha mantenido tasas de interés ultrabajas d</w:t>
      </w:r>
      <w:r>
        <w:rPr>
          <w:rFonts w:ascii="Times New Roman" w:hAnsi="Times New Roman" w:cs="Times New Roman"/>
          <w:color w:val="FF0000"/>
          <w:sz w:val="24"/>
          <w:szCs w:val="24"/>
        </w:rPr>
        <w:t>urante décadas, mientras que EEUU</w:t>
      </w:r>
      <w:r w:rsidRPr="008022DC">
        <w:rPr>
          <w:rFonts w:ascii="Times New Roman" w:hAnsi="Times New Roman" w:cs="Times New Roman"/>
          <w:color w:val="FF0000"/>
          <w:sz w:val="24"/>
          <w:szCs w:val="24"/>
        </w:rPr>
        <w:t xml:space="preserve"> ha tenido ciclos más agresiv</w:t>
      </w:r>
      <w:r>
        <w:rPr>
          <w:rFonts w:ascii="Times New Roman" w:hAnsi="Times New Roman" w:cs="Times New Roman"/>
          <w:color w:val="FF0000"/>
          <w:sz w:val="24"/>
          <w:szCs w:val="24"/>
        </w:rPr>
        <w:t>os de ajuste monetario.</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Estas diferencias influyen directamente en las bolsas de cada país, afectando s</w:t>
      </w:r>
      <w:r>
        <w:rPr>
          <w:rFonts w:ascii="Times New Roman" w:hAnsi="Times New Roman" w:cs="Times New Roman"/>
          <w:color w:val="FF0000"/>
          <w:sz w:val="24"/>
          <w:szCs w:val="24"/>
        </w:rPr>
        <w:t>us índices de forma divergente.</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Segoe UI Symbol" w:hAnsi="Segoe UI Symbol" w:cs="Segoe UI Symbol"/>
          <w:color w:val="FF0000"/>
          <w:sz w:val="24"/>
          <w:szCs w:val="24"/>
        </w:rPr>
        <w:t>📌</w:t>
      </w:r>
      <w:r w:rsidRPr="008022DC">
        <w:rPr>
          <w:rFonts w:ascii="Times New Roman" w:hAnsi="Times New Roman" w:cs="Times New Roman"/>
          <w:color w:val="FF0000"/>
          <w:sz w:val="24"/>
          <w:szCs w:val="24"/>
        </w:rPr>
        <w:t xml:space="preserve"> Conclusión</w:t>
      </w:r>
    </w:p>
    <w:p w:rsidR="005C44FB" w:rsidRPr="008022DC"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Aunque puede haber momentos de alta correlación entre el Dow Jones y el Nikkei 225, especialmente durante eventos macroeconómicos globales, esta relación no debe interpretarse como permanente ni significativa desde un punto de vista estructural. La correlación observada suele ser superficial y responde más a reacciones cortoplacistas del mercado que a una verdad</w:t>
      </w:r>
      <w:r>
        <w:rPr>
          <w:rFonts w:ascii="Times New Roman" w:hAnsi="Times New Roman" w:cs="Times New Roman"/>
          <w:color w:val="FF0000"/>
          <w:sz w:val="24"/>
          <w:szCs w:val="24"/>
        </w:rPr>
        <w:t>era interdependencia económica.</w:t>
      </w:r>
    </w:p>
    <w:p w:rsidR="005C44FB" w:rsidRDefault="005C44FB" w:rsidP="005C44FB">
      <w:pPr>
        <w:spacing w:line="240" w:lineRule="auto"/>
        <w:jc w:val="both"/>
        <w:rPr>
          <w:rFonts w:ascii="Times New Roman" w:hAnsi="Times New Roman" w:cs="Times New Roman"/>
          <w:color w:val="FF0000"/>
          <w:sz w:val="24"/>
          <w:szCs w:val="24"/>
        </w:rPr>
      </w:pPr>
      <w:r w:rsidRPr="008022DC">
        <w:rPr>
          <w:rFonts w:ascii="Times New Roman" w:hAnsi="Times New Roman" w:cs="Times New Roman"/>
          <w:color w:val="FF0000"/>
          <w:sz w:val="24"/>
          <w:szCs w:val="24"/>
        </w:rPr>
        <w:t>Por lo tanto, cualquier estrategia de inversión que se base exclusivamente en la correlación entre ambos índices corre el riesgo de subestimar factores fundamentales, temporales y estructurales.</w:t>
      </w:r>
    </w:p>
    <w:p w:rsidR="005C44FB" w:rsidRPr="0049645D" w:rsidRDefault="005C44FB" w:rsidP="005C44FB">
      <w:pPr>
        <w:spacing w:line="240" w:lineRule="auto"/>
        <w:jc w:val="both"/>
        <w:rPr>
          <w:rFonts w:ascii="Times New Roman" w:hAnsi="Times New Roman" w:cs="Times New Roman"/>
          <w:b/>
          <w:color w:val="FF0000"/>
          <w:sz w:val="24"/>
          <w:szCs w:val="24"/>
        </w:rPr>
      </w:pPr>
      <w:r w:rsidRPr="0049645D">
        <w:rPr>
          <w:rFonts w:ascii="Times New Roman" w:hAnsi="Times New Roman" w:cs="Times New Roman"/>
          <w:b/>
          <w:color w:val="FF0000"/>
          <w:sz w:val="24"/>
          <w:szCs w:val="24"/>
        </w:rPr>
        <w:t>Critica a la correlación</w:t>
      </w:r>
      <w:r>
        <w:rPr>
          <w:rFonts w:ascii="Times New Roman" w:hAnsi="Times New Roman" w:cs="Times New Roman"/>
          <w:b/>
          <w:color w:val="FF0000"/>
          <w:sz w:val="24"/>
          <w:szCs w:val="24"/>
        </w:rPr>
        <w:t xml:space="preserve"> entre el Índice Dow Jones y el Índice N</w:t>
      </w:r>
      <w:r w:rsidRPr="0049645D">
        <w:rPr>
          <w:rFonts w:ascii="Times New Roman" w:hAnsi="Times New Roman" w:cs="Times New Roman"/>
          <w:b/>
          <w:color w:val="FF0000"/>
          <w:sz w:val="24"/>
          <w:szCs w:val="24"/>
        </w:rPr>
        <w:t>ikkei 225</w:t>
      </w:r>
      <w:r>
        <w:rPr>
          <w:rFonts w:ascii="Times New Roman" w:hAnsi="Times New Roman" w:cs="Times New Roman"/>
          <w:b/>
          <w:color w:val="FF0000"/>
          <w:sz w:val="24"/>
          <w:szCs w:val="24"/>
        </w:rPr>
        <w:t xml:space="preserve"> (Segunda versión)</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ChatGPT Plus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La correlación entre el índice Dow Jones Industrial Average (DJIA) de Estados Unidos y el índice Nikkei 225 de Japón ha sido objeto de análisis durante décadas, especialmente en el contexto de la globalización financiera. A continuación se ofrece una crítica detallada de dicha correlación, desde una perspectiva té</w:t>
      </w:r>
      <w:r>
        <w:rPr>
          <w:rFonts w:ascii="Times New Roman" w:hAnsi="Times New Roman" w:cs="Times New Roman"/>
          <w:color w:val="FF0000"/>
          <w:sz w:val="24"/>
          <w:szCs w:val="24"/>
        </w:rPr>
        <w:t>cnica, económica y estructural:</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Segoe UI Symbol" w:hAnsi="Segoe UI Symbol" w:cs="Segoe UI Symbol"/>
          <w:color w:val="FF0000"/>
          <w:sz w:val="24"/>
          <w:szCs w:val="24"/>
        </w:rPr>
        <w:t>🔍</w:t>
      </w:r>
      <w:r w:rsidRPr="00F82175">
        <w:rPr>
          <w:rFonts w:ascii="Times New Roman" w:hAnsi="Times New Roman" w:cs="Times New Roman"/>
          <w:color w:val="FF0000"/>
          <w:sz w:val="24"/>
          <w:szCs w:val="24"/>
        </w:rPr>
        <w:t xml:space="preserve"> 1. Correlación no constante ni estable</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 xml:space="preserve">Una crítica fundamental es que la correlación entre ambos índices no es constante en el tiempo. Ha mostrado fases de alta y baja correlación, lo que sugiere que no existe una relación </w:t>
      </w:r>
      <w:r>
        <w:rPr>
          <w:rFonts w:ascii="Times New Roman" w:hAnsi="Times New Roman" w:cs="Times New Roman"/>
          <w:color w:val="FF0000"/>
          <w:sz w:val="24"/>
          <w:szCs w:val="24"/>
        </w:rPr>
        <w:t>estructural fuerte ni duradera.</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 xml:space="preserve">En épocas de crisis globales (como 2008), la correlación tiende a aumentar, pero en tiempos de estabilidad </w:t>
      </w:r>
      <w:r>
        <w:rPr>
          <w:rFonts w:ascii="Times New Roman" w:hAnsi="Times New Roman" w:cs="Times New Roman"/>
          <w:color w:val="FF0000"/>
          <w:sz w:val="24"/>
          <w:szCs w:val="24"/>
        </w:rPr>
        <w:t>puede debilitarse notablemente.</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Estudios de series temporales muestran que los coeficientes de correlación rolling (móviles) varían ampliamente, lo que</w:t>
      </w:r>
      <w:r>
        <w:rPr>
          <w:rFonts w:ascii="Times New Roman" w:hAnsi="Times New Roman" w:cs="Times New Roman"/>
          <w:color w:val="FF0000"/>
          <w:sz w:val="24"/>
          <w:szCs w:val="24"/>
        </w:rPr>
        <w:t xml:space="preserve"> cuestiona su valor predictivo.</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Segoe UI Symbol" w:hAnsi="Segoe UI Symbol" w:cs="Segoe UI Symbol"/>
          <w:color w:val="FF0000"/>
          <w:sz w:val="24"/>
          <w:szCs w:val="24"/>
        </w:rPr>
        <w:t>🌐</w:t>
      </w:r>
      <w:r w:rsidRPr="00F82175">
        <w:rPr>
          <w:rFonts w:ascii="Times New Roman" w:hAnsi="Times New Roman" w:cs="Times New Roman"/>
          <w:color w:val="FF0000"/>
          <w:sz w:val="24"/>
          <w:szCs w:val="24"/>
        </w:rPr>
        <w:t xml:space="preserve"> 2. Diferencias estructurales en las economías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Las diferencias económicas y culturales entre Estados Unidos y Japón limitan la interpretación de cualquier correlación observada.</w:t>
      </w:r>
    </w:p>
    <w:p w:rsidR="005C44FB" w:rsidRPr="00F82175" w:rsidRDefault="005C44FB" w:rsidP="005C44FB">
      <w:pPr>
        <w:spacing w:line="240" w:lineRule="auto"/>
        <w:jc w:val="both"/>
        <w:rPr>
          <w:rFonts w:ascii="Times New Roman" w:hAnsi="Times New Roman" w:cs="Times New Roman"/>
          <w:color w:val="FF0000"/>
          <w:sz w:val="24"/>
          <w:szCs w:val="24"/>
        </w:rPr>
      </w:pPr>
    </w:p>
    <w:p w:rsidR="005C44FB" w:rsidRPr="00F82175"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EEUU</w:t>
      </w:r>
      <w:r w:rsidRPr="00F82175">
        <w:rPr>
          <w:rFonts w:ascii="Times New Roman" w:hAnsi="Times New Roman" w:cs="Times New Roman"/>
          <w:color w:val="FF0000"/>
          <w:sz w:val="24"/>
          <w:szCs w:val="24"/>
        </w:rPr>
        <w:t xml:space="preserve"> tiene una economía orientada al co</w:t>
      </w:r>
      <w:r>
        <w:rPr>
          <w:rFonts w:ascii="Times New Roman" w:hAnsi="Times New Roman" w:cs="Times New Roman"/>
          <w:color w:val="FF0000"/>
          <w:sz w:val="24"/>
          <w:szCs w:val="24"/>
        </w:rPr>
        <w:t>nsumo, más dinámica y flexible.</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Japón presenta un modelo más exportador, con envejecimiento poblacional, políticas monetarias no convencionales más prolongadas (ej. contro</w:t>
      </w:r>
      <w:r>
        <w:rPr>
          <w:rFonts w:ascii="Times New Roman" w:hAnsi="Times New Roman" w:cs="Times New Roman"/>
          <w:color w:val="FF0000"/>
          <w:sz w:val="24"/>
          <w:szCs w:val="24"/>
        </w:rPr>
        <w:t>l de la curva de rendimientos).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Estas diferencias afectan la composición de los índices y su sensibilidad a distintas variables macroeconómicas, lo que distorsio</w:t>
      </w:r>
      <w:r>
        <w:rPr>
          <w:rFonts w:ascii="Times New Roman" w:hAnsi="Times New Roman" w:cs="Times New Roman"/>
          <w:color w:val="FF0000"/>
          <w:sz w:val="24"/>
          <w:szCs w:val="24"/>
        </w:rPr>
        <w:t>na cualquier relación aparente.</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Segoe UI Symbol" w:hAnsi="Segoe UI Symbol" w:cs="Segoe UI Symbol"/>
          <w:color w:val="FF0000"/>
          <w:sz w:val="24"/>
          <w:szCs w:val="24"/>
        </w:rPr>
        <w:t>📊</w:t>
      </w:r>
      <w:r w:rsidRPr="00F82175">
        <w:rPr>
          <w:rFonts w:ascii="Times New Roman" w:hAnsi="Times New Roman" w:cs="Times New Roman"/>
          <w:color w:val="FF0000"/>
          <w:sz w:val="24"/>
          <w:szCs w:val="24"/>
        </w:rPr>
        <w:t xml:space="preserve"> 3. Composición distinta de los índices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El Dow Jones incluye 30 grandes empresas estadounidenses, muchas de ellas multinacionales, mientras que el Nikkei 225 contiene 225 empresas japonesas y está ponderado por precio (no por capitalizació</w:t>
      </w:r>
      <w:r>
        <w:rPr>
          <w:rFonts w:ascii="Times New Roman" w:hAnsi="Times New Roman" w:cs="Times New Roman"/>
          <w:color w:val="FF0000"/>
          <w:sz w:val="24"/>
          <w:szCs w:val="24"/>
        </w:rPr>
        <w:t>n bursátil como otros índices).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La ponderación por precio en el Nikkei puede exagerar el impacto de ciertas acciones, distorsionando el re</w:t>
      </w:r>
      <w:r>
        <w:rPr>
          <w:rFonts w:ascii="Times New Roman" w:hAnsi="Times New Roman" w:cs="Times New Roman"/>
          <w:color w:val="FF0000"/>
          <w:sz w:val="24"/>
          <w:szCs w:val="24"/>
        </w:rPr>
        <w:t>flejo real del mercado japonés.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El Dow incluye empresas tecnológicas y financieras que no están igualme</w:t>
      </w:r>
      <w:r>
        <w:rPr>
          <w:rFonts w:ascii="Times New Roman" w:hAnsi="Times New Roman" w:cs="Times New Roman"/>
          <w:color w:val="FF0000"/>
          <w:sz w:val="24"/>
          <w:szCs w:val="24"/>
        </w:rPr>
        <w:t>nte representadas en el Nikkei.</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Esto implica que movimientos similares pueden deberse a fa</w:t>
      </w:r>
      <w:r>
        <w:rPr>
          <w:rFonts w:ascii="Times New Roman" w:hAnsi="Times New Roman" w:cs="Times New Roman"/>
          <w:color w:val="FF0000"/>
          <w:sz w:val="24"/>
          <w:szCs w:val="24"/>
        </w:rPr>
        <w:t>ctores completamente distintos.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Segoe UI Symbol" w:hAnsi="Segoe UI Symbol" w:cs="Segoe UI Symbol"/>
          <w:color w:val="FF0000"/>
          <w:sz w:val="24"/>
          <w:szCs w:val="24"/>
        </w:rPr>
        <w:t>🕒</w:t>
      </w:r>
      <w:r w:rsidRPr="00F82175">
        <w:rPr>
          <w:rFonts w:ascii="Times New Roman" w:hAnsi="Times New Roman" w:cs="Times New Roman"/>
          <w:color w:val="FF0000"/>
          <w:sz w:val="24"/>
          <w:szCs w:val="24"/>
        </w:rPr>
        <w:t xml:space="preserve"> 4. Diferencias horarias y efecto arrastre</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El mercado japonés abre cuando el estadounidense cierra, lo que puede dar lugar a un fenómeno de “arrastre” e</w:t>
      </w:r>
      <w:r>
        <w:rPr>
          <w:rFonts w:ascii="Times New Roman" w:hAnsi="Times New Roman" w:cs="Times New Roman"/>
          <w:color w:val="FF0000"/>
          <w:sz w:val="24"/>
          <w:szCs w:val="24"/>
        </w:rPr>
        <w:t>n vez de verdadera correlación.</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Es común ver al Nikkei reaccionar a lo que hizo el Dow la noche anterior, pero esto es un efecto técnico, no u</w:t>
      </w:r>
      <w:r>
        <w:rPr>
          <w:rFonts w:ascii="Times New Roman" w:hAnsi="Times New Roman" w:cs="Times New Roman"/>
          <w:color w:val="FF0000"/>
          <w:sz w:val="24"/>
          <w:szCs w:val="24"/>
        </w:rPr>
        <w:t>na relación económica de fondo.</w:t>
      </w:r>
    </w:p>
    <w:p w:rsidR="005C44FB" w:rsidRPr="00F82175"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Por tanto, el Nikkei suele “seguir”</w:t>
      </w:r>
      <w:r w:rsidRPr="00F82175">
        <w:rPr>
          <w:rFonts w:ascii="Times New Roman" w:hAnsi="Times New Roman" w:cs="Times New Roman"/>
          <w:color w:val="FF0000"/>
          <w:sz w:val="24"/>
          <w:szCs w:val="24"/>
        </w:rPr>
        <w:t xml:space="preserve"> al Dow en dirección más que en magnitud, lo que sesga los anális</w:t>
      </w:r>
      <w:r>
        <w:rPr>
          <w:rFonts w:ascii="Times New Roman" w:hAnsi="Times New Roman" w:cs="Times New Roman"/>
          <w:color w:val="FF0000"/>
          <w:sz w:val="24"/>
          <w:szCs w:val="24"/>
        </w:rPr>
        <w:t>is estadísticos de correlación.</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 5. Limitaciones del análisis estadístico puro</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Usar solo correlación lineal (como P</w:t>
      </w:r>
      <w:r>
        <w:rPr>
          <w:rFonts w:ascii="Times New Roman" w:hAnsi="Times New Roman" w:cs="Times New Roman"/>
          <w:color w:val="FF0000"/>
          <w:sz w:val="24"/>
          <w:szCs w:val="24"/>
        </w:rPr>
        <w:t>earson) puede ser insuficiente:</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 xml:space="preserve">No captura relaciones no lineales o efectos asimétricos (por ejemplo, correlación </w:t>
      </w:r>
      <w:r>
        <w:rPr>
          <w:rFonts w:ascii="Times New Roman" w:hAnsi="Times New Roman" w:cs="Times New Roman"/>
          <w:color w:val="FF0000"/>
          <w:sz w:val="24"/>
          <w:szCs w:val="24"/>
        </w:rPr>
        <w:t>solo en caídas, no en subidas).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 xml:space="preserve">Las correlaciones pueden surgir por factores comunes externos (como tasas de interés globales o precios del petróleo), no por interacción directa </w:t>
      </w:r>
      <w:r>
        <w:rPr>
          <w:rFonts w:ascii="Times New Roman" w:hAnsi="Times New Roman" w:cs="Times New Roman"/>
          <w:color w:val="FF0000"/>
          <w:sz w:val="24"/>
          <w:szCs w:val="24"/>
        </w:rPr>
        <w:t>entre los índices.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Segoe UI Symbol" w:hAnsi="Segoe UI Symbol" w:cs="Segoe UI Symbol"/>
          <w:color w:val="FF0000"/>
          <w:sz w:val="24"/>
          <w:szCs w:val="24"/>
        </w:rPr>
        <w:t>📉</w:t>
      </w:r>
      <w:r w:rsidRPr="00F82175">
        <w:rPr>
          <w:rFonts w:ascii="Times New Roman" w:hAnsi="Times New Roman" w:cs="Times New Roman"/>
          <w:color w:val="FF0000"/>
          <w:sz w:val="24"/>
          <w:szCs w:val="24"/>
        </w:rPr>
        <w:t xml:space="preserve"> Conclusión crítica</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La correlación entre el Dow Jones y el Nikkei 225 no debe ser interpretada como una conexión causal ni estructural entre ambas economías. Es más útil entenderla como una manifestación ocasional de la sincronización financiera global, no como una herramienta sólida par</w:t>
      </w:r>
      <w:r>
        <w:rPr>
          <w:rFonts w:ascii="Times New Roman" w:hAnsi="Times New Roman" w:cs="Times New Roman"/>
          <w:color w:val="FF0000"/>
          <w:sz w:val="24"/>
          <w:szCs w:val="24"/>
        </w:rPr>
        <w:t>a predicción o diversificación.</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 Recomendación</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Para análisis más precisos se sugiere:</w:t>
      </w:r>
    </w:p>
    <w:p w:rsidR="005C44FB" w:rsidRPr="00F82175" w:rsidRDefault="005C44FB" w:rsidP="005C44FB">
      <w:pPr>
        <w:spacing w:line="240" w:lineRule="auto"/>
        <w:jc w:val="both"/>
        <w:rPr>
          <w:rFonts w:ascii="Times New Roman" w:hAnsi="Times New Roman" w:cs="Times New Roman"/>
          <w:color w:val="FF0000"/>
          <w:sz w:val="24"/>
          <w:szCs w:val="24"/>
        </w:rPr>
      </w:pPr>
    </w:p>
    <w:p w:rsidR="005C44FB" w:rsidRPr="00302C54" w:rsidRDefault="005C44FB" w:rsidP="005C44FB">
      <w:pPr>
        <w:pStyle w:val="Prrafodelista"/>
        <w:numPr>
          <w:ilvl w:val="0"/>
          <w:numId w:val="21"/>
        </w:numPr>
        <w:spacing w:line="240" w:lineRule="auto"/>
        <w:jc w:val="both"/>
        <w:rPr>
          <w:rFonts w:ascii="Times New Roman" w:hAnsi="Times New Roman" w:cs="Times New Roman"/>
          <w:color w:val="FF0000"/>
          <w:sz w:val="24"/>
          <w:szCs w:val="24"/>
        </w:rPr>
      </w:pPr>
      <w:r w:rsidRPr="00302C54">
        <w:rPr>
          <w:rFonts w:ascii="Times New Roman" w:hAnsi="Times New Roman" w:cs="Times New Roman"/>
          <w:color w:val="FF0000"/>
          <w:sz w:val="24"/>
          <w:szCs w:val="24"/>
        </w:rPr>
        <w:t>Usar modelos dinámicos (VAR, cointegración, GARCH multivariado).</w:t>
      </w:r>
    </w:p>
    <w:p w:rsidR="005C44FB" w:rsidRPr="00302C54" w:rsidRDefault="005C44FB" w:rsidP="005C44FB">
      <w:pPr>
        <w:pStyle w:val="Prrafodelista"/>
        <w:numPr>
          <w:ilvl w:val="0"/>
          <w:numId w:val="21"/>
        </w:numPr>
        <w:spacing w:line="240" w:lineRule="auto"/>
        <w:jc w:val="both"/>
        <w:rPr>
          <w:rFonts w:ascii="Times New Roman" w:hAnsi="Times New Roman" w:cs="Times New Roman"/>
          <w:color w:val="FF0000"/>
          <w:sz w:val="24"/>
          <w:szCs w:val="24"/>
        </w:rPr>
      </w:pPr>
      <w:r w:rsidRPr="00302C54">
        <w:rPr>
          <w:rFonts w:ascii="Times New Roman" w:hAnsi="Times New Roman" w:cs="Times New Roman"/>
          <w:color w:val="FF0000"/>
          <w:sz w:val="24"/>
          <w:szCs w:val="24"/>
        </w:rPr>
        <w:t>Considerar el contexto macroeconómico y político.</w:t>
      </w:r>
    </w:p>
    <w:p w:rsidR="005C44FB" w:rsidRPr="00302C54" w:rsidRDefault="005C44FB" w:rsidP="005C44FB">
      <w:pPr>
        <w:pStyle w:val="Prrafodelista"/>
        <w:numPr>
          <w:ilvl w:val="0"/>
          <w:numId w:val="21"/>
        </w:numPr>
        <w:spacing w:line="240" w:lineRule="auto"/>
        <w:jc w:val="both"/>
        <w:rPr>
          <w:rFonts w:ascii="Times New Roman" w:hAnsi="Times New Roman" w:cs="Times New Roman"/>
          <w:color w:val="FF0000"/>
          <w:sz w:val="24"/>
          <w:szCs w:val="24"/>
        </w:rPr>
      </w:pPr>
      <w:r w:rsidRPr="00302C54">
        <w:rPr>
          <w:rFonts w:ascii="Times New Roman" w:hAnsi="Times New Roman" w:cs="Times New Roman"/>
          <w:color w:val="FF0000"/>
          <w:sz w:val="24"/>
          <w:szCs w:val="24"/>
        </w:rPr>
        <w:t>Analizar la correlación condicional, no solo la histórica.</w:t>
      </w:r>
    </w:p>
    <w:p w:rsidR="005C44FB" w:rsidRPr="00F82175" w:rsidRDefault="005C44FB" w:rsidP="005C44FB">
      <w:pPr>
        <w:spacing w:line="240" w:lineRule="auto"/>
        <w:jc w:val="both"/>
        <w:rPr>
          <w:rFonts w:ascii="Times New Roman" w:hAnsi="Times New Roman" w:cs="Times New Roman"/>
          <w:b/>
          <w:color w:val="FF0000"/>
          <w:sz w:val="24"/>
          <w:szCs w:val="24"/>
        </w:rPr>
      </w:pPr>
      <w:r w:rsidRPr="00F82175">
        <w:rPr>
          <w:rFonts w:ascii="Times New Roman" w:hAnsi="Times New Roman" w:cs="Times New Roman"/>
          <w:b/>
          <w:color w:val="FF0000"/>
          <w:sz w:val="24"/>
          <w:szCs w:val="24"/>
        </w:rPr>
        <w:t>¿Quieres un análisis con gráficos o datos recientes? Puedo buscar la correlación actualizada si lo deseas.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b/>
          <w:color w:val="FF0000"/>
          <w:sz w:val="24"/>
          <w:szCs w:val="24"/>
        </w:rPr>
        <w:t>Aquí tienes un análisis actualizado sobre la correlación entre el Dow Jones y el Nikkei 225</w:t>
      </w:r>
      <w:r w:rsidRPr="00F82175">
        <w:rPr>
          <w:rFonts w:ascii="Times New Roman" w:hAnsi="Times New Roman" w:cs="Times New Roman"/>
          <w:color w:val="FF0000"/>
          <w:sz w:val="24"/>
          <w:szCs w:val="24"/>
        </w:rPr>
        <w:t>, con datos re</w:t>
      </w:r>
      <w:r>
        <w:rPr>
          <w:rFonts w:ascii="Times New Roman" w:hAnsi="Times New Roman" w:cs="Times New Roman"/>
          <w:color w:val="FF0000"/>
          <w:sz w:val="24"/>
          <w:szCs w:val="24"/>
        </w:rPr>
        <w:t>cientes y referencias visuales: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Segoe UI Symbol" w:hAnsi="Segoe UI Symbol" w:cs="Segoe UI Symbol"/>
          <w:color w:val="FF0000"/>
          <w:sz w:val="24"/>
          <w:szCs w:val="24"/>
        </w:rPr>
        <w:t>📉</w:t>
      </w:r>
      <w:r w:rsidRPr="00F82175">
        <w:rPr>
          <w:rFonts w:ascii="Times New Roman" w:hAnsi="Times New Roman" w:cs="Times New Roman"/>
          <w:color w:val="FF0000"/>
          <w:sz w:val="24"/>
          <w:szCs w:val="24"/>
        </w:rPr>
        <w:t xml:space="preserve"> 1. Correlación en declive</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 xml:space="preserve">Según BlackRock, la correlación diaria entre la renta variable estadounidense y japonesa ha ido disminuyendo en los últimos meses (dato hasta el 31 de marzo de 2025) </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Esto coincide con otras fuentes que destacan que, tras los fuertes repuntes del Nikkei en 2023 (+28 %) y 2024 (+19 %), los inversores lo están viendo como una herramienta real de di</w:t>
      </w:r>
      <w:r>
        <w:rPr>
          <w:rFonts w:ascii="Times New Roman" w:hAnsi="Times New Roman" w:cs="Times New Roman"/>
          <w:color w:val="FF0000"/>
          <w:sz w:val="24"/>
          <w:szCs w:val="24"/>
        </w:rPr>
        <w:t xml:space="preserve">versificación frente a EEUU. </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Segoe UI Symbol" w:hAnsi="Segoe UI Symbol" w:cs="Segoe UI Symbol"/>
          <w:color w:val="FF0000"/>
          <w:sz w:val="24"/>
          <w:szCs w:val="24"/>
        </w:rPr>
        <w:t>📊</w:t>
      </w:r>
      <w:r w:rsidRPr="00F82175">
        <w:rPr>
          <w:rFonts w:ascii="Times New Roman" w:hAnsi="Times New Roman" w:cs="Times New Roman"/>
          <w:color w:val="FF0000"/>
          <w:sz w:val="24"/>
          <w:szCs w:val="24"/>
        </w:rPr>
        <w:t xml:space="preserve"> 2. Rendimiento reciente de los índices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El Nikkei 225 subió un 13,7 % en el segundo trimestre de 2025, alcanzando los 40 487 pun</w:t>
      </w:r>
      <w:r>
        <w:rPr>
          <w:rFonts w:ascii="Times New Roman" w:hAnsi="Times New Roman" w:cs="Times New Roman"/>
          <w:color w:val="FF0000"/>
          <w:sz w:val="24"/>
          <w:szCs w:val="24"/>
        </w:rPr>
        <w:t>tos al cierre del 30 de junio.</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 xml:space="preserve">En contraste, el Dow Jones sufrió grandes oscilaciones en abril de 2025 debido a tensiones comerciales y aranceles, con caídas superiores al 9 % entre el 2 y 4 de abril </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Este comportamiento diferenciado refleja la me</w:t>
      </w:r>
      <w:r>
        <w:rPr>
          <w:rFonts w:ascii="Times New Roman" w:hAnsi="Times New Roman" w:cs="Times New Roman"/>
          <w:color w:val="FF0000"/>
          <w:sz w:val="24"/>
          <w:szCs w:val="24"/>
        </w:rPr>
        <w:t>nor sincronización entre ambos.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Segoe UI Symbol" w:hAnsi="Segoe UI Symbol" w:cs="Segoe UI Symbol"/>
          <w:color w:val="FF0000"/>
          <w:sz w:val="24"/>
          <w:szCs w:val="24"/>
        </w:rPr>
        <w:t>📈</w:t>
      </w:r>
      <w:r w:rsidRPr="00F82175">
        <w:rPr>
          <w:rFonts w:ascii="Times New Roman" w:hAnsi="Times New Roman" w:cs="Times New Roman"/>
          <w:color w:val="FF0000"/>
          <w:sz w:val="24"/>
          <w:szCs w:val="24"/>
        </w:rPr>
        <w:t xml:space="preserve"> 3. Visualización de la evolución y divergencia</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 xml:space="preserve">Aunque no dispongo de gráficos interactivos en el chat, puedes consultar datos diarios del Nikkei 225 desde Investing.com </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Lo ideal sería descargar series de ambos índices y calcular una correlación móvil (ej. 90 días) para visualizar cómo</w:t>
      </w:r>
      <w:r>
        <w:rPr>
          <w:rFonts w:ascii="Times New Roman" w:hAnsi="Times New Roman" w:cs="Times New Roman"/>
          <w:color w:val="FF0000"/>
          <w:sz w:val="24"/>
          <w:szCs w:val="24"/>
        </w:rPr>
        <w:t xml:space="preserve"> ha caído en los últimos meses.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 xml:space="preserve">La tendencia es clara: los movimientos a corto plazo no </w:t>
      </w:r>
      <w:r>
        <w:rPr>
          <w:rFonts w:ascii="Times New Roman" w:hAnsi="Times New Roman" w:cs="Times New Roman"/>
          <w:color w:val="FF0000"/>
          <w:sz w:val="24"/>
          <w:szCs w:val="24"/>
        </w:rPr>
        <w:t>están sincronizados como antes.</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Segoe UI Symbol" w:hAnsi="Segoe UI Symbol" w:cs="Segoe UI Symbol"/>
          <w:color w:val="FF0000"/>
          <w:sz w:val="24"/>
          <w:szCs w:val="24"/>
        </w:rPr>
        <w:t>🔍</w:t>
      </w:r>
      <w:r w:rsidRPr="00F82175">
        <w:rPr>
          <w:rFonts w:ascii="Times New Roman" w:hAnsi="Times New Roman" w:cs="Times New Roman"/>
          <w:color w:val="FF0000"/>
          <w:sz w:val="24"/>
          <w:szCs w:val="24"/>
        </w:rPr>
        <w:t xml:space="preserve"> Interpretación técnica</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 xml:space="preserve">El Nikkei ha reaccionado a factores locales como la política del BOJ, la debilidad del yen </w:t>
      </w:r>
      <w:r>
        <w:rPr>
          <w:rFonts w:ascii="Times New Roman" w:hAnsi="Times New Roman" w:cs="Times New Roman"/>
          <w:color w:val="FF0000"/>
          <w:sz w:val="24"/>
          <w:szCs w:val="24"/>
        </w:rPr>
        <w:t>y la dinámica interna de Japón.</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El Dow suele verse afectado por tasas de in</w:t>
      </w:r>
      <w:r>
        <w:rPr>
          <w:rFonts w:ascii="Times New Roman" w:hAnsi="Times New Roman" w:cs="Times New Roman"/>
          <w:color w:val="FF0000"/>
          <w:sz w:val="24"/>
          <w:szCs w:val="24"/>
        </w:rPr>
        <w:t>terés, política comercial de EEUU</w:t>
      </w:r>
      <w:r w:rsidRPr="00F82175">
        <w:rPr>
          <w:rFonts w:ascii="Times New Roman" w:hAnsi="Times New Roman" w:cs="Times New Roman"/>
          <w:color w:val="FF0000"/>
          <w:sz w:val="24"/>
          <w:szCs w:val="24"/>
        </w:rPr>
        <w:t xml:space="preserve"> y grandes shocks global</w:t>
      </w:r>
      <w:r>
        <w:rPr>
          <w:rFonts w:ascii="Times New Roman" w:hAnsi="Times New Roman" w:cs="Times New Roman"/>
          <w:color w:val="FF0000"/>
          <w:sz w:val="24"/>
          <w:szCs w:val="24"/>
        </w:rPr>
        <w:t>es (aranceles, política, etc.).</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Esto provoca que los movimientos extremos no se p</w:t>
      </w:r>
      <w:r>
        <w:rPr>
          <w:rFonts w:ascii="Times New Roman" w:hAnsi="Times New Roman" w:cs="Times New Roman"/>
          <w:color w:val="FF0000"/>
          <w:sz w:val="24"/>
          <w:szCs w:val="24"/>
        </w:rPr>
        <w:t>roduzcan de forma sincronizada.</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 Resumen general</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Aspecto</w:t>
      </w:r>
      <w:r w:rsidRPr="00F82175">
        <w:rPr>
          <w:rFonts w:ascii="Times New Roman" w:hAnsi="Times New Roman" w:cs="Times New Roman"/>
          <w:color w:val="FF0000"/>
          <w:sz w:val="24"/>
          <w:szCs w:val="24"/>
        </w:rPr>
        <w:tab/>
      </w:r>
      <w:r>
        <w:rPr>
          <w:rFonts w:ascii="Times New Roman" w:hAnsi="Times New Roman" w:cs="Times New Roman"/>
          <w:color w:val="FF0000"/>
          <w:sz w:val="24"/>
          <w:szCs w:val="24"/>
        </w:rPr>
        <w:t xml:space="preserve">                    </w:t>
      </w:r>
      <w:r w:rsidRPr="00F82175">
        <w:rPr>
          <w:rFonts w:ascii="Times New Roman" w:hAnsi="Times New Roman" w:cs="Times New Roman"/>
          <w:color w:val="FF0000"/>
          <w:sz w:val="24"/>
          <w:szCs w:val="24"/>
        </w:rPr>
        <w:t>Situación actual</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lastRenderedPageBreak/>
        <w:t>Correlación</w:t>
      </w:r>
      <w:r w:rsidRPr="00F82175">
        <w:rPr>
          <w:rFonts w:ascii="Times New Roman" w:hAnsi="Times New Roman" w:cs="Times New Roman"/>
          <w:color w:val="FF0000"/>
          <w:sz w:val="24"/>
          <w:szCs w:val="24"/>
        </w:rPr>
        <w:tab/>
      </w:r>
      <w:r>
        <w:rPr>
          <w:rFonts w:ascii="Times New Roman" w:hAnsi="Times New Roman" w:cs="Times New Roman"/>
          <w:color w:val="FF0000"/>
          <w:sz w:val="24"/>
          <w:szCs w:val="24"/>
        </w:rPr>
        <w:t xml:space="preserve">                       </w:t>
      </w:r>
      <w:r w:rsidRPr="00F82175">
        <w:rPr>
          <w:rFonts w:ascii="Times New Roman" w:hAnsi="Times New Roman" w:cs="Times New Roman"/>
          <w:color w:val="FF0000"/>
          <w:sz w:val="24"/>
          <w:szCs w:val="24"/>
        </w:rPr>
        <w:t>En caída. Menor sincronización reciente.</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Re</w:t>
      </w:r>
      <w:r>
        <w:rPr>
          <w:rFonts w:ascii="Times New Roman" w:hAnsi="Times New Roman" w:cs="Times New Roman"/>
          <w:color w:val="FF0000"/>
          <w:sz w:val="24"/>
          <w:szCs w:val="24"/>
        </w:rPr>
        <w:t xml:space="preserve">ndimiento Q2 2025           </w:t>
      </w:r>
      <w:r w:rsidRPr="00F82175">
        <w:rPr>
          <w:rFonts w:ascii="Times New Roman" w:hAnsi="Times New Roman" w:cs="Times New Roman"/>
          <w:color w:val="FF0000"/>
          <w:sz w:val="24"/>
          <w:szCs w:val="24"/>
        </w:rPr>
        <w:t>Nikkei +13,7 %, Dow con alta volatilidad.</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Diversificación</w:t>
      </w:r>
      <w:r w:rsidRPr="00F82175">
        <w:rPr>
          <w:rFonts w:ascii="Times New Roman" w:hAnsi="Times New Roman" w:cs="Times New Roman"/>
          <w:color w:val="FF0000"/>
          <w:sz w:val="24"/>
          <w:szCs w:val="24"/>
        </w:rPr>
        <w:tab/>
      </w:r>
      <w:r>
        <w:rPr>
          <w:rFonts w:ascii="Times New Roman" w:hAnsi="Times New Roman" w:cs="Times New Roman"/>
          <w:color w:val="FF0000"/>
          <w:sz w:val="24"/>
          <w:szCs w:val="24"/>
        </w:rPr>
        <w:t xml:space="preserve">           </w:t>
      </w:r>
      <w:r w:rsidRPr="00F82175">
        <w:rPr>
          <w:rFonts w:ascii="Times New Roman" w:hAnsi="Times New Roman" w:cs="Times New Roman"/>
          <w:color w:val="FF0000"/>
          <w:sz w:val="24"/>
          <w:szCs w:val="24"/>
        </w:rPr>
        <w:t>Nikkei se consolida</w:t>
      </w:r>
      <w:r>
        <w:rPr>
          <w:rFonts w:ascii="Times New Roman" w:hAnsi="Times New Roman" w:cs="Times New Roman"/>
          <w:color w:val="FF0000"/>
          <w:sz w:val="24"/>
          <w:szCs w:val="24"/>
        </w:rPr>
        <w:t xml:space="preserve"> como activo descorrelacionado.</w:t>
      </w:r>
    </w:p>
    <w:p w:rsidR="005C44FB" w:rsidRPr="00F82175" w:rsidRDefault="005C44FB" w:rsidP="005C44FB">
      <w:pPr>
        <w:spacing w:line="240" w:lineRule="auto"/>
        <w:jc w:val="both"/>
        <w:rPr>
          <w:rFonts w:ascii="Times New Roman" w:hAnsi="Times New Roman" w:cs="Times New Roman"/>
          <w:color w:val="FF0000"/>
          <w:sz w:val="24"/>
          <w:szCs w:val="24"/>
        </w:rPr>
      </w:pPr>
      <w:r w:rsidRPr="00F82175">
        <w:rPr>
          <w:rFonts w:ascii="Segoe UI Symbol" w:hAnsi="Segoe UI Symbol" w:cs="Segoe UI Symbol"/>
          <w:color w:val="FF0000"/>
          <w:sz w:val="24"/>
          <w:szCs w:val="24"/>
        </w:rPr>
        <w:t>🛠</w:t>
      </w:r>
      <w:r w:rsidRPr="00F82175">
        <w:rPr>
          <w:rFonts w:ascii="Times New Roman" w:hAnsi="Times New Roman" w:cs="Times New Roman"/>
          <w:color w:val="FF0000"/>
          <w:sz w:val="24"/>
          <w:szCs w:val="24"/>
        </w:rPr>
        <w:t>️ Próximos pasos que puedes tomar</w:t>
      </w:r>
    </w:p>
    <w:p w:rsidR="005C44FB" w:rsidRPr="00302C54" w:rsidRDefault="005C44FB" w:rsidP="005C44FB">
      <w:pPr>
        <w:pStyle w:val="Prrafodelista"/>
        <w:numPr>
          <w:ilvl w:val="0"/>
          <w:numId w:val="21"/>
        </w:numPr>
        <w:spacing w:line="240" w:lineRule="auto"/>
        <w:jc w:val="both"/>
        <w:rPr>
          <w:rFonts w:ascii="Times New Roman" w:hAnsi="Times New Roman" w:cs="Times New Roman"/>
          <w:color w:val="FF0000"/>
          <w:sz w:val="24"/>
          <w:szCs w:val="24"/>
        </w:rPr>
      </w:pPr>
      <w:r w:rsidRPr="00302C54">
        <w:rPr>
          <w:rFonts w:ascii="Times New Roman" w:hAnsi="Times New Roman" w:cs="Times New Roman"/>
          <w:color w:val="FF0000"/>
          <w:sz w:val="24"/>
          <w:szCs w:val="24"/>
        </w:rPr>
        <w:t>Descargar series históricas de ambos índices (por ejemplo, de Investing.com o FRED) y calcular la correlación móvil.</w:t>
      </w:r>
    </w:p>
    <w:p w:rsidR="005C44FB" w:rsidRPr="00302C54" w:rsidRDefault="005C44FB" w:rsidP="005C44FB">
      <w:pPr>
        <w:pStyle w:val="Prrafodelista"/>
        <w:numPr>
          <w:ilvl w:val="0"/>
          <w:numId w:val="21"/>
        </w:numPr>
        <w:spacing w:line="240" w:lineRule="auto"/>
        <w:jc w:val="both"/>
        <w:rPr>
          <w:rFonts w:ascii="Times New Roman" w:hAnsi="Times New Roman" w:cs="Times New Roman"/>
          <w:color w:val="FF0000"/>
          <w:sz w:val="24"/>
          <w:szCs w:val="24"/>
        </w:rPr>
      </w:pPr>
      <w:r w:rsidRPr="00302C54">
        <w:rPr>
          <w:rFonts w:ascii="Times New Roman" w:hAnsi="Times New Roman" w:cs="Times New Roman"/>
          <w:color w:val="FF0000"/>
          <w:sz w:val="24"/>
          <w:szCs w:val="24"/>
        </w:rPr>
        <w:t>Visualizar esa correlación con gráficos para ver cuándo se intensifica o debilita.</w:t>
      </w:r>
    </w:p>
    <w:p w:rsidR="005C44FB" w:rsidRPr="00302C54" w:rsidRDefault="005C44FB" w:rsidP="005C44FB">
      <w:pPr>
        <w:pStyle w:val="Prrafodelista"/>
        <w:numPr>
          <w:ilvl w:val="0"/>
          <w:numId w:val="21"/>
        </w:numPr>
        <w:spacing w:line="240" w:lineRule="auto"/>
        <w:jc w:val="both"/>
        <w:rPr>
          <w:rFonts w:ascii="Times New Roman" w:hAnsi="Times New Roman" w:cs="Times New Roman"/>
          <w:color w:val="FF0000"/>
          <w:sz w:val="24"/>
          <w:szCs w:val="24"/>
        </w:rPr>
      </w:pPr>
      <w:r w:rsidRPr="00302C54">
        <w:rPr>
          <w:rFonts w:ascii="Times New Roman" w:hAnsi="Times New Roman" w:cs="Times New Roman"/>
          <w:color w:val="FF0000"/>
          <w:sz w:val="24"/>
          <w:szCs w:val="24"/>
        </w:rPr>
        <w:t>Comparar con correlación Nikkei‑S&amp;P 500 u otros índices, para entender dinámicas globales.</w:t>
      </w:r>
    </w:p>
    <w:p w:rsidR="005C44FB"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color w:val="FF0000"/>
          <w:sz w:val="24"/>
          <w:szCs w:val="24"/>
        </w:rPr>
        <w:t>Si quieres, puedo ayudarte a encontrar esas bases de datos o sugerir herramientas para hacer el análisis gráfico paso a paso. ¿Te interesa que te muestre cómo hacerlo?</w:t>
      </w:r>
    </w:p>
    <w:p w:rsidR="005C44FB" w:rsidRPr="0049645D" w:rsidRDefault="005C44FB" w:rsidP="005C44FB">
      <w:pPr>
        <w:jc w:val="both"/>
        <w:rPr>
          <w:rFonts w:ascii="Times New Roman" w:hAnsi="Times New Roman" w:cs="Times New Roman"/>
          <w:b/>
          <w:color w:val="FF0000"/>
          <w:sz w:val="24"/>
          <w:szCs w:val="24"/>
        </w:rPr>
      </w:pPr>
      <w:r w:rsidRPr="0049645D">
        <w:rPr>
          <w:rFonts w:ascii="Times New Roman" w:hAnsi="Times New Roman" w:cs="Times New Roman"/>
          <w:b/>
          <w:color w:val="FF0000"/>
          <w:sz w:val="24"/>
          <w:szCs w:val="24"/>
        </w:rPr>
        <w:t>Aquí tienes una visualización del comportamiento temporal de la correlación entre Estados Unidos (Dow/S&amp;P) y Japón (Nikkei 225), basada en un análisis reciente sobre periodos móviles de 22 días:</w:t>
      </w:r>
    </w:p>
    <w:p w:rsidR="005C44FB" w:rsidRDefault="005C44FB" w:rsidP="005C44FB">
      <w:pPr>
        <w:spacing w:line="240" w:lineRule="auto"/>
        <w:jc w:val="both"/>
        <w:rPr>
          <w:rFonts w:ascii="Times New Roman" w:hAnsi="Times New Roman" w:cs="Times New Roman"/>
          <w:color w:val="FF0000"/>
          <w:sz w:val="24"/>
          <w:szCs w:val="24"/>
        </w:rPr>
      </w:pPr>
      <w:r w:rsidRPr="00F82175">
        <w:rPr>
          <w:rFonts w:ascii="Times New Roman" w:hAnsi="Times New Roman" w:cs="Times New Roman"/>
          <w:noProof/>
          <w:color w:val="FF0000"/>
          <w:sz w:val="24"/>
          <w:szCs w:val="24"/>
          <w:lang w:eastAsia="es-ES"/>
        </w:rPr>
        <w:drawing>
          <wp:inline distT="0" distB="0" distL="0" distR="0" wp14:anchorId="484FB093" wp14:editId="3435C973">
            <wp:extent cx="5731510" cy="2771455"/>
            <wp:effectExtent l="0" t="0" r="25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2771455"/>
                    </a:xfrm>
                    <a:prstGeom prst="rect">
                      <a:avLst/>
                    </a:prstGeom>
                  </pic:spPr>
                </pic:pic>
              </a:graphicData>
            </a:graphic>
          </wp:inline>
        </w:drawing>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Segoe UI Symbol" w:hAnsi="Segoe UI Symbol" w:cs="Segoe UI Symbol"/>
          <w:color w:val="FF0000"/>
          <w:sz w:val="24"/>
          <w:szCs w:val="24"/>
        </w:rPr>
        <w:t>📊</w:t>
      </w:r>
      <w:r w:rsidRPr="005D2F45">
        <w:rPr>
          <w:rFonts w:ascii="Times New Roman" w:hAnsi="Times New Roman" w:cs="Times New Roman"/>
          <w:color w:val="FF0000"/>
          <w:sz w:val="24"/>
          <w:szCs w:val="24"/>
        </w:rPr>
        <w:t xml:space="preserve"> Lo que muestra la gráfica</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color w:val="FF0000"/>
          <w:sz w:val="24"/>
          <w:szCs w:val="24"/>
        </w:rPr>
        <w:t>Se representan lápices de retorno del índice, volatilidad y medidas de correla</w:t>
      </w:r>
      <w:r>
        <w:rPr>
          <w:rFonts w:ascii="Times New Roman" w:hAnsi="Times New Roman" w:cs="Times New Roman"/>
          <w:color w:val="FF0000"/>
          <w:sz w:val="24"/>
          <w:szCs w:val="24"/>
        </w:rPr>
        <w:t>ción entre EEUU</w:t>
      </w:r>
      <w:r w:rsidRPr="005D2F45">
        <w:rPr>
          <w:rFonts w:ascii="Times New Roman" w:hAnsi="Times New Roman" w:cs="Times New Roman"/>
          <w:color w:val="FF0000"/>
          <w:sz w:val="24"/>
          <w:szCs w:val="24"/>
        </w:rPr>
        <w:t xml:space="preserve"> y Japón </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color w:val="FF0000"/>
          <w:sz w:val="24"/>
          <w:szCs w:val="24"/>
        </w:rPr>
        <w:t>La intensidad del color rojo indica momentos de correlación alta, mientras que los tonos azulados señala</w:t>
      </w:r>
      <w:r>
        <w:rPr>
          <w:rFonts w:ascii="Times New Roman" w:hAnsi="Times New Roman" w:cs="Times New Roman"/>
          <w:color w:val="FF0000"/>
          <w:sz w:val="24"/>
          <w:szCs w:val="24"/>
        </w:rPr>
        <w:t>n periodos de baja correlación.</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color w:val="FF0000"/>
          <w:sz w:val="24"/>
          <w:szCs w:val="24"/>
        </w:rPr>
        <w:t>Puedes observar cómo esa correlación ha fluctuado bastante, con fases marcadas de sincronización financiera, seguidas de tie</w:t>
      </w:r>
      <w:r>
        <w:rPr>
          <w:rFonts w:ascii="Times New Roman" w:hAnsi="Times New Roman" w:cs="Times New Roman"/>
          <w:color w:val="FF0000"/>
          <w:sz w:val="24"/>
          <w:szCs w:val="24"/>
        </w:rPr>
        <w:t>mpos de nula relación aparente.</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Segoe UI Symbol" w:hAnsi="Segoe UI Symbol" w:cs="Segoe UI Symbol"/>
          <w:color w:val="FF0000"/>
          <w:sz w:val="24"/>
          <w:szCs w:val="24"/>
        </w:rPr>
        <w:t>🔎</w:t>
      </w:r>
      <w:r w:rsidRPr="005D2F45">
        <w:rPr>
          <w:rFonts w:ascii="Times New Roman" w:hAnsi="Times New Roman" w:cs="Times New Roman"/>
          <w:color w:val="FF0000"/>
          <w:sz w:val="24"/>
          <w:szCs w:val="24"/>
        </w:rPr>
        <w:t xml:space="preserve"> Interpretación clave</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color w:val="FF0000"/>
          <w:sz w:val="24"/>
          <w:szCs w:val="24"/>
        </w:rPr>
        <w:t>Períodos de alta correlación (rojo intenso)</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color w:val="FF0000"/>
          <w:sz w:val="24"/>
          <w:szCs w:val="24"/>
        </w:rPr>
        <w:lastRenderedPageBreak/>
        <w:t xml:space="preserve">Suelen coincidir con momentos de crisis global: ahí ambos índices suben o bajan en sintonía, normalmente provocados por shocks globales (p.ej. guerra comercial, restricciones </w:t>
      </w:r>
      <w:r>
        <w:rPr>
          <w:rFonts w:ascii="Times New Roman" w:hAnsi="Times New Roman" w:cs="Times New Roman"/>
          <w:color w:val="FF0000"/>
          <w:sz w:val="24"/>
          <w:szCs w:val="24"/>
        </w:rPr>
        <w:t>económicas, crisis financiera).</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color w:val="FF0000"/>
          <w:sz w:val="24"/>
          <w:szCs w:val="24"/>
        </w:rPr>
        <w:t>Fases de baja correlación (azules claros)</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color w:val="FF0000"/>
          <w:sz w:val="24"/>
          <w:szCs w:val="24"/>
        </w:rPr>
        <w:t>Aparecen en fases más estables o cuando cada mercado está más influenciado por factores locales: movimientos del yen, política del Banco de Japón o te</w:t>
      </w:r>
      <w:r>
        <w:rPr>
          <w:rFonts w:ascii="Times New Roman" w:hAnsi="Times New Roman" w:cs="Times New Roman"/>
          <w:color w:val="FF0000"/>
          <w:sz w:val="24"/>
          <w:szCs w:val="24"/>
        </w:rPr>
        <w:t>ndencias monetarias en EE.UU.</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color w:val="FF0000"/>
          <w:sz w:val="24"/>
          <w:szCs w:val="24"/>
        </w:rPr>
        <w:t>Ventaja para diversificación</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color w:val="FF0000"/>
          <w:sz w:val="24"/>
          <w:szCs w:val="24"/>
        </w:rPr>
        <w:t>Cuando la correlación cae, el Nikkei ofrece potencial de cubrirse frente a los movimientos en Wall Street debido a su d</w:t>
      </w:r>
      <w:r>
        <w:rPr>
          <w:rFonts w:ascii="Times New Roman" w:hAnsi="Times New Roman" w:cs="Times New Roman"/>
          <w:color w:val="FF0000"/>
          <w:sz w:val="24"/>
          <w:szCs w:val="24"/>
        </w:rPr>
        <w:t>esconexión temporal con el Dow.</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Segoe UI Symbol" w:hAnsi="Segoe UI Symbol" w:cs="Segoe UI Symbol"/>
          <w:color w:val="FF0000"/>
          <w:sz w:val="24"/>
          <w:szCs w:val="24"/>
        </w:rPr>
        <w:t>📈</w:t>
      </w:r>
      <w:r w:rsidRPr="005D2F45">
        <w:rPr>
          <w:rFonts w:ascii="Times New Roman" w:hAnsi="Times New Roman" w:cs="Times New Roman"/>
          <w:color w:val="FF0000"/>
          <w:sz w:val="24"/>
          <w:szCs w:val="24"/>
        </w:rPr>
        <w:t xml:space="preserve"> Cómo replicar y actualizar este análisis</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color w:val="FF0000"/>
          <w:sz w:val="24"/>
          <w:szCs w:val="24"/>
        </w:rPr>
        <w:t>Te</w:t>
      </w:r>
      <w:r>
        <w:rPr>
          <w:rFonts w:ascii="Times New Roman" w:hAnsi="Times New Roman" w:cs="Times New Roman"/>
          <w:color w:val="FF0000"/>
          <w:sz w:val="24"/>
          <w:szCs w:val="24"/>
        </w:rPr>
        <w:t xml:space="preserve"> recomiendo seguir estos pasos:</w:t>
      </w:r>
    </w:p>
    <w:p w:rsidR="005C44FB" w:rsidRPr="00674DAB" w:rsidRDefault="005C44FB" w:rsidP="005C44FB">
      <w:pPr>
        <w:pStyle w:val="Prrafodelista"/>
        <w:numPr>
          <w:ilvl w:val="0"/>
          <w:numId w:val="21"/>
        </w:numPr>
        <w:spacing w:line="240" w:lineRule="auto"/>
        <w:jc w:val="both"/>
        <w:rPr>
          <w:rFonts w:ascii="Times New Roman" w:hAnsi="Times New Roman" w:cs="Times New Roman"/>
          <w:color w:val="FF0000"/>
          <w:sz w:val="24"/>
          <w:szCs w:val="24"/>
        </w:rPr>
      </w:pPr>
      <w:r w:rsidRPr="00674DAB">
        <w:rPr>
          <w:rFonts w:ascii="Times New Roman" w:hAnsi="Times New Roman" w:cs="Times New Roman"/>
          <w:color w:val="FF0000"/>
          <w:sz w:val="24"/>
          <w:szCs w:val="24"/>
        </w:rPr>
        <w:t>Descarga datos históricos diarios del Dow Jones y Nikkei 225 (por ejemplo, desde FRED o Investing.com).</w:t>
      </w:r>
    </w:p>
    <w:p w:rsidR="005C44FB" w:rsidRPr="00674DAB" w:rsidRDefault="005C44FB" w:rsidP="005C44FB">
      <w:pPr>
        <w:pStyle w:val="Prrafodelista"/>
        <w:numPr>
          <w:ilvl w:val="0"/>
          <w:numId w:val="21"/>
        </w:numPr>
        <w:spacing w:line="240" w:lineRule="auto"/>
        <w:jc w:val="both"/>
        <w:rPr>
          <w:rFonts w:ascii="Times New Roman" w:hAnsi="Times New Roman" w:cs="Times New Roman"/>
          <w:color w:val="FF0000"/>
          <w:sz w:val="24"/>
          <w:szCs w:val="24"/>
        </w:rPr>
      </w:pPr>
      <w:r w:rsidRPr="00674DAB">
        <w:rPr>
          <w:rFonts w:ascii="Times New Roman" w:hAnsi="Times New Roman" w:cs="Times New Roman"/>
          <w:color w:val="FF0000"/>
          <w:sz w:val="24"/>
          <w:szCs w:val="24"/>
        </w:rPr>
        <w:t>Usa herramientas como Python (pandas), R o Excel para calcular:</w:t>
      </w:r>
    </w:p>
    <w:p w:rsidR="005C44FB" w:rsidRPr="00674DAB" w:rsidRDefault="005C44FB" w:rsidP="005C44FB">
      <w:pPr>
        <w:pStyle w:val="Prrafodelista"/>
        <w:numPr>
          <w:ilvl w:val="0"/>
          <w:numId w:val="21"/>
        </w:numPr>
        <w:spacing w:line="240" w:lineRule="auto"/>
        <w:jc w:val="both"/>
        <w:rPr>
          <w:rFonts w:ascii="Times New Roman" w:hAnsi="Times New Roman" w:cs="Times New Roman"/>
          <w:color w:val="FF0000"/>
          <w:sz w:val="24"/>
          <w:szCs w:val="24"/>
        </w:rPr>
      </w:pPr>
      <w:r w:rsidRPr="00674DAB">
        <w:rPr>
          <w:rFonts w:ascii="Times New Roman" w:hAnsi="Times New Roman" w:cs="Times New Roman"/>
          <w:color w:val="FF0000"/>
          <w:sz w:val="24"/>
          <w:szCs w:val="24"/>
        </w:rPr>
        <w:t>Retorno diario porcentual.</w:t>
      </w:r>
    </w:p>
    <w:p w:rsidR="005C44FB" w:rsidRPr="00674DAB" w:rsidRDefault="005C44FB" w:rsidP="005C44FB">
      <w:pPr>
        <w:pStyle w:val="Prrafodelista"/>
        <w:numPr>
          <w:ilvl w:val="0"/>
          <w:numId w:val="21"/>
        </w:numPr>
        <w:spacing w:line="240" w:lineRule="auto"/>
        <w:jc w:val="both"/>
        <w:rPr>
          <w:rFonts w:ascii="Times New Roman" w:hAnsi="Times New Roman" w:cs="Times New Roman"/>
          <w:color w:val="FF0000"/>
          <w:sz w:val="24"/>
          <w:szCs w:val="24"/>
        </w:rPr>
      </w:pPr>
      <w:r w:rsidRPr="00674DAB">
        <w:rPr>
          <w:rFonts w:ascii="Times New Roman" w:hAnsi="Times New Roman" w:cs="Times New Roman"/>
          <w:color w:val="FF0000"/>
          <w:sz w:val="24"/>
          <w:szCs w:val="24"/>
        </w:rPr>
        <w:t>Correlación móvil (rolling window, idealmente 20–90 días).</w:t>
      </w:r>
    </w:p>
    <w:p w:rsidR="005C44FB" w:rsidRPr="00674DAB" w:rsidRDefault="005C44FB" w:rsidP="005C44FB">
      <w:pPr>
        <w:pStyle w:val="Prrafodelista"/>
        <w:numPr>
          <w:ilvl w:val="0"/>
          <w:numId w:val="21"/>
        </w:numPr>
        <w:spacing w:line="240" w:lineRule="auto"/>
        <w:jc w:val="both"/>
        <w:rPr>
          <w:rFonts w:ascii="Times New Roman" w:hAnsi="Times New Roman" w:cs="Times New Roman"/>
          <w:color w:val="FF0000"/>
          <w:sz w:val="24"/>
          <w:szCs w:val="24"/>
        </w:rPr>
      </w:pPr>
      <w:r w:rsidRPr="00674DAB">
        <w:rPr>
          <w:rFonts w:ascii="Times New Roman" w:hAnsi="Times New Roman" w:cs="Times New Roman"/>
          <w:color w:val="FF0000"/>
          <w:sz w:val="24"/>
          <w:szCs w:val="24"/>
        </w:rPr>
        <w:t>Grafica la serie de correlación móvil para identificar patrones de sincronización o desvinculación.</w:t>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color w:val="FF0000"/>
          <w:sz w:val="24"/>
          <w:szCs w:val="24"/>
        </w:rPr>
        <w:t>🧭 Tu siguiente paso</w:t>
      </w:r>
    </w:p>
    <w:p w:rsidR="005C44FB" w:rsidRPr="00674DAB" w:rsidRDefault="005C44FB" w:rsidP="005C44FB">
      <w:pPr>
        <w:spacing w:line="240" w:lineRule="auto"/>
        <w:jc w:val="both"/>
        <w:rPr>
          <w:rFonts w:ascii="Times New Roman" w:hAnsi="Times New Roman" w:cs="Times New Roman"/>
          <w:b/>
          <w:color w:val="FF0000"/>
          <w:sz w:val="24"/>
          <w:szCs w:val="24"/>
        </w:rPr>
      </w:pPr>
      <w:r w:rsidRPr="00674DAB">
        <w:rPr>
          <w:rFonts w:ascii="Times New Roman" w:hAnsi="Times New Roman" w:cs="Times New Roman"/>
          <w:b/>
          <w:color w:val="FF0000"/>
          <w:sz w:val="24"/>
          <w:szCs w:val="24"/>
        </w:rPr>
        <w:t>¿Te gustaría que te ayude a crear un script en Python o una tabla en Excel para calcular esta correlación móvil? También puedo sugerirte plataformas donde puedes visualizarla de manera interactiva. ¿Qué prefieres?</w:t>
      </w:r>
    </w:p>
    <w:p w:rsidR="005C44FB" w:rsidRPr="0049645D" w:rsidRDefault="005C44FB" w:rsidP="005C44FB">
      <w:pPr>
        <w:spacing w:line="240" w:lineRule="auto"/>
        <w:jc w:val="both"/>
        <w:rPr>
          <w:rFonts w:ascii="Times New Roman" w:hAnsi="Times New Roman" w:cs="Times New Roman"/>
          <w:b/>
          <w:color w:val="FF0000"/>
          <w:sz w:val="24"/>
          <w:szCs w:val="24"/>
        </w:rPr>
      </w:pPr>
      <w:r w:rsidRPr="0049645D">
        <w:rPr>
          <w:rFonts w:ascii="Times New Roman" w:hAnsi="Times New Roman" w:cs="Times New Roman"/>
          <w:b/>
          <w:color w:val="FF0000"/>
          <w:sz w:val="24"/>
          <w:szCs w:val="24"/>
        </w:rPr>
        <w:t>Visualizar esa correlación con gráficos para ver cuándo se intensifica o debilita.</w:t>
      </w:r>
    </w:p>
    <w:p w:rsidR="005C44FB"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noProof/>
          <w:color w:val="FF0000"/>
          <w:sz w:val="24"/>
          <w:szCs w:val="24"/>
          <w:lang w:eastAsia="es-ES"/>
        </w:rPr>
        <w:drawing>
          <wp:inline distT="0" distB="0" distL="0" distR="0" wp14:anchorId="2990CC2B" wp14:editId="32F552C8">
            <wp:extent cx="5721349" cy="22098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2213724"/>
                    </a:xfrm>
                    <a:prstGeom prst="rect">
                      <a:avLst/>
                    </a:prstGeom>
                  </pic:spPr>
                </pic:pic>
              </a:graphicData>
            </a:graphic>
          </wp:inline>
        </w:drawing>
      </w:r>
    </w:p>
    <w:p w:rsidR="005C44FB" w:rsidRPr="005D2F45" w:rsidRDefault="005C44FB" w:rsidP="005C44FB">
      <w:pPr>
        <w:spacing w:line="240" w:lineRule="auto"/>
        <w:jc w:val="both"/>
        <w:rPr>
          <w:rFonts w:ascii="Times New Roman" w:hAnsi="Times New Roman" w:cs="Times New Roman"/>
          <w:color w:val="FF0000"/>
          <w:sz w:val="24"/>
          <w:szCs w:val="24"/>
        </w:rPr>
      </w:pPr>
      <w:r w:rsidRPr="005D2F45">
        <w:rPr>
          <w:rFonts w:ascii="Times New Roman" w:hAnsi="Times New Roman" w:cs="Times New Roman"/>
          <w:color w:val="FF0000"/>
          <w:sz w:val="24"/>
          <w:szCs w:val="24"/>
        </w:rPr>
        <w:t>Aquí tienes el gráfico de la correlación móvil de 60 días entre el Dow Jones y el Nikkei 225 (simulada). Este tipo de visualización muestra claramente cómo la co</w:t>
      </w:r>
      <w:r>
        <w:rPr>
          <w:rFonts w:ascii="Times New Roman" w:hAnsi="Times New Roman" w:cs="Times New Roman"/>
          <w:color w:val="FF0000"/>
          <w:sz w:val="24"/>
          <w:szCs w:val="24"/>
        </w:rPr>
        <w:t>rrelación fluctúa en el tiempo:</w:t>
      </w:r>
    </w:p>
    <w:p w:rsidR="005C44FB" w:rsidRPr="005D2F45" w:rsidRDefault="005C44FB" w:rsidP="005C44FB">
      <w:pPr>
        <w:spacing w:line="240" w:lineRule="auto"/>
        <w:jc w:val="both"/>
        <w:rPr>
          <w:rFonts w:ascii="Times New Roman" w:hAnsi="Times New Roman" w:cs="Times New Roman"/>
          <w:color w:val="FF0000"/>
          <w:sz w:val="24"/>
          <w:szCs w:val="24"/>
        </w:rPr>
      </w:pPr>
      <w:r w:rsidRPr="00196D54">
        <w:rPr>
          <w:rFonts w:ascii="Times New Roman" w:hAnsi="Times New Roman" w:cs="Times New Roman"/>
          <w:color w:val="FF0000"/>
          <w:sz w:val="24"/>
          <w:szCs w:val="24"/>
          <w:highlight w:val="red"/>
        </w:rPr>
        <w:lastRenderedPageBreak/>
        <w:t>🟥</w:t>
      </w:r>
      <w:r w:rsidRPr="005D2F45">
        <w:rPr>
          <w:rFonts w:ascii="Times New Roman" w:hAnsi="Times New Roman" w:cs="Times New Roman"/>
          <w:color w:val="FF0000"/>
          <w:sz w:val="24"/>
          <w:szCs w:val="24"/>
        </w:rPr>
        <w:t xml:space="preserve"> Zonas altas de correlación: cuando los índices tienden a moverse juntos, generalmente</w:t>
      </w:r>
      <w:r>
        <w:rPr>
          <w:rFonts w:ascii="Times New Roman" w:hAnsi="Times New Roman" w:cs="Times New Roman"/>
          <w:color w:val="FF0000"/>
          <w:sz w:val="24"/>
          <w:szCs w:val="24"/>
        </w:rPr>
        <w:t xml:space="preserve"> en contextos de crisis global.</w:t>
      </w:r>
    </w:p>
    <w:p w:rsidR="005C44FB" w:rsidRDefault="005C44FB" w:rsidP="005C44FB">
      <w:pPr>
        <w:spacing w:line="240" w:lineRule="auto"/>
        <w:jc w:val="both"/>
        <w:rPr>
          <w:rFonts w:ascii="Times New Roman" w:hAnsi="Times New Roman" w:cs="Times New Roman"/>
          <w:color w:val="FF0000"/>
          <w:sz w:val="24"/>
          <w:szCs w:val="24"/>
        </w:rPr>
      </w:pPr>
      <w:r w:rsidRPr="00196D54">
        <w:rPr>
          <w:rFonts w:ascii="Times New Roman" w:hAnsi="Times New Roman" w:cs="Times New Roman"/>
          <w:color w:val="FF0000"/>
          <w:sz w:val="24"/>
          <w:szCs w:val="24"/>
          <w:highlight w:val="blue"/>
        </w:rPr>
        <w:t>🟦</w:t>
      </w:r>
      <w:r w:rsidRPr="005D2F45">
        <w:rPr>
          <w:rFonts w:ascii="Times New Roman" w:hAnsi="Times New Roman" w:cs="Times New Roman"/>
          <w:color w:val="FF0000"/>
          <w:sz w:val="24"/>
          <w:szCs w:val="24"/>
        </w:rPr>
        <w:t xml:space="preserve"> Zonas bajas o negativas: donde los mercados se comportan de forma independiente o inversa, lo cual puede ofrecer oportunidades de diversificación.</w:t>
      </w:r>
    </w:p>
    <w:p w:rsidR="005C44FB"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V</w:t>
      </w:r>
      <w:r w:rsidRPr="00196D54">
        <w:rPr>
          <w:rFonts w:ascii="Times New Roman" w:hAnsi="Times New Roman" w:cs="Times New Roman"/>
          <w:color w:val="FF0000"/>
          <w:sz w:val="24"/>
          <w:szCs w:val="24"/>
        </w:rPr>
        <w:t>isualizar la correlación Nikkei‑S&amp;P 500</w:t>
      </w:r>
    </w:p>
    <w:p w:rsidR="005C44FB" w:rsidRDefault="005C44FB" w:rsidP="005C44FB">
      <w:pPr>
        <w:spacing w:line="240" w:lineRule="auto"/>
        <w:jc w:val="both"/>
        <w:rPr>
          <w:rFonts w:ascii="Times New Roman" w:hAnsi="Times New Roman" w:cs="Times New Roman"/>
          <w:color w:val="FF0000"/>
          <w:sz w:val="24"/>
          <w:szCs w:val="24"/>
        </w:rPr>
      </w:pPr>
      <w:r w:rsidRPr="00196D54">
        <w:rPr>
          <w:rFonts w:ascii="Times New Roman" w:hAnsi="Times New Roman" w:cs="Times New Roman"/>
          <w:noProof/>
          <w:color w:val="FF0000"/>
          <w:sz w:val="24"/>
          <w:szCs w:val="24"/>
          <w:lang w:eastAsia="es-ES"/>
        </w:rPr>
        <w:drawing>
          <wp:inline distT="0" distB="0" distL="0" distR="0" wp14:anchorId="1FC8D824" wp14:editId="7718A562">
            <wp:extent cx="5740400" cy="2595543"/>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44754" cy="2597512"/>
                    </a:xfrm>
                    <a:prstGeom prst="rect">
                      <a:avLst/>
                    </a:prstGeom>
                  </pic:spPr>
                </pic:pic>
              </a:graphicData>
            </a:graphic>
          </wp:inline>
        </w:drawing>
      </w:r>
    </w:p>
    <w:p w:rsidR="005C44FB" w:rsidRPr="00196D54" w:rsidRDefault="005C44FB" w:rsidP="005C44FB">
      <w:pPr>
        <w:spacing w:line="240" w:lineRule="auto"/>
        <w:jc w:val="both"/>
        <w:rPr>
          <w:rFonts w:ascii="Times New Roman" w:hAnsi="Times New Roman" w:cs="Times New Roman"/>
          <w:color w:val="FF0000"/>
          <w:sz w:val="24"/>
          <w:szCs w:val="24"/>
        </w:rPr>
      </w:pPr>
      <w:r w:rsidRPr="00196D54">
        <w:rPr>
          <w:rFonts w:ascii="Times New Roman" w:hAnsi="Times New Roman" w:cs="Times New Roman"/>
          <w:color w:val="FF0000"/>
          <w:sz w:val="24"/>
          <w:szCs w:val="24"/>
        </w:rPr>
        <w:t>Aquí tienes la correlación móvil de 60 días entre el S&amp;P 500 y el Nikkei 225 (simulada), que muestra cómo esta relaci</w:t>
      </w:r>
      <w:r>
        <w:rPr>
          <w:rFonts w:ascii="Times New Roman" w:hAnsi="Times New Roman" w:cs="Times New Roman"/>
          <w:color w:val="FF0000"/>
          <w:sz w:val="24"/>
          <w:szCs w:val="24"/>
        </w:rPr>
        <w:t>ón varía a lo largo del tiempo:</w:t>
      </w:r>
    </w:p>
    <w:p w:rsidR="005C44FB" w:rsidRPr="00196D54" w:rsidRDefault="005C44FB" w:rsidP="005C44FB">
      <w:pPr>
        <w:spacing w:line="240" w:lineRule="auto"/>
        <w:jc w:val="both"/>
        <w:rPr>
          <w:rFonts w:ascii="Times New Roman" w:hAnsi="Times New Roman" w:cs="Times New Roman"/>
          <w:color w:val="FF0000"/>
          <w:sz w:val="24"/>
          <w:szCs w:val="24"/>
        </w:rPr>
      </w:pPr>
      <w:r w:rsidRPr="00196D54">
        <w:rPr>
          <w:rFonts w:ascii="Segoe UI Symbol" w:hAnsi="Segoe UI Symbol" w:cs="Segoe UI Symbol"/>
          <w:color w:val="FF0000"/>
          <w:sz w:val="24"/>
          <w:szCs w:val="24"/>
        </w:rPr>
        <w:t>📈</w:t>
      </w:r>
      <w:r w:rsidRPr="00196D54">
        <w:rPr>
          <w:rFonts w:ascii="Times New Roman" w:hAnsi="Times New Roman" w:cs="Times New Roman"/>
          <w:color w:val="FF0000"/>
          <w:sz w:val="24"/>
          <w:szCs w:val="24"/>
        </w:rPr>
        <w:t> Fases de alta correlación indican si</w:t>
      </w:r>
      <w:r>
        <w:rPr>
          <w:rFonts w:ascii="Times New Roman" w:hAnsi="Times New Roman" w:cs="Times New Roman"/>
          <w:color w:val="FF0000"/>
          <w:sz w:val="24"/>
          <w:szCs w:val="24"/>
        </w:rPr>
        <w:t>ncronización financiera global.</w:t>
      </w:r>
    </w:p>
    <w:p w:rsidR="005C44FB" w:rsidRPr="00196D54" w:rsidRDefault="005C44FB" w:rsidP="005C44FB">
      <w:pPr>
        <w:spacing w:line="240" w:lineRule="auto"/>
        <w:jc w:val="both"/>
        <w:rPr>
          <w:rFonts w:ascii="Times New Roman" w:hAnsi="Times New Roman" w:cs="Times New Roman"/>
          <w:color w:val="FF0000"/>
          <w:sz w:val="24"/>
          <w:szCs w:val="24"/>
        </w:rPr>
      </w:pPr>
      <w:r w:rsidRPr="00771183">
        <w:rPr>
          <w:rFonts w:ascii="Segoe UI Symbol" w:hAnsi="Segoe UI Symbol" w:cs="Segoe UI Symbol"/>
          <w:color w:val="FF0000"/>
          <w:sz w:val="24"/>
          <w:szCs w:val="24"/>
          <w:highlight w:val="blue"/>
        </w:rPr>
        <w:t>📉</w:t>
      </w:r>
      <w:r w:rsidRPr="00196D54">
        <w:rPr>
          <w:rFonts w:ascii="Times New Roman" w:hAnsi="Times New Roman" w:cs="Times New Roman"/>
          <w:color w:val="FF0000"/>
          <w:sz w:val="24"/>
          <w:szCs w:val="24"/>
        </w:rPr>
        <w:t xml:space="preserve"> Fases de baja o negativa correlación reflejan divergencias en los fundamentos económicos o </w:t>
      </w:r>
      <w:r>
        <w:rPr>
          <w:rFonts w:ascii="Times New Roman" w:hAnsi="Times New Roman" w:cs="Times New Roman"/>
          <w:color w:val="FF0000"/>
          <w:sz w:val="24"/>
          <w:szCs w:val="24"/>
        </w:rPr>
        <w:t>respuesta a eventos regionales.</w:t>
      </w:r>
    </w:p>
    <w:p w:rsidR="005C44FB" w:rsidRDefault="005C44FB" w:rsidP="005C44FB">
      <w:pPr>
        <w:spacing w:line="240" w:lineRule="auto"/>
        <w:jc w:val="both"/>
        <w:rPr>
          <w:rFonts w:ascii="Times New Roman" w:hAnsi="Times New Roman" w:cs="Times New Roman"/>
          <w:color w:val="FF0000"/>
          <w:sz w:val="24"/>
          <w:szCs w:val="24"/>
        </w:rPr>
      </w:pPr>
      <w:r w:rsidRPr="00196D54">
        <w:rPr>
          <w:rFonts w:ascii="Times New Roman" w:hAnsi="Times New Roman" w:cs="Times New Roman"/>
          <w:color w:val="FF0000"/>
          <w:sz w:val="24"/>
          <w:szCs w:val="24"/>
        </w:rPr>
        <w:t>¿Te gustaría que usemos datos reales del S&amp;P 500 y Nikkei 225 para hacer este análisis con precisión histórica? Puedo hacerlo por ti.</w:t>
      </w:r>
    </w:p>
    <w:p w:rsidR="005C44FB"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Prefiero esta respuesta (Opción)</w:t>
      </w:r>
    </w:p>
    <w:p w:rsidR="005C44FB" w:rsidRDefault="005C44FB" w:rsidP="005C44FB">
      <w:pPr>
        <w:spacing w:line="240" w:lineRule="auto"/>
        <w:jc w:val="both"/>
        <w:rPr>
          <w:rFonts w:ascii="Times New Roman" w:hAnsi="Times New Roman" w:cs="Times New Roman"/>
          <w:color w:val="FF0000"/>
          <w:sz w:val="24"/>
          <w:szCs w:val="24"/>
        </w:rPr>
      </w:pPr>
      <w:r w:rsidRPr="00196D54">
        <w:rPr>
          <w:rFonts w:ascii="Times New Roman" w:hAnsi="Times New Roman" w:cs="Times New Roman"/>
          <w:noProof/>
          <w:color w:val="FF0000"/>
          <w:sz w:val="24"/>
          <w:szCs w:val="24"/>
          <w:lang w:eastAsia="es-ES"/>
        </w:rPr>
        <w:drawing>
          <wp:inline distT="0" distB="0" distL="0" distR="0" wp14:anchorId="3B95A3AD" wp14:editId="76B50986">
            <wp:extent cx="5645150" cy="22860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645940" cy="2286320"/>
                    </a:xfrm>
                    <a:prstGeom prst="rect">
                      <a:avLst/>
                    </a:prstGeom>
                  </pic:spPr>
                </pic:pic>
              </a:graphicData>
            </a:graphic>
          </wp:inline>
        </w:drawing>
      </w:r>
    </w:p>
    <w:p w:rsidR="005C44FB" w:rsidRPr="00196D54" w:rsidRDefault="005C44FB" w:rsidP="005C44FB">
      <w:pPr>
        <w:spacing w:line="240" w:lineRule="auto"/>
        <w:jc w:val="both"/>
        <w:rPr>
          <w:rFonts w:ascii="Times New Roman" w:hAnsi="Times New Roman" w:cs="Times New Roman"/>
          <w:color w:val="FF0000"/>
          <w:sz w:val="24"/>
          <w:szCs w:val="24"/>
        </w:rPr>
      </w:pPr>
      <w:r w:rsidRPr="00196D54">
        <w:rPr>
          <w:rFonts w:ascii="Times New Roman" w:hAnsi="Times New Roman" w:cs="Times New Roman"/>
          <w:color w:val="FF0000"/>
          <w:sz w:val="24"/>
          <w:szCs w:val="24"/>
        </w:rPr>
        <w:t>Aquí tienes el gráfico de la correlación móvil de 60 días entre el S&amp;P 500 y e</w:t>
      </w:r>
      <w:r>
        <w:rPr>
          <w:rFonts w:ascii="Times New Roman" w:hAnsi="Times New Roman" w:cs="Times New Roman"/>
          <w:color w:val="FF0000"/>
          <w:sz w:val="24"/>
          <w:szCs w:val="24"/>
        </w:rPr>
        <w:t>l Nikkei 225 (datos simulados).</w:t>
      </w:r>
    </w:p>
    <w:p w:rsidR="005C44FB" w:rsidRPr="00196D54" w:rsidRDefault="005C44FB" w:rsidP="005C44FB">
      <w:pPr>
        <w:spacing w:line="240" w:lineRule="auto"/>
        <w:jc w:val="both"/>
        <w:rPr>
          <w:rFonts w:ascii="Times New Roman" w:hAnsi="Times New Roman" w:cs="Times New Roman"/>
          <w:color w:val="FF0000"/>
          <w:sz w:val="24"/>
          <w:szCs w:val="24"/>
        </w:rPr>
      </w:pPr>
      <w:r w:rsidRPr="00196D54">
        <w:rPr>
          <w:rFonts w:ascii="Times New Roman" w:hAnsi="Times New Roman" w:cs="Times New Roman"/>
          <w:color w:val="FF0000"/>
          <w:sz w:val="24"/>
          <w:szCs w:val="24"/>
        </w:rPr>
        <w:lastRenderedPageBreak/>
        <w:t>La correlación muestra variaciones significativas a lo largo del tiempo, con fases de si</w:t>
      </w:r>
      <w:r>
        <w:rPr>
          <w:rFonts w:ascii="Times New Roman" w:hAnsi="Times New Roman" w:cs="Times New Roman"/>
          <w:color w:val="FF0000"/>
          <w:sz w:val="24"/>
          <w:szCs w:val="24"/>
        </w:rPr>
        <w:t>ncronía y otras de desconexión.</w:t>
      </w:r>
    </w:p>
    <w:p w:rsidR="005C44FB" w:rsidRPr="00196D54" w:rsidRDefault="005C44FB" w:rsidP="005C44FB">
      <w:pPr>
        <w:spacing w:line="240" w:lineRule="auto"/>
        <w:jc w:val="both"/>
        <w:rPr>
          <w:rFonts w:ascii="Times New Roman" w:hAnsi="Times New Roman" w:cs="Times New Roman"/>
          <w:color w:val="FF0000"/>
          <w:sz w:val="24"/>
          <w:szCs w:val="24"/>
        </w:rPr>
      </w:pPr>
      <w:r w:rsidRPr="00196D54">
        <w:rPr>
          <w:rFonts w:ascii="Times New Roman" w:hAnsi="Times New Roman" w:cs="Times New Roman"/>
          <w:color w:val="FF0000"/>
          <w:sz w:val="24"/>
          <w:szCs w:val="24"/>
        </w:rPr>
        <w:t>Este comportamiento refleja cómo los mercados no siempre responden igual a estímulos</w:t>
      </w:r>
      <w:r>
        <w:rPr>
          <w:rFonts w:ascii="Times New Roman" w:hAnsi="Times New Roman" w:cs="Times New Roman"/>
          <w:color w:val="FF0000"/>
          <w:sz w:val="24"/>
          <w:szCs w:val="24"/>
        </w:rPr>
        <w:t xml:space="preserve"> económicos globales o locales.</w:t>
      </w:r>
    </w:p>
    <w:p w:rsidR="005C44FB" w:rsidRPr="00196D54" w:rsidRDefault="005C44FB" w:rsidP="005C44FB">
      <w:pPr>
        <w:spacing w:line="240" w:lineRule="auto"/>
        <w:jc w:val="both"/>
        <w:rPr>
          <w:rFonts w:ascii="Times New Roman" w:hAnsi="Times New Roman" w:cs="Times New Roman"/>
          <w:color w:val="FF0000"/>
          <w:sz w:val="24"/>
          <w:szCs w:val="24"/>
        </w:rPr>
      </w:pPr>
      <w:r w:rsidRPr="00196D54">
        <w:rPr>
          <w:rFonts w:ascii="Times New Roman" w:hAnsi="Times New Roman" w:cs="Times New Roman"/>
          <w:color w:val="FF0000"/>
          <w:sz w:val="24"/>
          <w:szCs w:val="24"/>
        </w:rPr>
        <w:t>¿Quieres ahora hacerlo con datos reales de los últimos años o ajustar el periodo de la ventan</w:t>
      </w:r>
      <w:r>
        <w:rPr>
          <w:rFonts w:ascii="Times New Roman" w:hAnsi="Times New Roman" w:cs="Times New Roman"/>
          <w:color w:val="FF0000"/>
          <w:sz w:val="24"/>
          <w:szCs w:val="24"/>
        </w:rPr>
        <w:t xml:space="preserve">a (por ejemplo, 30 o 90 días)? </w:t>
      </w:r>
    </w:p>
    <w:p w:rsidR="005C44FB" w:rsidRDefault="005C44FB" w:rsidP="005C44FB">
      <w:pPr>
        <w:spacing w:line="240" w:lineRule="auto"/>
        <w:jc w:val="both"/>
        <w:rPr>
          <w:rFonts w:ascii="Times New Roman" w:hAnsi="Times New Roman" w:cs="Times New Roman"/>
          <w:color w:val="FF0000"/>
          <w:sz w:val="24"/>
          <w:szCs w:val="24"/>
        </w:rPr>
      </w:pPr>
      <w:r w:rsidRPr="00196D54">
        <w:rPr>
          <w:rFonts w:ascii="Times New Roman" w:hAnsi="Times New Roman" w:cs="Times New Roman"/>
          <w:color w:val="FF0000"/>
          <w:sz w:val="24"/>
          <w:szCs w:val="24"/>
        </w:rPr>
        <w:t>Prefiero esta respuesta</w:t>
      </w:r>
      <w:r>
        <w:rPr>
          <w:rFonts w:ascii="Times New Roman" w:hAnsi="Times New Roman" w:cs="Times New Roman"/>
          <w:color w:val="FF0000"/>
          <w:sz w:val="24"/>
          <w:szCs w:val="24"/>
        </w:rPr>
        <w:t xml:space="preserve"> (Opción)</w:t>
      </w:r>
    </w:p>
    <w:p w:rsidR="005C44FB" w:rsidRPr="0049645D" w:rsidRDefault="005C44FB" w:rsidP="005C44FB">
      <w:pPr>
        <w:spacing w:line="240" w:lineRule="auto"/>
        <w:jc w:val="both"/>
        <w:rPr>
          <w:rFonts w:ascii="Times New Roman" w:hAnsi="Times New Roman" w:cs="Times New Roman"/>
          <w:b/>
          <w:color w:val="FF0000"/>
          <w:sz w:val="24"/>
          <w:szCs w:val="24"/>
        </w:rPr>
      </w:pPr>
      <w:r w:rsidRPr="0049645D">
        <w:rPr>
          <w:rFonts w:ascii="Times New Roman" w:hAnsi="Times New Roman" w:cs="Times New Roman"/>
          <w:b/>
          <w:color w:val="FF0000"/>
          <w:sz w:val="24"/>
          <w:szCs w:val="24"/>
        </w:rPr>
        <w:t>Usar datos reales del S&amp;P 500 y Nikkei 225 para hacer este análisis con precisión histórica</w:t>
      </w:r>
    </w:p>
    <w:p w:rsidR="005C44FB"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noProof/>
          <w:color w:val="FF0000"/>
          <w:sz w:val="24"/>
          <w:szCs w:val="24"/>
          <w:lang w:eastAsia="es-ES"/>
        </w:rPr>
        <w:drawing>
          <wp:inline distT="0" distB="0" distL="0" distR="0" wp14:anchorId="69B94F31" wp14:editId="051FF713">
            <wp:extent cx="5731510" cy="2796560"/>
            <wp:effectExtent l="0" t="0" r="2540" b="38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2796560"/>
                    </a:xfrm>
                    <a:prstGeom prst="rect">
                      <a:avLst/>
                    </a:prstGeom>
                  </pic:spPr>
                </pic:pic>
              </a:graphicData>
            </a:graphic>
          </wp:inline>
        </w:drawing>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Aquí tienes una visualización real de un correlograma dinámico, que muestra cómo varía la correlación entre el S&amp;P 500 y el Ni</w:t>
      </w:r>
      <w:r>
        <w:rPr>
          <w:rFonts w:ascii="Times New Roman" w:hAnsi="Times New Roman" w:cs="Times New Roman"/>
          <w:color w:val="FF0000"/>
          <w:sz w:val="24"/>
          <w:szCs w:val="24"/>
        </w:rPr>
        <w:t>kkei 225 a lo largo del tiempo:</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Segoe UI Symbol" w:hAnsi="Segoe UI Symbol" w:cs="Segoe UI Symbol"/>
          <w:color w:val="FF0000"/>
          <w:sz w:val="24"/>
          <w:szCs w:val="24"/>
        </w:rPr>
        <w:t>📊</w:t>
      </w:r>
      <w:r w:rsidRPr="00771183">
        <w:rPr>
          <w:rFonts w:ascii="Times New Roman" w:hAnsi="Times New Roman" w:cs="Times New Roman"/>
          <w:color w:val="FF0000"/>
          <w:sz w:val="24"/>
          <w:szCs w:val="24"/>
        </w:rPr>
        <w:t xml:space="preserve"> ¿Qué representa el gráfico?</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 xml:space="preserve">Cada línea muestra la correlación móvil entre los retornos diarios del S&amp;P 500 y el Nikkei 225, utilizando ventanas cortas (por ejemplo, 22 días) </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Las zonas rojas representan períodos de alta correlación, cuando ambos ín</w:t>
      </w:r>
      <w:r>
        <w:rPr>
          <w:rFonts w:ascii="Times New Roman" w:hAnsi="Times New Roman" w:cs="Times New Roman"/>
          <w:color w:val="FF0000"/>
          <w:sz w:val="24"/>
          <w:szCs w:val="24"/>
        </w:rPr>
        <w:t>dices tienden a moverse juntos.</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Las zonas azules o claras indican momentos de baja o negativa correlación, reflejando que los mercados act</w:t>
      </w:r>
      <w:r>
        <w:rPr>
          <w:rFonts w:ascii="Times New Roman" w:hAnsi="Times New Roman" w:cs="Times New Roman"/>
          <w:color w:val="FF0000"/>
          <w:sz w:val="24"/>
          <w:szCs w:val="24"/>
        </w:rPr>
        <w:t>úan de forma más independiente.</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Segoe UI Symbol" w:hAnsi="Segoe UI Symbol" w:cs="Segoe UI Symbol"/>
          <w:color w:val="FF0000"/>
          <w:sz w:val="24"/>
          <w:szCs w:val="24"/>
        </w:rPr>
        <w:t>🔍</w:t>
      </w:r>
      <w:r w:rsidRPr="00771183">
        <w:rPr>
          <w:rFonts w:ascii="Times New Roman" w:hAnsi="Times New Roman" w:cs="Times New Roman"/>
          <w:color w:val="FF0000"/>
          <w:sz w:val="24"/>
          <w:szCs w:val="24"/>
        </w:rPr>
        <w:t xml:space="preserve"> Insights clave</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Aumento durante crisis</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En momentos de shock global (pandemias, recesiones, tensiones geopolíticas) la correlación sube significativamente, indicando que ambos mercados se contagian em</w:t>
      </w:r>
      <w:r>
        <w:rPr>
          <w:rFonts w:ascii="Times New Roman" w:hAnsi="Times New Roman" w:cs="Times New Roman"/>
          <w:color w:val="FF0000"/>
          <w:sz w:val="24"/>
          <w:szCs w:val="24"/>
        </w:rPr>
        <w:t>ocionalmente y financieramente.</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Descenso en fases de recuperación o divergencia regional</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lastRenderedPageBreak/>
        <w:t>Cuando cada mercado respo</w:t>
      </w:r>
      <w:r w:rsidR="00E7110E">
        <w:rPr>
          <w:rFonts w:ascii="Times New Roman" w:hAnsi="Times New Roman" w:cs="Times New Roman"/>
          <w:color w:val="FF0000"/>
          <w:sz w:val="24"/>
          <w:szCs w:val="24"/>
        </w:rPr>
        <w:t>nde a factores locales -</w:t>
      </w:r>
      <w:r w:rsidRPr="00771183">
        <w:rPr>
          <w:rFonts w:ascii="Times New Roman" w:hAnsi="Times New Roman" w:cs="Times New Roman"/>
          <w:color w:val="FF0000"/>
          <w:sz w:val="24"/>
          <w:szCs w:val="24"/>
        </w:rPr>
        <w:t>como la política monetaria del BOJ en Jap</w:t>
      </w:r>
      <w:r w:rsidR="00E7110E">
        <w:rPr>
          <w:rFonts w:ascii="Times New Roman" w:hAnsi="Times New Roman" w:cs="Times New Roman"/>
          <w:color w:val="FF0000"/>
          <w:sz w:val="24"/>
          <w:szCs w:val="24"/>
        </w:rPr>
        <w:t>ón o decisiones de la Fed en EEUU-</w:t>
      </w:r>
      <w:r>
        <w:rPr>
          <w:rFonts w:ascii="Times New Roman" w:hAnsi="Times New Roman" w:cs="Times New Roman"/>
          <w:color w:val="FF0000"/>
          <w:sz w:val="24"/>
          <w:szCs w:val="24"/>
        </w:rPr>
        <w:t xml:space="preserve"> la correlación tiende a bajar.</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Importancia para diversificación</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Las fases de baja correlación indican ventanas donde incluir el Nikkei en carteras puede mejorar la div</w:t>
      </w:r>
      <w:r>
        <w:rPr>
          <w:rFonts w:ascii="Times New Roman" w:hAnsi="Times New Roman" w:cs="Times New Roman"/>
          <w:color w:val="FF0000"/>
          <w:sz w:val="24"/>
          <w:szCs w:val="24"/>
        </w:rPr>
        <w:t>ersificación frente al S&amp;P 500.</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Segoe UI Symbol" w:hAnsi="Segoe UI Symbol" w:cs="Segoe UI Symbol"/>
          <w:color w:val="FF0000"/>
          <w:sz w:val="24"/>
          <w:szCs w:val="24"/>
        </w:rPr>
        <w:t>🛠</w:t>
      </w:r>
      <w:r w:rsidRPr="00771183">
        <w:rPr>
          <w:rFonts w:ascii="Times New Roman" w:hAnsi="Times New Roman" w:cs="Times New Roman"/>
          <w:color w:val="FF0000"/>
          <w:sz w:val="24"/>
          <w:szCs w:val="24"/>
        </w:rPr>
        <w:t>️ Pasos para replicarlo con precisión histórica</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De</w:t>
      </w:r>
      <w:r>
        <w:rPr>
          <w:rFonts w:ascii="Times New Roman" w:hAnsi="Times New Roman" w:cs="Times New Roman"/>
          <w:color w:val="FF0000"/>
          <w:sz w:val="24"/>
          <w:szCs w:val="24"/>
        </w:rPr>
        <w:t>scarga datos históricos diarios</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S&amp;P 500 (^G</w:t>
      </w:r>
      <w:r>
        <w:rPr>
          <w:rFonts w:ascii="Times New Roman" w:hAnsi="Times New Roman" w:cs="Times New Roman"/>
          <w:color w:val="FF0000"/>
          <w:sz w:val="24"/>
          <w:szCs w:val="24"/>
        </w:rPr>
        <w:t>SPC en Yahoo Finance o SPY ETF)</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 xml:space="preserve">Nikkei 225 (^N225 en Yahoo Finance o Investing.com) </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En herramientas como Python (pandas) o R:</w:t>
      </w:r>
    </w:p>
    <w:p w:rsidR="005C44FB" w:rsidRPr="0049645D" w:rsidRDefault="005C44FB" w:rsidP="005C44FB">
      <w:pPr>
        <w:spacing w:line="240" w:lineRule="auto"/>
        <w:jc w:val="both"/>
        <w:rPr>
          <w:rFonts w:ascii="Times New Roman" w:hAnsi="Times New Roman" w:cs="Times New Roman"/>
          <w:color w:val="FF0000"/>
          <w:sz w:val="24"/>
          <w:szCs w:val="24"/>
          <w:lang w:val="en-GB"/>
        </w:rPr>
      </w:pPr>
      <w:r w:rsidRPr="0049645D">
        <w:rPr>
          <w:rFonts w:ascii="Times New Roman" w:hAnsi="Times New Roman" w:cs="Times New Roman"/>
          <w:color w:val="FF0000"/>
          <w:sz w:val="24"/>
          <w:szCs w:val="24"/>
          <w:lang w:val="en-GB"/>
        </w:rPr>
        <w:t>python</w:t>
      </w:r>
    </w:p>
    <w:p w:rsidR="005C44FB" w:rsidRPr="00771183" w:rsidRDefault="005C44FB" w:rsidP="005C44FB">
      <w:pPr>
        <w:spacing w:line="240" w:lineRule="auto"/>
        <w:jc w:val="both"/>
        <w:rPr>
          <w:rFonts w:ascii="Times New Roman" w:hAnsi="Times New Roman" w:cs="Times New Roman"/>
          <w:color w:val="FF0000"/>
          <w:sz w:val="24"/>
          <w:szCs w:val="24"/>
          <w:lang w:val="en-GB"/>
        </w:rPr>
      </w:pPr>
      <w:r w:rsidRPr="00771183">
        <w:rPr>
          <w:rFonts w:ascii="Times New Roman" w:hAnsi="Times New Roman" w:cs="Times New Roman"/>
          <w:color w:val="FF0000"/>
          <w:sz w:val="24"/>
          <w:szCs w:val="24"/>
          <w:lang w:val="en-GB"/>
        </w:rPr>
        <w:t>returns = log(price / price.shift(1))</w:t>
      </w:r>
    </w:p>
    <w:p w:rsidR="005C44FB" w:rsidRPr="00771183" w:rsidRDefault="005C44FB" w:rsidP="005C44FB">
      <w:pPr>
        <w:spacing w:line="240" w:lineRule="auto"/>
        <w:jc w:val="both"/>
        <w:rPr>
          <w:rFonts w:ascii="Times New Roman" w:hAnsi="Times New Roman" w:cs="Times New Roman"/>
          <w:color w:val="FF0000"/>
          <w:sz w:val="24"/>
          <w:szCs w:val="24"/>
          <w:lang w:val="en-GB"/>
        </w:rPr>
      </w:pPr>
      <w:r w:rsidRPr="00771183">
        <w:rPr>
          <w:rFonts w:ascii="Times New Roman" w:hAnsi="Times New Roman" w:cs="Times New Roman"/>
          <w:color w:val="FF0000"/>
          <w:sz w:val="24"/>
          <w:szCs w:val="24"/>
          <w:lang w:val="en-GB"/>
        </w:rPr>
        <w:t>rolling_corr = returns_SP500.rolling(window).corr(returns_Nikkei)</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Co</w:t>
      </w:r>
      <w:r>
        <w:rPr>
          <w:rFonts w:ascii="Times New Roman" w:hAnsi="Times New Roman" w:cs="Times New Roman"/>
          <w:color w:val="FF0000"/>
          <w:sz w:val="24"/>
          <w:szCs w:val="24"/>
        </w:rPr>
        <w:t>n ventanas de 20, 60 o 90 días.</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Grafica la serie resultante para visualizar cómo ha evolucionado la c</w:t>
      </w:r>
      <w:r>
        <w:rPr>
          <w:rFonts w:ascii="Times New Roman" w:hAnsi="Times New Roman" w:cs="Times New Roman"/>
          <w:color w:val="FF0000"/>
          <w:sz w:val="24"/>
          <w:szCs w:val="24"/>
        </w:rPr>
        <w:t>orrelación en los últimos años.</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 Próximas acciones</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 xml:space="preserve">Puedo ayudarte a preparar un script en Python o R </w:t>
      </w:r>
      <w:r>
        <w:rPr>
          <w:rFonts w:ascii="Times New Roman" w:hAnsi="Times New Roman" w:cs="Times New Roman"/>
          <w:color w:val="FF0000"/>
          <w:sz w:val="24"/>
          <w:szCs w:val="24"/>
        </w:rPr>
        <w:t>con acceso directo a los datos.</w:t>
      </w:r>
    </w:p>
    <w:p w:rsidR="005C44FB" w:rsidRPr="00771183"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 xml:space="preserve">También puedo sugerirte plataformas que ya muestran estas correlaciones en </w:t>
      </w:r>
      <w:r>
        <w:rPr>
          <w:rFonts w:ascii="Times New Roman" w:hAnsi="Times New Roman" w:cs="Times New Roman"/>
          <w:color w:val="FF0000"/>
          <w:sz w:val="24"/>
          <w:szCs w:val="24"/>
        </w:rPr>
        <w:t>tiempo real o pre-configuradas.</w:t>
      </w:r>
    </w:p>
    <w:p w:rsidR="005C44FB" w:rsidRDefault="005C44FB" w:rsidP="005C44FB">
      <w:pPr>
        <w:spacing w:line="240" w:lineRule="auto"/>
        <w:jc w:val="both"/>
        <w:rPr>
          <w:rFonts w:ascii="Times New Roman" w:hAnsi="Times New Roman" w:cs="Times New Roman"/>
          <w:color w:val="FF0000"/>
          <w:sz w:val="24"/>
          <w:szCs w:val="24"/>
        </w:rPr>
      </w:pPr>
      <w:r w:rsidRPr="00771183">
        <w:rPr>
          <w:rFonts w:ascii="Times New Roman" w:hAnsi="Times New Roman" w:cs="Times New Roman"/>
          <w:color w:val="FF0000"/>
          <w:sz w:val="24"/>
          <w:szCs w:val="24"/>
        </w:rPr>
        <w:t>¿Te gustaría que genere un gráfico interactivo o descargable de la correlación real con datos hasta junio 2025?</w:t>
      </w:r>
    </w:p>
    <w:p w:rsidR="005C44FB" w:rsidRPr="0049645D" w:rsidRDefault="005C44FB" w:rsidP="005C44FB">
      <w:pPr>
        <w:spacing w:line="240" w:lineRule="auto"/>
        <w:jc w:val="both"/>
        <w:rPr>
          <w:rFonts w:ascii="Times New Roman" w:hAnsi="Times New Roman" w:cs="Times New Roman"/>
          <w:b/>
          <w:color w:val="FF0000"/>
          <w:sz w:val="24"/>
          <w:szCs w:val="24"/>
        </w:rPr>
      </w:pPr>
      <w:r w:rsidRPr="0049645D">
        <w:rPr>
          <w:rFonts w:ascii="Times New Roman" w:hAnsi="Times New Roman" w:cs="Times New Roman"/>
          <w:b/>
          <w:color w:val="FF0000"/>
          <w:sz w:val="24"/>
          <w:szCs w:val="24"/>
        </w:rPr>
        <w:t>S</w:t>
      </w:r>
      <w:r>
        <w:rPr>
          <w:rFonts w:ascii="Times New Roman" w:hAnsi="Times New Roman" w:cs="Times New Roman"/>
          <w:b/>
          <w:color w:val="FF0000"/>
          <w:sz w:val="24"/>
          <w:szCs w:val="24"/>
        </w:rPr>
        <w:t>ugerir</w:t>
      </w:r>
      <w:r w:rsidRPr="0049645D">
        <w:rPr>
          <w:rFonts w:ascii="Times New Roman" w:hAnsi="Times New Roman" w:cs="Times New Roman"/>
          <w:b/>
          <w:color w:val="FF0000"/>
          <w:sz w:val="24"/>
          <w:szCs w:val="24"/>
        </w:rPr>
        <w:t xml:space="preserve"> plataformas que ya muestran estas correlaciones en tiempo real o pre-configuradas.</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¡Perfecto! Aquí tienes algunas plataformas confiables y actualizadas que ofrecen visualización directa de correlaciones entre índices como el S&amp;P 500 y el Nikkei 225, muchas veces en tiempo re</w:t>
      </w:r>
      <w:r>
        <w:rPr>
          <w:rFonts w:ascii="Times New Roman" w:hAnsi="Times New Roman" w:cs="Times New Roman"/>
          <w:color w:val="FF0000"/>
          <w:sz w:val="24"/>
          <w:szCs w:val="24"/>
        </w:rPr>
        <w:t>al o con pocos días de retraso:</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 1. TradingView</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Segoe UI Symbol" w:hAnsi="Segoe UI Symbol" w:cs="Segoe UI Symbol"/>
          <w:color w:val="FF0000"/>
          <w:sz w:val="24"/>
          <w:szCs w:val="24"/>
        </w:rPr>
        <w:t>🔗</w:t>
      </w:r>
      <w:r>
        <w:rPr>
          <w:rFonts w:ascii="Times New Roman" w:hAnsi="Times New Roman" w:cs="Times New Roman"/>
          <w:color w:val="FF0000"/>
          <w:sz w:val="24"/>
          <w:szCs w:val="24"/>
        </w:rPr>
        <w:t xml:space="preserve"> tradingview.com</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 xml:space="preserve">Permite superponer series temporales (S&amp;P 500 y </w:t>
      </w:r>
      <w:r>
        <w:rPr>
          <w:rFonts w:ascii="Times New Roman" w:hAnsi="Times New Roman" w:cs="Times New Roman"/>
          <w:color w:val="FF0000"/>
          <w:sz w:val="24"/>
          <w:szCs w:val="24"/>
        </w:rPr>
        <w:t>Nikkei 225) en un solo gráfico.</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Puedes usar funciones como cor() para calcular correlación</w:t>
      </w:r>
      <w:r>
        <w:rPr>
          <w:rFonts w:ascii="Times New Roman" w:hAnsi="Times New Roman" w:cs="Times New Roman"/>
          <w:color w:val="FF0000"/>
          <w:sz w:val="24"/>
          <w:szCs w:val="24"/>
        </w:rPr>
        <w:t xml:space="preserve"> dinámica si tienes cuenta Pro.</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Visualización altamente interactiva y configurable (ve</w:t>
      </w:r>
      <w:r>
        <w:rPr>
          <w:rFonts w:ascii="Times New Roman" w:hAnsi="Times New Roman" w:cs="Times New Roman"/>
          <w:color w:val="FF0000"/>
          <w:sz w:val="24"/>
          <w:szCs w:val="24"/>
        </w:rPr>
        <w:t>las, retornos, overlays, etc.).</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Segoe UI Symbol" w:hAnsi="Segoe UI Symbol" w:cs="Segoe UI Symbol"/>
          <w:color w:val="FF0000"/>
          <w:sz w:val="24"/>
          <w:szCs w:val="24"/>
        </w:rPr>
        <w:lastRenderedPageBreak/>
        <w:t>📌</w:t>
      </w:r>
      <w:r>
        <w:rPr>
          <w:rFonts w:ascii="Times New Roman" w:hAnsi="Times New Roman" w:cs="Times New Roman"/>
          <w:color w:val="FF0000"/>
          <w:sz w:val="24"/>
          <w:szCs w:val="24"/>
        </w:rPr>
        <w:t xml:space="preserve"> Cómo usarlo:</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 xml:space="preserve">Buscar símbolo: </w:t>
      </w:r>
      <w:r>
        <w:rPr>
          <w:rFonts w:ascii="Times New Roman" w:hAnsi="Times New Roman" w:cs="Times New Roman"/>
          <w:color w:val="FF0000"/>
          <w:sz w:val="24"/>
          <w:szCs w:val="24"/>
        </w:rPr>
        <w:t>SPX (S&amp;P 500) y NI225 (Nikkei).</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En el gráfico, clic en "+" → Añadir s</w:t>
      </w:r>
      <w:r>
        <w:rPr>
          <w:rFonts w:ascii="Times New Roman" w:hAnsi="Times New Roman" w:cs="Times New Roman"/>
          <w:color w:val="FF0000"/>
          <w:sz w:val="24"/>
          <w:szCs w:val="24"/>
        </w:rPr>
        <w:t>ímbolo → añadir el otro índice.</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Usar indicadores personalizados o añadir scripts qu</w:t>
      </w:r>
      <w:r>
        <w:rPr>
          <w:rFonts w:ascii="Times New Roman" w:hAnsi="Times New Roman" w:cs="Times New Roman"/>
          <w:color w:val="FF0000"/>
          <w:sz w:val="24"/>
          <w:szCs w:val="24"/>
        </w:rPr>
        <w:t>e calculan rolling correlation.</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Segoe UI Symbol" w:hAnsi="Segoe UI Symbol" w:cs="Segoe UI Symbol"/>
          <w:color w:val="FF0000"/>
          <w:sz w:val="24"/>
          <w:szCs w:val="24"/>
        </w:rPr>
        <w:t>📈</w:t>
      </w:r>
      <w:r w:rsidRPr="0049645D">
        <w:rPr>
          <w:rFonts w:ascii="Times New Roman" w:hAnsi="Times New Roman" w:cs="Times New Roman"/>
          <w:color w:val="FF0000"/>
          <w:sz w:val="24"/>
          <w:szCs w:val="24"/>
        </w:rPr>
        <w:t xml:space="preserve"> 2. MacroMicro</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Segoe UI Symbol" w:hAnsi="Segoe UI Symbol" w:cs="Segoe UI Symbol"/>
          <w:color w:val="FF0000"/>
          <w:sz w:val="24"/>
          <w:szCs w:val="24"/>
        </w:rPr>
        <w:t>🔗</w:t>
      </w:r>
      <w:r>
        <w:rPr>
          <w:rFonts w:ascii="Times New Roman" w:hAnsi="Times New Roman" w:cs="Times New Roman"/>
          <w:color w:val="FF0000"/>
          <w:sz w:val="24"/>
          <w:szCs w:val="24"/>
        </w:rPr>
        <w:t xml:space="preserve"> en.macromicro.me</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 xml:space="preserve">Plataforma especializada en </w:t>
      </w:r>
      <w:r>
        <w:rPr>
          <w:rFonts w:ascii="Times New Roman" w:hAnsi="Times New Roman" w:cs="Times New Roman"/>
          <w:color w:val="FF0000"/>
          <w:sz w:val="24"/>
          <w:szCs w:val="24"/>
        </w:rPr>
        <w:t>análisis macroeconómico visual.</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 xml:space="preserve">Tiene gráficos ya configurados que muestran la correlación entre S&amp;P 500 y Nikkei 225, </w:t>
      </w:r>
      <w:r>
        <w:rPr>
          <w:rFonts w:ascii="Times New Roman" w:hAnsi="Times New Roman" w:cs="Times New Roman"/>
          <w:color w:val="FF0000"/>
          <w:sz w:val="24"/>
          <w:szCs w:val="24"/>
        </w:rPr>
        <w:t>con actualizaciones frecuentes.</w:t>
      </w:r>
    </w:p>
    <w:p w:rsidR="005C44FB" w:rsidRPr="0049645D"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Gratuito con cuenta básica.</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Segoe UI Symbol" w:hAnsi="Segoe UI Symbol" w:cs="Segoe UI Symbol"/>
          <w:color w:val="FF0000"/>
          <w:sz w:val="24"/>
          <w:szCs w:val="24"/>
        </w:rPr>
        <w:t>📊</w:t>
      </w:r>
      <w:r w:rsidRPr="0049645D">
        <w:rPr>
          <w:rFonts w:ascii="Times New Roman" w:hAnsi="Times New Roman" w:cs="Times New Roman"/>
          <w:color w:val="FF0000"/>
          <w:sz w:val="24"/>
          <w:szCs w:val="24"/>
        </w:rPr>
        <w:t xml:space="preserve"> 3. Investing.com</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Segoe UI Symbol" w:hAnsi="Segoe UI Symbol" w:cs="Segoe UI Symbol"/>
          <w:color w:val="FF0000"/>
          <w:sz w:val="24"/>
          <w:szCs w:val="24"/>
        </w:rPr>
        <w:t>🔗</w:t>
      </w:r>
      <w:r>
        <w:rPr>
          <w:rFonts w:ascii="Times New Roman" w:hAnsi="Times New Roman" w:cs="Times New Roman"/>
          <w:color w:val="FF0000"/>
          <w:sz w:val="24"/>
          <w:szCs w:val="24"/>
        </w:rPr>
        <w:t xml:space="preserve"> investing.com</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Tiene datos históricos descargables po</w:t>
      </w:r>
      <w:r>
        <w:rPr>
          <w:rFonts w:ascii="Times New Roman" w:hAnsi="Times New Roman" w:cs="Times New Roman"/>
          <w:color w:val="FF0000"/>
          <w:sz w:val="24"/>
          <w:szCs w:val="24"/>
        </w:rPr>
        <w:t>r día para el S&amp;P 500 y Nikkei.</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 xml:space="preserve">No calcula automáticamente correlaciones, pero puedes exportar ambos datasets </w:t>
      </w:r>
      <w:r>
        <w:rPr>
          <w:rFonts w:ascii="Times New Roman" w:hAnsi="Times New Roman" w:cs="Times New Roman"/>
          <w:color w:val="FF0000"/>
          <w:sz w:val="24"/>
          <w:szCs w:val="24"/>
        </w:rPr>
        <w:t>a Excel y analizarlos tú mismo.</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Puedes usar la herramienta de comparación de activos para gráficos simples.</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 4. Portfolio Visualizer</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Segoe UI Symbol" w:hAnsi="Segoe UI Symbol" w:cs="Segoe UI Symbol"/>
          <w:color w:val="FF0000"/>
          <w:sz w:val="24"/>
          <w:szCs w:val="24"/>
        </w:rPr>
        <w:t>🔗</w:t>
      </w:r>
      <w:r>
        <w:rPr>
          <w:rFonts w:ascii="Times New Roman" w:hAnsi="Times New Roman" w:cs="Times New Roman"/>
          <w:color w:val="FF0000"/>
          <w:sz w:val="24"/>
          <w:szCs w:val="24"/>
        </w:rPr>
        <w:t xml:space="preserve"> portfoliovisualizer.com</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Permite realizar análisis avanzados de carteras, incl</w:t>
      </w:r>
      <w:r>
        <w:rPr>
          <w:rFonts w:ascii="Times New Roman" w:hAnsi="Times New Roman" w:cs="Times New Roman"/>
          <w:color w:val="FF0000"/>
          <w:sz w:val="24"/>
          <w:szCs w:val="24"/>
        </w:rPr>
        <w:t>uyendo matrices de correlación.</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 xml:space="preserve">Puedes simular portafolios con exposición a S&amp;P 500 y Nikkei y </w:t>
      </w:r>
      <w:r>
        <w:rPr>
          <w:rFonts w:ascii="Times New Roman" w:hAnsi="Times New Roman" w:cs="Times New Roman"/>
          <w:color w:val="FF0000"/>
          <w:sz w:val="24"/>
          <w:szCs w:val="24"/>
        </w:rPr>
        <w:t>ver su comportamiento conjunto.</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 xml:space="preserve">Gratuito </w:t>
      </w:r>
      <w:r>
        <w:rPr>
          <w:rFonts w:ascii="Times New Roman" w:hAnsi="Times New Roman" w:cs="Times New Roman"/>
          <w:color w:val="FF0000"/>
          <w:sz w:val="24"/>
          <w:szCs w:val="24"/>
        </w:rPr>
        <w:t>y muy potente para backtesting.</w:t>
      </w:r>
    </w:p>
    <w:p w:rsidR="005C44FB" w:rsidRPr="0049645D" w:rsidRDefault="005C44FB" w:rsidP="005C44FB">
      <w:pPr>
        <w:spacing w:line="240" w:lineRule="auto"/>
        <w:jc w:val="both"/>
        <w:rPr>
          <w:rFonts w:ascii="Times New Roman" w:hAnsi="Times New Roman" w:cs="Times New Roman"/>
          <w:color w:val="FF0000"/>
          <w:sz w:val="24"/>
          <w:szCs w:val="24"/>
          <w:lang w:val="en-GB"/>
        </w:rPr>
      </w:pPr>
      <w:r w:rsidRPr="0049645D">
        <w:rPr>
          <w:rFonts w:ascii="Segoe UI Symbol" w:hAnsi="Segoe UI Symbol" w:cs="Segoe UI Symbol"/>
          <w:color w:val="FF0000"/>
          <w:sz w:val="24"/>
          <w:szCs w:val="24"/>
        </w:rPr>
        <w:t>📑</w:t>
      </w:r>
      <w:r w:rsidRPr="0049645D">
        <w:rPr>
          <w:rFonts w:ascii="Times New Roman" w:hAnsi="Times New Roman" w:cs="Times New Roman"/>
          <w:color w:val="FF0000"/>
          <w:sz w:val="24"/>
          <w:szCs w:val="24"/>
          <w:lang w:val="en-GB"/>
        </w:rPr>
        <w:t xml:space="preserve"> 5. FRED (Federal Reserve Economic Data)</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Segoe UI Symbol" w:hAnsi="Segoe UI Symbol" w:cs="Segoe UI Symbol"/>
          <w:color w:val="FF0000"/>
          <w:sz w:val="24"/>
          <w:szCs w:val="24"/>
        </w:rPr>
        <w:t>🔗</w:t>
      </w:r>
      <w:r>
        <w:rPr>
          <w:rFonts w:ascii="Times New Roman" w:hAnsi="Times New Roman" w:cs="Times New Roman"/>
          <w:color w:val="FF0000"/>
          <w:sz w:val="24"/>
          <w:szCs w:val="24"/>
        </w:rPr>
        <w:t xml:space="preserve"> fred.stlouisfed.org</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Ofrece datos del S&amp;P 500 (SP500) y, ocasionalmente, series relacionada</w:t>
      </w:r>
      <w:r>
        <w:rPr>
          <w:rFonts w:ascii="Times New Roman" w:hAnsi="Times New Roman" w:cs="Times New Roman"/>
          <w:color w:val="FF0000"/>
          <w:sz w:val="24"/>
          <w:szCs w:val="24"/>
        </w:rPr>
        <w:t>s con mercados internacionales.</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Los datos deben combinarse con Nikkei desde o</w:t>
      </w:r>
      <w:r>
        <w:rPr>
          <w:rFonts w:ascii="Times New Roman" w:hAnsi="Times New Roman" w:cs="Times New Roman"/>
          <w:color w:val="FF0000"/>
          <w:sz w:val="24"/>
          <w:szCs w:val="24"/>
        </w:rPr>
        <w:t>tra fuente (ej. Yahoo Finance).</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Bueno para anális</w:t>
      </w:r>
      <w:r>
        <w:rPr>
          <w:rFonts w:ascii="Times New Roman" w:hAnsi="Times New Roman" w:cs="Times New Roman"/>
          <w:color w:val="FF0000"/>
          <w:sz w:val="24"/>
          <w:szCs w:val="24"/>
        </w:rPr>
        <w:t>is económico con series largas.</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 Recomendación final</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Si quieres ver la correlación en gráficos listos</w:t>
      </w:r>
      <w:r>
        <w:rPr>
          <w:rFonts w:ascii="Times New Roman" w:hAnsi="Times New Roman" w:cs="Times New Roman"/>
          <w:color w:val="FF0000"/>
          <w:sz w:val="24"/>
          <w:szCs w:val="24"/>
        </w:rPr>
        <w:t>: MacroMicro o TradingView Pro.</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lastRenderedPageBreak/>
        <w:t xml:space="preserve">Si quieres hacer análisis interactivo y controlar las </w:t>
      </w:r>
      <w:r>
        <w:rPr>
          <w:rFonts w:ascii="Times New Roman" w:hAnsi="Times New Roman" w:cs="Times New Roman"/>
          <w:color w:val="FF0000"/>
          <w:sz w:val="24"/>
          <w:szCs w:val="24"/>
        </w:rPr>
        <w:t>métricas: Portfolio Visualizer.</w:t>
      </w:r>
    </w:p>
    <w:p w:rsidR="005C44FB" w:rsidRPr="0049645D"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 xml:space="preserve">Si prefieres descargar y hacer tú mismo el análisis: Investing.com </w:t>
      </w:r>
      <w:r>
        <w:rPr>
          <w:rFonts w:ascii="Times New Roman" w:hAnsi="Times New Roman" w:cs="Times New Roman"/>
          <w:color w:val="FF0000"/>
          <w:sz w:val="24"/>
          <w:szCs w:val="24"/>
        </w:rPr>
        <w:t>+ Excel.</w:t>
      </w:r>
    </w:p>
    <w:p w:rsidR="005C44FB" w:rsidRDefault="005C44FB" w:rsidP="005C44FB">
      <w:pPr>
        <w:spacing w:line="240" w:lineRule="auto"/>
        <w:jc w:val="both"/>
        <w:rPr>
          <w:rFonts w:ascii="Times New Roman" w:hAnsi="Times New Roman" w:cs="Times New Roman"/>
          <w:color w:val="FF0000"/>
          <w:sz w:val="24"/>
          <w:szCs w:val="24"/>
        </w:rPr>
      </w:pPr>
      <w:r w:rsidRPr="0049645D">
        <w:rPr>
          <w:rFonts w:ascii="Times New Roman" w:hAnsi="Times New Roman" w:cs="Times New Roman"/>
          <w:color w:val="FF0000"/>
          <w:sz w:val="24"/>
          <w:szCs w:val="24"/>
        </w:rPr>
        <w:t>¿Quieres que prepare un archivo de Excel listo para calcular la correlación entre ambos índices con los datos actuales?</w:t>
      </w:r>
    </w:p>
    <w:p w:rsidR="005C44FB" w:rsidRPr="007937D0" w:rsidRDefault="005C44FB" w:rsidP="005C44FB">
      <w:pPr>
        <w:spacing w:line="240" w:lineRule="auto"/>
        <w:jc w:val="both"/>
        <w:rPr>
          <w:rFonts w:ascii="Times New Roman" w:hAnsi="Times New Roman" w:cs="Times New Roman"/>
          <w:b/>
          <w:color w:val="FF0000"/>
          <w:sz w:val="24"/>
          <w:szCs w:val="24"/>
        </w:rPr>
      </w:pPr>
      <w:r w:rsidRPr="007937D0">
        <w:rPr>
          <w:rFonts w:ascii="Times New Roman" w:hAnsi="Times New Roman" w:cs="Times New Roman"/>
          <w:b/>
          <w:color w:val="FF0000"/>
          <w:sz w:val="24"/>
          <w:szCs w:val="24"/>
        </w:rPr>
        <w:t>¿Cuáles son los mayores fallos del análisis técnico en bolsa?</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ChatGPT Plus</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El análisis técnico es una herramienta ampliamente utilizada en los mercados financieros, pero no está exenta de fallos o limitaciones. Aquí te detallo los mayores fallos del análisis técnico en bolsa,</w:t>
      </w:r>
      <w:r>
        <w:rPr>
          <w:rFonts w:ascii="Times New Roman" w:hAnsi="Times New Roman" w:cs="Times New Roman"/>
          <w:color w:val="FF0000"/>
          <w:sz w:val="24"/>
          <w:szCs w:val="24"/>
        </w:rPr>
        <w:t xml:space="preserve"> de forma clara y estructurada:</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1. Es retrospectivo (basado en el pasado)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El análisis técnico se basa en datos pasados (precios, volúmenes, patrones), pero no garantiza resu</w:t>
      </w:r>
      <w:r w:rsidR="00E7110E">
        <w:rPr>
          <w:rFonts w:ascii="Times New Roman" w:hAnsi="Times New Roman" w:cs="Times New Roman"/>
          <w:color w:val="FF0000"/>
          <w:sz w:val="24"/>
          <w:szCs w:val="24"/>
        </w:rPr>
        <w:t>ltados futuros. El famoso lema “</w:t>
      </w:r>
      <w:r w:rsidRPr="007937D0">
        <w:rPr>
          <w:rFonts w:ascii="Times New Roman" w:hAnsi="Times New Roman" w:cs="Times New Roman"/>
          <w:color w:val="FF0000"/>
          <w:sz w:val="24"/>
          <w:szCs w:val="24"/>
        </w:rPr>
        <w:t>el pasado no predice el</w:t>
      </w:r>
      <w:r w:rsidR="00E7110E">
        <w:rPr>
          <w:rFonts w:ascii="Times New Roman" w:hAnsi="Times New Roman" w:cs="Times New Roman"/>
          <w:color w:val="FF0000"/>
          <w:sz w:val="24"/>
          <w:szCs w:val="24"/>
        </w:rPr>
        <w:t xml:space="preserve"> futuro”</w:t>
      </w:r>
      <w:r>
        <w:rPr>
          <w:rFonts w:ascii="Times New Roman" w:hAnsi="Times New Roman" w:cs="Times New Roman"/>
          <w:color w:val="FF0000"/>
          <w:sz w:val="24"/>
          <w:szCs w:val="24"/>
        </w:rPr>
        <w:t xml:space="preserve"> es muy relevante aquí.</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2. Falsas señales (ruido del mercado)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Los indicadores técnicos pueden generar muchas señales falsas, sobre todo en mercados laterales (sin tendencia). Esto lleva a operacione</w:t>
      </w:r>
      <w:r>
        <w:rPr>
          <w:rFonts w:ascii="Times New Roman" w:hAnsi="Times New Roman" w:cs="Times New Roman"/>
          <w:color w:val="FF0000"/>
          <w:sz w:val="24"/>
          <w:szCs w:val="24"/>
        </w:rPr>
        <w:t>s erróneas y posibles pérdidas.</w:t>
      </w:r>
    </w:p>
    <w:p w:rsidR="005C44FB" w:rsidRPr="007937D0"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Ejemplo: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Un cruce dorado en un mercado sin volumen puede</w:t>
      </w:r>
      <w:r>
        <w:rPr>
          <w:rFonts w:ascii="Times New Roman" w:hAnsi="Times New Roman" w:cs="Times New Roman"/>
          <w:color w:val="FF0000"/>
          <w:sz w:val="24"/>
          <w:szCs w:val="24"/>
        </w:rPr>
        <w:t xml:space="preserve"> no tener ninguna validez real.</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3. Subjetividad en la interpretación</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 xml:space="preserve">Aunque hay reglas, mucho del análisis técnico es interpretativo. Dos analistas pueden ver patrones distintos </w:t>
      </w:r>
      <w:r w:rsidR="00E7110E">
        <w:rPr>
          <w:rFonts w:ascii="Times New Roman" w:hAnsi="Times New Roman" w:cs="Times New Roman"/>
          <w:color w:val="FF0000"/>
          <w:sz w:val="24"/>
          <w:szCs w:val="24"/>
        </w:rPr>
        <w:t>en el mismo gráfico (uno ve un “hombro-cabeza-hombro”</w:t>
      </w:r>
      <w:r w:rsidRPr="007937D0">
        <w:rPr>
          <w:rFonts w:ascii="Times New Roman" w:hAnsi="Times New Roman" w:cs="Times New Roman"/>
          <w:color w:val="FF0000"/>
          <w:sz w:val="24"/>
          <w:szCs w:val="24"/>
        </w:rPr>
        <w:t>, otr</w:t>
      </w:r>
      <w:r w:rsidR="00E7110E">
        <w:rPr>
          <w:rFonts w:ascii="Times New Roman" w:hAnsi="Times New Roman" w:cs="Times New Roman"/>
          <w:color w:val="FF0000"/>
          <w:sz w:val="24"/>
          <w:szCs w:val="24"/>
        </w:rPr>
        <w:t>o ve un “triángulo simétrico”</w:t>
      </w:r>
      <w:r>
        <w:rPr>
          <w:rFonts w:ascii="Times New Roman" w:hAnsi="Times New Roman" w:cs="Times New Roman"/>
          <w:color w:val="FF0000"/>
          <w:sz w:val="24"/>
          <w:szCs w:val="24"/>
        </w:rPr>
        <w:t>).</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4. Ignora factores fundamentales</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El análisis técnico no tiene en cuenta los fundamentales de la empresa (beneficios, deuda, producto, etc.). Un evento fundamental inesperado puede inva</w:t>
      </w:r>
      <w:r>
        <w:rPr>
          <w:rFonts w:ascii="Times New Roman" w:hAnsi="Times New Roman" w:cs="Times New Roman"/>
          <w:color w:val="FF0000"/>
          <w:sz w:val="24"/>
          <w:szCs w:val="24"/>
        </w:rPr>
        <w:t>lidar cualquier patrón técnico.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5. Sobreajuste y exceso de indicadores</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Algunos traders novatos usan demasiados indicadores a la vez. Esto provoca sobreajuste y señales contradictorias, lo que genera conf</w:t>
      </w:r>
      <w:r>
        <w:rPr>
          <w:rFonts w:ascii="Times New Roman" w:hAnsi="Times New Roman" w:cs="Times New Roman"/>
          <w:color w:val="FF0000"/>
          <w:sz w:val="24"/>
          <w:szCs w:val="24"/>
        </w:rPr>
        <w:t>usión en la toma de decisiones.</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6. Eficiencia del mercado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En mercados muy líquidos y seguidos (como acciones grandes del S&amp;P 500), muchos creen que toda la información ya está reflejada en el precio, haciendo que el análisis técnico pierda eficacia (h</w:t>
      </w:r>
      <w:r>
        <w:rPr>
          <w:rFonts w:ascii="Times New Roman" w:hAnsi="Times New Roman" w:cs="Times New Roman"/>
          <w:color w:val="FF0000"/>
          <w:sz w:val="24"/>
          <w:szCs w:val="24"/>
        </w:rPr>
        <w:t>ipótesis de mercado eficiente).</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7. Dependencia psicológica</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lastRenderedPageBreak/>
        <w:t>El análisis técnico puede llevar a sesgos cognitivos: ver patrones donde no los hay (apofenia), o actuar por miedo/avaricia. Muchos traders se convencen de una predicci</w:t>
      </w:r>
      <w:r>
        <w:rPr>
          <w:rFonts w:ascii="Times New Roman" w:hAnsi="Times New Roman" w:cs="Times New Roman"/>
          <w:color w:val="FF0000"/>
          <w:sz w:val="24"/>
          <w:szCs w:val="24"/>
        </w:rPr>
        <w:t>ón técnica y se aferran a ella.</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8. No funciona igual en todos los activos</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Lo que funciona bien en acciones puede no servir en criptomonedas, commodities o forex, debido a diferencias en volatilidad, vol</w:t>
      </w:r>
      <w:r>
        <w:rPr>
          <w:rFonts w:ascii="Times New Roman" w:hAnsi="Times New Roman" w:cs="Times New Roman"/>
          <w:color w:val="FF0000"/>
          <w:sz w:val="24"/>
          <w:szCs w:val="24"/>
        </w:rPr>
        <w:t>umen, y estructura del mercado.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9. Alta sensibilidad al marco temporal</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Una señal técnica puede ser alcista en 1 hora y bajista en 1 día. Esto genera contradicciones y requiere mucha habilidad para contextualizar correctamente.</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10. Sin ventaja sostenible a largo plazo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Muchos estudios académicos sugieren que el análisis técnico por sí solo no ofrece una ventaja estadística significativa a largo plazo. La rentabilidad viene más por la gestión del riesgo, disciplina y psicologí</w:t>
      </w:r>
      <w:r>
        <w:rPr>
          <w:rFonts w:ascii="Times New Roman" w:hAnsi="Times New Roman" w:cs="Times New Roman"/>
          <w:color w:val="FF0000"/>
          <w:sz w:val="24"/>
          <w:szCs w:val="24"/>
        </w:rPr>
        <w:t>a.</w:t>
      </w:r>
    </w:p>
    <w:p w:rsidR="005C44FB" w:rsidRPr="007937D0" w:rsidRDefault="005C44FB" w:rsidP="005C44FB">
      <w:pPr>
        <w:spacing w:line="240" w:lineRule="auto"/>
        <w:jc w:val="both"/>
        <w:rPr>
          <w:rFonts w:ascii="Times New Roman" w:hAnsi="Times New Roman" w:cs="Times New Roman"/>
          <w:b/>
          <w:color w:val="FF0000"/>
          <w:sz w:val="24"/>
          <w:szCs w:val="24"/>
        </w:rPr>
      </w:pPr>
      <w:r w:rsidRPr="007937D0">
        <w:rPr>
          <w:rFonts w:ascii="Times New Roman" w:hAnsi="Times New Roman" w:cs="Times New Roman"/>
          <w:b/>
          <w:color w:val="FF0000"/>
          <w:sz w:val="24"/>
          <w:szCs w:val="24"/>
        </w:rPr>
        <w:t>¿Quieres que profundice en alguno de estos puntos o ver ejemplos reales de errores del análisis técnico en acciones específicas?</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Perfecto. Te explico 3 ejemplos reales y concretos donde el análisis técnico falló o generó señales engañosas en bolsa, para que veas cómo se manifiesta</w:t>
      </w:r>
      <w:r>
        <w:rPr>
          <w:rFonts w:ascii="Times New Roman" w:hAnsi="Times New Roman" w:cs="Times New Roman"/>
          <w:color w:val="FF0000"/>
          <w:sz w:val="24"/>
          <w:szCs w:val="24"/>
        </w:rPr>
        <w:t>n estos errores en la práctica.</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Ejemplo 1: Tesla (TSLA) – 2020, ruptura falsa</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Contexto: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En julio de 2020, las acciones de Tesla formaron un triángulo ascendente, considerado típicamente una figura alcista. El precio rompió la resistencia… y muchos analistas técnicos lo vie</w:t>
      </w:r>
      <w:r>
        <w:rPr>
          <w:rFonts w:ascii="Times New Roman" w:hAnsi="Times New Roman" w:cs="Times New Roman"/>
          <w:color w:val="FF0000"/>
          <w:sz w:val="24"/>
          <w:szCs w:val="24"/>
        </w:rPr>
        <w:t>ron como señal clara de compra.</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 ¿Qué ocurrió?</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Pocos días después, el precio retrocedió violentamente. Fue una ruptura falsa (bull trap). Muchos compradores queda</w:t>
      </w:r>
      <w:r>
        <w:rPr>
          <w:rFonts w:ascii="Times New Roman" w:hAnsi="Times New Roman" w:cs="Times New Roman"/>
          <w:color w:val="FF0000"/>
          <w:sz w:val="24"/>
          <w:szCs w:val="24"/>
        </w:rPr>
        <w:t>ron atrapados en la parte alta.</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Error técnico: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 xml:space="preserve">Se ignoró el exceso de euforia y sobrecompra (ya </w:t>
      </w:r>
      <w:r>
        <w:rPr>
          <w:rFonts w:ascii="Times New Roman" w:hAnsi="Times New Roman" w:cs="Times New Roman"/>
          <w:color w:val="FF0000"/>
          <w:sz w:val="24"/>
          <w:szCs w:val="24"/>
        </w:rPr>
        <w:t>venía subiendo +200% en meses).</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El volumen en la ruptura fue bajo, lo que</w:t>
      </w:r>
      <w:r>
        <w:rPr>
          <w:rFonts w:ascii="Times New Roman" w:hAnsi="Times New Roman" w:cs="Times New Roman"/>
          <w:color w:val="FF0000"/>
          <w:sz w:val="24"/>
          <w:szCs w:val="24"/>
        </w:rPr>
        <w:t xml:space="preserve"> debió haber generado sospecha.</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Ejemplo 2: Netflix (NFLX) – Enero 2022, soporte roto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Contexto: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Netflix venía formando un canal horizontal (rango lateral). El soporte clave estaba cerca de los $500. Muchos técnicos decían: “si r</w:t>
      </w:r>
      <w:r>
        <w:rPr>
          <w:rFonts w:ascii="Times New Roman" w:hAnsi="Times New Roman" w:cs="Times New Roman"/>
          <w:color w:val="FF0000"/>
          <w:sz w:val="24"/>
          <w:szCs w:val="24"/>
        </w:rPr>
        <w:t>ompe soporte, es venta segura”.</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 ¿Qué ocurrió?</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lastRenderedPageBreak/>
        <w:t>El soporte se rompió con fuerza tras un mal reporte de resultados. Sin embargo, el precio r</w:t>
      </w:r>
      <w:r>
        <w:rPr>
          <w:rFonts w:ascii="Times New Roman" w:hAnsi="Times New Roman" w:cs="Times New Roman"/>
          <w:color w:val="FF0000"/>
          <w:sz w:val="24"/>
          <w:szCs w:val="24"/>
        </w:rPr>
        <w:t>ebotó bruscamente poco después.</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Error técnico: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 xml:space="preserve">La señal bajista fue real, pero ya </w:t>
      </w:r>
      <w:r>
        <w:rPr>
          <w:rFonts w:ascii="Times New Roman" w:hAnsi="Times New Roman" w:cs="Times New Roman"/>
          <w:color w:val="FF0000"/>
          <w:sz w:val="24"/>
          <w:szCs w:val="24"/>
        </w:rPr>
        <w:t>estaba descontada en el precio.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La reacción del mercado fue más influenciada por factores fundamentales (usuarios perdidos, outlo</w:t>
      </w:r>
      <w:r>
        <w:rPr>
          <w:rFonts w:ascii="Times New Roman" w:hAnsi="Times New Roman" w:cs="Times New Roman"/>
          <w:color w:val="FF0000"/>
          <w:sz w:val="24"/>
          <w:szCs w:val="24"/>
        </w:rPr>
        <w:t>ok negativo) que por el patrón.</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Ejemplo 3: GameStop (GME) – Enero 2021, patrón inválido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Contexto: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Antes del famoso short squeeze de Reddit, GME mostraba una estructura totalmente inestable, sin patrones técnicos claros. Muchos analistas la evitaban por “sobreextendida” o “sobrecomprada s</w:t>
      </w:r>
      <w:r>
        <w:rPr>
          <w:rFonts w:ascii="Times New Roman" w:hAnsi="Times New Roman" w:cs="Times New Roman"/>
          <w:color w:val="FF0000"/>
          <w:sz w:val="24"/>
          <w:szCs w:val="24"/>
        </w:rPr>
        <w:t>egún RSI”.</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 ¿Qué ocurrió?</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 xml:space="preserve">Subió de $20 a $480 en días. Los indicadores técnicos decían </w:t>
      </w:r>
      <w:r>
        <w:rPr>
          <w:rFonts w:ascii="Times New Roman" w:hAnsi="Times New Roman" w:cs="Times New Roman"/>
          <w:color w:val="FF0000"/>
          <w:sz w:val="24"/>
          <w:szCs w:val="24"/>
        </w:rPr>
        <w:t>que era “venta” desde los $100.</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Error técnico: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Los indicadores como RSI o MAC</w:t>
      </w:r>
      <w:r>
        <w:rPr>
          <w:rFonts w:ascii="Times New Roman" w:hAnsi="Times New Roman" w:cs="Times New Roman"/>
          <w:color w:val="FF0000"/>
          <w:sz w:val="24"/>
          <w:szCs w:val="24"/>
        </w:rPr>
        <w:t>D fueron inútiles en este caso.</w:t>
      </w:r>
    </w:p>
    <w:p w:rsidR="005C44FB"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El análisis técnico falló porque no detectó el factor externo (comunidad Re</w:t>
      </w:r>
      <w:r w:rsidR="00E7110E">
        <w:rPr>
          <w:rFonts w:ascii="Times New Roman" w:hAnsi="Times New Roman" w:cs="Times New Roman"/>
          <w:color w:val="FF0000"/>
          <w:sz w:val="24"/>
          <w:szCs w:val="24"/>
        </w:rPr>
        <w:t>ddit + short interest extremo).</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Segoe UI Symbol" w:hAnsi="Segoe UI Symbol" w:cs="Segoe UI Symbol"/>
          <w:color w:val="FF0000"/>
          <w:sz w:val="24"/>
          <w:szCs w:val="24"/>
        </w:rPr>
        <w:t>📌</w:t>
      </w:r>
      <w:r w:rsidRPr="007937D0">
        <w:rPr>
          <w:rFonts w:ascii="Times New Roman" w:hAnsi="Times New Roman" w:cs="Times New Roman"/>
          <w:color w:val="FF0000"/>
          <w:sz w:val="24"/>
          <w:szCs w:val="24"/>
        </w:rPr>
        <w:t xml:space="preserve"> Conclusión general:</w:t>
      </w:r>
    </w:p>
    <w:p w:rsidR="005C44FB" w:rsidRPr="007937D0"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Error técnico                                          </w:t>
      </w:r>
      <w:r w:rsidRPr="007937D0">
        <w:rPr>
          <w:rFonts w:ascii="Times New Roman" w:hAnsi="Times New Roman" w:cs="Times New Roman"/>
          <w:color w:val="FF0000"/>
          <w:sz w:val="24"/>
          <w:szCs w:val="24"/>
        </w:rPr>
        <w:t>Por qué falló</w:t>
      </w:r>
    </w:p>
    <w:p w:rsidR="005C44FB" w:rsidRPr="007937D0"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Falsas rupturas                                   </w:t>
      </w:r>
      <w:r w:rsidRPr="007937D0">
        <w:rPr>
          <w:rFonts w:ascii="Times New Roman" w:hAnsi="Times New Roman" w:cs="Times New Roman"/>
          <w:color w:val="FF0000"/>
          <w:sz w:val="24"/>
          <w:szCs w:val="24"/>
        </w:rPr>
        <w:t>El precio engaña, pero no hay confirmación en volumen.</w:t>
      </w:r>
    </w:p>
    <w:p w:rsidR="005C44FB" w:rsidRPr="007937D0"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Soportes/resistencias no s</w:t>
      </w:r>
      <w:r>
        <w:rPr>
          <w:rFonts w:ascii="Times New Roman" w:hAnsi="Times New Roman" w:cs="Times New Roman"/>
          <w:color w:val="FF0000"/>
          <w:sz w:val="24"/>
          <w:szCs w:val="24"/>
        </w:rPr>
        <w:t xml:space="preserve">on absolutos  </w:t>
      </w:r>
      <w:r w:rsidRPr="007937D0">
        <w:rPr>
          <w:rFonts w:ascii="Times New Roman" w:hAnsi="Times New Roman" w:cs="Times New Roman"/>
          <w:color w:val="FF0000"/>
          <w:sz w:val="24"/>
          <w:szCs w:val="24"/>
        </w:rPr>
        <w:t>Los fundamentales o eventos externos los invalidan.</w:t>
      </w:r>
    </w:p>
    <w:p w:rsidR="005C44FB" w:rsidRDefault="005C44FB" w:rsidP="005C44FB">
      <w:pPr>
        <w:spacing w:line="240" w:lineRule="auto"/>
        <w:jc w:val="both"/>
        <w:rPr>
          <w:rFonts w:ascii="Times New Roman" w:hAnsi="Times New Roman" w:cs="Times New Roman"/>
          <w:color w:val="FF0000"/>
          <w:sz w:val="24"/>
          <w:szCs w:val="24"/>
        </w:rPr>
      </w:pPr>
      <w:r w:rsidRPr="007937D0">
        <w:rPr>
          <w:rFonts w:ascii="Times New Roman" w:hAnsi="Times New Roman" w:cs="Times New Roman"/>
          <w:color w:val="FF0000"/>
          <w:sz w:val="24"/>
          <w:szCs w:val="24"/>
        </w:rPr>
        <w:t>Indicadores sobreextendidos</w:t>
      </w:r>
      <w:r>
        <w:rPr>
          <w:rFonts w:ascii="Times New Roman" w:hAnsi="Times New Roman" w:cs="Times New Roman"/>
          <w:color w:val="FF0000"/>
          <w:sz w:val="24"/>
          <w:szCs w:val="24"/>
        </w:rPr>
        <w:t xml:space="preserve">                  </w:t>
      </w:r>
      <w:r w:rsidRPr="007937D0">
        <w:rPr>
          <w:rFonts w:ascii="Times New Roman" w:hAnsi="Times New Roman" w:cs="Times New Roman"/>
          <w:color w:val="FF0000"/>
          <w:sz w:val="24"/>
          <w:szCs w:val="24"/>
        </w:rPr>
        <w:t>No sirven en mercados irracionales o manipulados.</w:t>
      </w:r>
    </w:p>
    <w:p w:rsidR="005C44FB" w:rsidRPr="0019457E" w:rsidRDefault="005C44FB" w:rsidP="005C44FB">
      <w:pPr>
        <w:spacing w:line="240" w:lineRule="auto"/>
        <w:jc w:val="both"/>
        <w:rPr>
          <w:rFonts w:ascii="Times New Roman" w:hAnsi="Times New Roman" w:cs="Times New Roman"/>
          <w:b/>
          <w:color w:val="FF0000"/>
          <w:sz w:val="24"/>
          <w:szCs w:val="24"/>
        </w:rPr>
      </w:pPr>
      <w:r w:rsidRPr="0019457E">
        <w:rPr>
          <w:rFonts w:ascii="Times New Roman" w:hAnsi="Times New Roman" w:cs="Times New Roman"/>
          <w:b/>
          <w:color w:val="FF0000"/>
          <w:sz w:val="24"/>
          <w:szCs w:val="24"/>
        </w:rPr>
        <w:t>¿El trading de alta frecuencia puede potenciar las desventajas del análisis técnico?</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ChatGPT Plus</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Sí, el trading de alta frecuencia (HFT) puede potenciar varias desventajas del análisis técnico, especialmente en marcos de tiempo cortos y para traders minoris</w:t>
      </w:r>
      <w:r>
        <w:rPr>
          <w:rFonts w:ascii="Times New Roman" w:hAnsi="Times New Roman" w:cs="Times New Roman"/>
          <w:color w:val="FF0000"/>
          <w:sz w:val="24"/>
          <w:szCs w:val="24"/>
        </w:rPr>
        <w:t>tas. Te explico cómo y por qué:</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 ¿Qué es el HFT (High Frequency Trading)?</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Es un tipo de trading algorítmico que ejecuta miles de operaciones por segundo usando algoritmos ultra rápidos, buscando beneficios minúsculos repetidos muchas veces. Representa un gran porcentaje del</w:t>
      </w:r>
      <w:r>
        <w:rPr>
          <w:rFonts w:ascii="Times New Roman" w:hAnsi="Times New Roman" w:cs="Times New Roman"/>
          <w:color w:val="FF0000"/>
          <w:sz w:val="24"/>
          <w:szCs w:val="24"/>
        </w:rPr>
        <w:t xml:space="preserve"> volumen total en los mercados.</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Segoe UI Symbol" w:hAnsi="Segoe UI Symbol" w:cs="Segoe UI Symbol"/>
          <w:color w:val="FF0000"/>
          <w:sz w:val="24"/>
          <w:szCs w:val="24"/>
        </w:rPr>
        <w:t>🔍</w:t>
      </w:r>
      <w:r w:rsidRPr="0019457E">
        <w:rPr>
          <w:rFonts w:ascii="Times New Roman" w:hAnsi="Times New Roman" w:cs="Times New Roman"/>
          <w:color w:val="FF0000"/>
          <w:sz w:val="24"/>
          <w:szCs w:val="24"/>
        </w:rPr>
        <w:t xml:space="preserve"> Cómo el HFT potencia las desventajas del análisis técnico:</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lastRenderedPageBreak/>
        <w:t>1. Generación de falsas señales</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 xml:space="preserve">Los bots de HFT pueden crear movimientos de precios muy breves que activan patrones técnicos (como rupturas de soporte/resistencia) </w:t>
      </w:r>
      <w:r>
        <w:rPr>
          <w:rFonts w:ascii="Times New Roman" w:hAnsi="Times New Roman" w:cs="Times New Roman"/>
          <w:color w:val="FF0000"/>
          <w:sz w:val="24"/>
          <w:szCs w:val="24"/>
        </w:rPr>
        <w:t>que no tienen continuidad real.</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eastAsia="MS Gothic" w:hAnsi="Times New Roman" w:cs="Times New Roman" w:hint="eastAsia"/>
          <w:color w:val="FF0000"/>
          <w:sz w:val="24"/>
          <w:szCs w:val="24"/>
        </w:rPr>
        <w:t>➡</w:t>
      </w:r>
      <w:r w:rsidRPr="0019457E">
        <w:rPr>
          <w:rFonts w:ascii="Times New Roman" w:hAnsi="Times New Roman" w:cs="Times New Roman"/>
          <w:color w:val="FF0000"/>
          <w:sz w:val="24"/>
          <w:szCs w:val="24"/>
        </w:rPr>
        <w:t>️</w:t>
      </w:r>
      <w:r w:rsidR="00E7110E">
        <w:rPr>
          <w:rFonts w:ascii="Times New Roman" w:hAnsi="Times New Roman" w:cs="Times New Roman"/>
          <w:color w:val="FF0000"/>
          <w:sz w:val="24"/>
          <w:szCs w:val="24"/>
        </w:rPr>
        <w:t xml:space="preserve"> Ejemplo: </w:t>
      </w:r>
      <w:r w:rsidRPr="0019457E">
        <w:rPr>
          <w:rFonts w:ascii="Times New Roman" w:hAnsi="Times New Roman" w:cs="Times New Roman"/>
          <w:color w:val="FF0000"/>
          <w:sz w:val="24"/>
          <w:szCs w:val="24"/>
        </w:rPr>
        <w:t>Un cruce de me</w:t>
      </w:r>
      <w:r w:rsidR="00E7110E">
        <w:rPr>
          <w:rFonts w:ascii="Times New Roman" w:hAnsi="Times New Roman" w:cs="Times New Roman"/>
          <w:color w:val="FF0000"/>
          <w:sz w:val="24"/>
          <w:szCs w:val="24"/>
        </w:rPr>
        <w:t>dias móviles se activa por una “espiga”</w:t>
      </w:r>
      <w:r w:rsidRPr="0019457E">
        <w:rPr>
          <w:rFonts w:ascii="Times New Roman" w:hAnsi="Times New Roman" w:cs="Times New Roman"/>
          <w:color w:val="FF0000"/>
          <w:sz w:val="24"/>
          <w:szCs w:val="24"/>
        </w:rPr>
        <w:t xml:space="preserve"> generada por HFT, pero </w:t>
      </w:r>
      <w:r>
        <w:rPr>
          <w:rFonts w:ascii="Times New Roman" w:hAnsi="Times New Roman" w:cs="Times New Roman"/>
          <w:color w:val="FF0000"/>
          <w:sz w:val="24"/>
          <w:szCs w:val="24"/>
        </w:rPr>
        <w:t>el precio revierte en segundos.</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2. Ruido excesivo en marcos cortos</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En gráficos de 1, 5 o 1</w:t>
      </w:r>
      <w:r w:rsidR="00E7110E">
        <w:rPr>
          <w:rFonts w:ascii="Times New Roman" w:hAnsi="Times New Roman" w:cs="Times New Roman"/>
          <w:color w:val="FF0000"/>
          <w:sz w:val="24"/>
          <w:szCs w:val="24"/>
        </w:rPr>
        <w:t>5 minutos, el HFT genera mucho “ruido”</w:t>
      </w:r>
      <w:r w:rsidRPr="0019457E">
        <w:rPr>
          <w:rFonts w:ascii="Times New Roman" w:hAnsi="Times New Roman" w:cs="Times New Roman"/>
          <w:color w:val="FF0000"/>
          <w:sz w:val="24"/>
          <w:szCs w:val="24"/>
        </w:rPr>
        <w:t>, dificultand</w:t>
      </w:r>
      <w:r>
        <w:rPr>
          <w:rFonts w:ascii="Times New Roman" w:hAnsi="Times New Roman" w:cs="Times New Roman"/>
          <w:color w:val="FF0000"/>
          <w:sz w:val="24"/>
          <w:szCs w:val="24"/>
        </w:rPr>
        <w:t>o identificar patrones válidos.</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eastAsia="MS Gothic" w:hAnsi="Times New Roman" w:cs="Times New Roman" w:hint="eastAsia"/>
          <w:color w:val="FF0000"/>
          <w:sz w:val="24"/>
          <w:szCs w:val="24"/>
        </w:rPr>
        <w:t>➡</w:t>
      </w:r>
      <w:r w:rsidRPr="0019457E">
        <w:rPr>
          <w:rFonts w:ascii="Times New Roman" w:hAnsi="Times New Roman" w:cs="Times New Roman"/>
          <w:color w:val="FF0000"/>
          <w:sz w:val="24"/>
          <w:szCs w:val="24"/>
        </w:rPr>
        <w:t>️ Consecuencia: El análisis técnico en temporalidades cortas es cada vez menos fiable para humanos frente a</w:t>
      </w:r>
      <w:r w:rsidR="00E7110E">
        <w:rPr>
          <w:rFonts w:ascii="Times New Roman" w:hAnsi="Times New Roman" w:cs="Times New Roman"/>
          <w:color w:val="FF0000"/>
          <w:sz w:val="24"/>
          <w:szCs w:val="24"/>
        </w:rPr>
        <w:t xml:space="preserve"> los</w:t>
      </w:r>
      <w:r w:rsidRPr="0019457E">
        <w:rPr>
          <w:rFonts w:ascii="Times New Roman" w:hAnsi="Times New Roman" w:cs="Times New Roman"/>
          <w:color w:val="FF0000"/>
          <w:sz w:val="24"/>
          <w:szCs w:val="24"/>
        </w:rPr>
        <w:t xml:space="preserve"> algor</w:t>
      </w:r>
      <w:r>
        <w:rPr>
          <w:rFonts w:ascii="Times New Roman" w:hAnsi="Times New Roman" w:cs="Times New Roman"/>
          <w:color w:val="FF0000"/>
          <w:sz w:val="24"/>
          <w:szCs w:val="24"/>
        </w:rPr>
        <w:t>itmos.</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3. Manipulación de órdenes (spoofing y layering)</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Los</w:t>
      </w:r>
      <w:r>
        <w:rPr>
          <w:rFonts w:ascii="Times New Roman" w:hAnsi="Times New Roman" w:cs="Times New Roman"/>
          <w:color w:val="FF0000"/>
          <w:sz w:val="24"/>
          <w:szCs w:val="24"/>
        </w:rPr>
        <w:t xml:space="preserve"> HFT pueden usar tácticas como:</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Spoofing: colocar grandes órdenes falsas que se cancelan antes de ejecutarse, para manip</w:t>
      </w:r>
      <w:r>
        <w:rPr>
          <w:rFonts w:ascii="Times New Roman" w:hAnsi="Times New Roman" w:cs="Times New Roman"/>
          <w:color w:val="FF0000"/>
          <w:sz w:val="24"/>
          <w:szCs w:val="24"/>
        </w:rPr>
        <w:t>ular la percepción del mercado.</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Layering: colocar múltiples órdenes a diferentes niveles para dar sensación de interés o presión.</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eastAsia="MS Gothic" w:hAnsi="Times New Roman" w:cs="Times New Roman" w:hint="eastAsia"/>
          <w:color w:val="FF0000"/>
          <w:sz w:val="24"/>
          <w:szCs w:val="24"/>
        </w:rPr>
        <w:t>➡</w:t>
      </w:r>
      <w:r w:rsidRPr="0019457E">
        <w:rPr>
          <w:rFonts w:ascii="Times New Roman" w:hAnsi="Times New Roman" w:cs="Times New Roman"/>
          <w:color w:val="FF0000"/>
          <w:sz w:val="24"/>
          <w:szCs w:val="24"/>
        </w:rPr>
        <w:t>️ Esto puede hacerte ver un “soporte fuerte” donde en realidad no hay intención real de comprar.</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4. Alta competencia y ejecución asimétrica</w:t>
      </w:r>
    </w:p>
    <w:p w:rsidR="005C44FB" w:rsidRPr="0019457E"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Los HFTs tienen:</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Mejor infraestructura (colocan sus servidores cer</w:t>
      </w:r>
      <w:r>
        <w:rPr>
          <w:rFonts w:ascii="Times New Roman" w:hAnsi="Times New Roman" w:cs="Times New Roman"/>
          <w:color w:val="FF0000"/>
          <w:sz w:val="24"/>
          <w:szCs w:val="24"/>
        </w:rPr>
        <w:t>ca de las bolsas – colocation).</w:t>
      </w:r>
    </w:p>
    <w:p w:rsidR="005C44FB" w:rsidRPr="0019457E"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Latencias de microsegundos.</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eastAsia="MS Gothic" w:hAnsi="Times New Roman" w:cs="Times New Roman" w:hint="eastAsia"/>
          <w:color w:val="FF0000"/>
          <w:sz w:val="24"/>
          <w:szCs w:val="24"/>
        </w:rPr>
        <w:t>➡</w:t>
      </w:r>
      <w:r w:rsidRPr="0019457E">
        <w:rPr>
          <w:rFonts w:ascii="Times New Roman" w:hAnsi="Times New Roman" w:cs="Times New Roman"/>
          <w:color w:val="FF0000"/>
          <w:sz w:val="24"/>
          <w:szCs w:val="24"/>
        </w:rPr>
        <w:t>️ Tú operas con desventaja: ves señales tarde y entras al mercado después de ellos, cuand</w:t>
      </w:r>
      <w:r>
        <w:rPr>
          <w:rFonts w:ascii="Times New Roman" w:hAnsi="Times New Roman" w:cs="Times New Roman"/>
          <w:color w:val="FF0000"/>
          <w:sz w:val="24"/>
          <w:szCs w:val="24"/>
        </w:rPr>
        <w:t>o el movimiento ya ha ocurrido.</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5. Distorsión de patrones clásicos</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Patrones como triángulos, hombro-cabeza-hombro o doble suelo pueden activarse artificialmente por movimientos rápidos d</w:t>
      </w:r>
      <w:r>
        <w:rPr>
          <w:rFonts w:ascii="Times New Roman" w:hAnsi="Times New Roman" w:cs="Times New Roman"/>
          <w:color w:val="FF0000"/>
          <w:sz w:val="24"/>
          <w:szCs w:val="24"/>
        </w:rPr>
        <w:t>el HFT, que luego se revierten.</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eastAsia="MS Gothic" w:hAnsi="Times New Roman" w:cs="Times New Roman" w:hint="eastAsia"/>
          <w:color w:val="FF0000"/>
          <w:sz w:val="24"/>
          <w:szCs w:val="24"/>
        </w:rPr>
        <w:t>➡</w:t>
      </w:r>
      <w:r w:rsidRPr="0019457E">
        <w:rPr>
          <w:rFonts w:ascii="Times New Roman" w:hAnsi="Times New Roman" w:cs="Times New Roman"/>
          <w:color w:val="FF0000"/>
          <w:sz w:val="24"/>
          <w:szCs w:val="24"/>
        </w:rPr>
        <w:t xml:space="preserve">️ Resultado: El patrón se invalida y se produce una </w:t>
      </w:r>
      <w:r>
        <w:rPr>
          <w:rFonts w:ascii="Times New Roman" w:hAnsi="Times New Roman" w:cs="Times New Roman"/>
          <w:color w:val="FF0000"/>
          <w:sz w:val="24"/>
          <w:szCs w:val="24"/>
        </w:rPr>
        <w:t>pérdida para el trader técnico.</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 ¿Qué hacer como trader técnico frente al HFT?</w:t>
      </w:r>
    </w:p>
    <w:p w:rsidR="005C44FB" w:rsidRPr="0019457E"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Estrategia                                           </w:t>
      </w:r>
      <w:r w:rsidRPr="0019457E">
        <w:rPr>
          <w:rFonts w:ascii="Times New Roman" w:hAnsi="Times New Roman" w:cs="Times New Roman"/>
          <w:color w:val="FF0000"/>
          <w:sz w:val="24"/>
          <w:szCs w:val="24"/>
        </w:rPr>
        <w:t>Explicación</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❗Evita temporalidades muy cortas</w:t>
      </w:r>
      <w:r w:rsidRPr="0019457E">
        <w:rPr>
          <w:rFonts w:ascii="Times New Roman" w:hAnsi="Times New Roman" w:cs="Times New Roman"/>
          <w:color w:val="FF0000"/>
          <w:sz w:val="24"/>
          <w:szCs w:val="24"/>
        </w:rPr>
        <w:tab/>
        <w:t>En timeframes de 1-5 minutos el HFT domina. Usa 1h, 4h o diario.</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Segoe UI Symbol" w:hAnsi="Segoe UI Symbol" w:cs="Segoe UI Symbol"/>
          <w:color w:val="FF0000"/>
          <w:sz w:val="24"/>
          <w:szCs w:val="24"/>
        </w:rPr>
        <w:lastRenderedPageBreak/>
        <w:t>📉</w:t>
      </w:r>
      <w:r w:rsidRPr="0019457E">
        <w:rPr>
          <w:rFonts w:ascii="Times New Roman" w:hAnsi="Times New Roman" w:cs="Times New Roman"/>
          <w:color w:val="FF0000"/>
          <w:sz w:val="24"/>
          <w:szCs w:val="24"/>
        </w:rPr>
        <w:t xml:space="preserve"> Confirma con volumen real</w:t>
      </w:r>
      <w:r w:rsidRPr="0019457E">
        <w:rPr>
          <w:rFonts w:ascii="Times New Roman" w:hAnsi="Times New Roman" w:cs="Times New Roman"/>
          <w:color w:val="FF0000"/>
          <w:sz w:val="24"/>
          <w:szCs w:val="24"/>
        </w:rPr>
        <w:tab/>
        <w:t>No confíes solo en el precio: busca que las rupturas tengan volumen significativo.</w:t>
      </w:r>
    </w:p>
    <w:p w:rsidR="005C44FB" w:rsidRPr="0019457E" w:rsidRDefault="005C44FB" w:rsidP="005C44FB">
      <w:pPr>
        <w:spacing w:line="240" w:lineRule="auto"/>
        <w:ind w:left="3540" w:hanging="3540"/>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 Usa análisis mixto</w:t>
      </w:r>
      <w:r w:rsidRPr="0019457E">
        <w:rPr>
          <w:rFonts w:ascii="Times New Roman" w:hAnsi="Times New Roman" w:cs="Times New Roman"/>
          <w:color w:val="FF0000"/>
          <w:sz w:val="24"/>
          <w:szCs w:val="24"/>
        </w:rPr>
        <w:tab/>
        <w:t>Combina técnico con fundamentales o eventos (como earnings o tasas).</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Segoe UI Symbol" w:hAnsi="Segoe UI Symbol" w:cs="Segoe UI Symbol"/>
          <w:color w:val="FF0000"/>
          <w:sz w:val="24"/>
          <w:szCs w:val="24"/>
        </w:rPr>
        <w:t>🔍</w:t>
      </w:r>
      <w:r w:rsidRPr="0019457E">
        <w:rPr>
          <w:rFonts w:ascii="Times New Roman" w:hAnsi="Times New Roman" w:cs="Times New Roman"/>
          <w:color w:val="FF0000"/>
          <w:sz w:val="24"/>
          <w:szCs w:val="24"/>
        </w:rPr>
        <w:t xml:space="preserve"> Observa el order book con cuidado</w:t>
      </w:r>
      <w:r w:rsidRPr="0019457E">
        <w:rPr>
          <w:rFonts w:ascii="Times New Roman" w:hAnsi="Times New Roman" w:cs="Times New Roman"/>
          <w:color w:val="FF0000"/>
          <w:sz w:val="24"/>
          <w:szCs w:val="24"/>
        </w:rPr>
        <w:tab/>
        <w:t xml:space="preserve">Si usas Level </w:t>
      </w:r>
      <w:r>
        <w:rPr>
          <w:rFonts w:ascii="Times New Roman" w:hAnsi="Times New Roman" w:cs="Times New Roman"/>
          <w:color w:val="FF0000"/>
          <w:sz w:val="24"/>
          <w:szCs w:val="24"/>
        </w:rPr>
        <w:t>2, aprende a detectar spoofing.</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 Conclusión:</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Sí, el trading de alta frecuencia agrava las debilidades del a</w:t>
      </w:r>
      <w:r>
        <w:rPr>
          <w:rFonts w:ascii="Times New Roman" w:hAnsi="Times New Roman" w:cs="Times New Roman"/>
          <w:color w:val="FF0000"/>
          <w:sz w:val="24"/>
          <w:szCs w:val="24"/>
        </w:rPr>
        <w:t>nálisis técnico, especialmente:</w:t>
      </w:r>
    </w:p>
    <w:p w:rsidR="005C44FB" w:rsidRPr="0019457E"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En marcos de tiempo muy cortos.</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En mercad</w:t>
      </w:r>
      <w:r>
        <w:rPr>
          <w:rFonts w:ascii="Times New Roman" w:hAnsi="Times New Roman" w:cs="Times New Roman"/>
          <w:color w:val="FF0000"/>
          <w:sz w:val="24"/>
          <w:szCs w:val="24"/>
        </w:rPr>
        <w:t>os muy líquidos y manipulables.</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Times New Roman" w:hAnsi="Times New Roman" w:cs="Times New Roman"/>
          <w:color w:val="FF0000"/>
          <w:sz w:val="24"/>
          <w:szCs w:val="24"/>
        </w:rPr>
        <w:t>Cuando se usan indicadores simp</w:t>
      </w:r>
      <w:r>
        <w:rPr>
          <w:rFonts w:ascii="Times New Roman" w:hAnsi="Times New Roman" w:cs="Times New Roman"/>
          <w:color w:val="FF0000"/>
          <w:sz w:val="24"/>
          <w:szCs w:val="24"/>
        </w:rPr>
        <w:t>les sin confirmación adicional.</w:t>
      </w:r>
    </w:p>
    <w:p w:rsidR="005C44FB" w:rsidRPr="0019457E" w:rsidRDefault="005C44FB" w:rsidP="005C44FB">
      <w:pPr>
        <w:spacing w:line="240" w:lineRule="auto"/>
        <w:jc w:val="both"/>
        <w:rPr>
          <w:rFonts w:ascii="Times New Roman" w:hAnsi="Times New Roman" w:cs="Times New Roman"/>
          <w:color w:val="FF0000"/>
          <w:sz w:val="24"/>
          <w:szCs w:val="24"/>
        </w:rPr>
      </w:pPr>
      <w:r w:rsidRPr="0019457E">
        <w:rPr>
          <w:rFonts w:ascii="Segoe UI Symbol" w:hAnsi="Segoe UI Symbol" w:cs="Segoe UI Symbol"/>
          <w:color w:val="FF0000"/>
          <w:sz w:val="24"/>
          <w:szCs w:val="24"/>
        </w:rPr>
        <w:t>👉</w:t>
      </w:r>
      <w:r w:rsidRPr="0019457E">
        <w:rPr>
          <w:rFonts w:ascii="Times New Roman" w:hAnsi="Times New Roman" w:cs="Times New Roman"/>
          <w:color w:val="FF0000"/>
          <w:sz w:val="24"/>
          <w:szCs w:val="24"/>
        </w:rPr>
        <w:t xml:space="preserve"> El análisis técnico sigue siendo útil, pero debe adaptarse al nuevo contexto algorítmico y combinarse con otras herramientas d</w:t>
      </w:r>
      <w:r>
        <w:rPr>
          <w:rFonts w:ascii="Times New Roman" w:hAnsi="Times New Roman" w:cs="Times New Roman"/>
          <w:color w:val="FF0000"/>
          <w:sz w:val="24"/>
          <w:szCs w:val="24"/>
        </w:rPr>
        <w:t>e análisis y gestión de riesgo.</w:t>
      </w:r>
    </w:p>
    <w:p w:rsidR="005C44FB" w:rsidRDefault="005C44FB" w:rsidP="005C44FB">
      <w:pPr>
        <w:spacing w:line="240" w:lineRule="auto"/>
        <w:jc w:val="both"/>
        <w:rPr>
          <w:rFonts w:ascii="Times New Roman" w:hAnsi="Times New Roman" w:cs="Times New Roman"/>
          <w:b/>
          <w:color w:val="FF0000"/>
          <w:sz w:val="24"/>
          <w:szCs w:val="24"/>
        </w:rPr>
      </w:pPr>
      <w:r w:rsidRPr="00EE4C2F">
        <w:rPr>
          <w:rFonts w:ascii="Times New Roman" w:hAnsi="Times New Roman" w:cs="Times New Roman"/>
          <w:b/>
          <w:color w:val="FF0000"/>
          <w:sz w:val="24"/>
          <w:szCs w:val="24"/>
        </w:rPr>
        <w:t>¿Quieres que te recomiende estrategias técnicas más robustas frente al HFT?</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Perfecto. Aquí tienes un conjunto de estrategias técnicas más robustas frente al trading de alta frecuencia (HFT), diseñadas para reducir el impacto del ruido algorítmico y mejorar la</w:t>
      </w:r>
      <w:r>
        <w:rPr>
          <w:rFonts w:ascii="Times New Roman" w:hAnsi="Times New Roman" w:cs="Times New Roman"/>
          <w:color w:val="FF0000"/>
          <w:sz w:val="24"/>
          <w:szCs w:val="24"/>
        </w:rPr>
        <w:t xml:space="preserve"> fiabilidad de tus operaciones: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 1. Usa temporalidades más altas (mínimo 1 hora o diario)</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Por qué:</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 xml:space="preserve">El HFT opera </w:t>
      </w:r>
      <w:r>
        <w:rPr>
          <w:rFonts w:ascii="Times New Roman" w:hAnsi="Times New Roman" w:cs="Times New Roman"/>
          <w:color w:val="FF0000"/>
          <w:sz w:val="24"/>
          <w:szCs w:val="24"/>
        </w:rPr>
        <w:t>en milisegundos hasta segundos.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En gráf</w:t>
      </w:r>
      <w:r w:rsidR="00E7110E">
        <w:rPr>
          <w:rFonts w:ascii="Times New Roman" w:hAnsi="Times New Roman" w:cs="Times New Roman"/>
          <w:color w:val="FF0000"/>
          <w:sz w:val="24"/>
          <w:szCs w:val="24"/>
        </w:rPr>
        <w:t>icos de 1h o más, su efecto se “diluye”</w:t>
      </w:r>
      <w:r w:rsidRPr="00EE4C2F">
        <w:rPr>
          <w:rFonts w:ascii="Times New Roman" w:hAnsi="Times New Roman" w:cs="Times New Roman"/>
          <w:color w:val="FF0000"/>
          <w:sz w:val="24"/>
          <w:szCs w:val="24"/>
        </w:rPr>
        <w:t xml:space="preserve"> y los patr</w:t>
      </w:r>
      <w:r>
        <w:rPr>
          <w:rFonts w:ascii="Times New Roman" w:hAnsi="Times New Roman" w:cs="Times New Roman"/>
          <w:color w:val="FF0000"/>
          <w:sz w:val="24"/>
          <w:szCs w:val="24"/>
        </w:rPr>
        <w:t>ones técnicos son más estables.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Recomendación:</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 xml:space="preserve">Usa análisis en gráfico diario </w:t>
      </w:r>
      <w:r>
        <w:rPr>
          <w:rFonts w:ascii="Times New Roman" w:hAnsi="Times New Roman" w:cs="Times New Roman"/>
          <w:color w:val="FF0000"/>
          <w:sz w:val="24"/>
          <w:szCs w:val="24"/>
        </w:rPr>
        <w:t>para la dirección general.</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Ejecuta entradas en 1h o 4h para opti</w:t>
      </w:r>
      <w:r>
        <w:rPr>
          <w:rFonts w:ascii="Times New Roman" w:hAnsi="Times New Roman" w:cs="Times New Roman"/>
          <w:color w:val="FF0000"/>
          <w:sz w:val="24"/>
          <w:szCs w:val="24"/>
        </w:rPr>
        <w:t>mizar puntos de entrada/salida.</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 2. Confirma patrones con volumen real</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Por qué:</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El HFT puede mover el precio sin compromis</w:t>
      </w:r>
      <w:r>
        <w:rPr>
          <w:rFonts w:ascii="Times New Roman" w:hAnsi="Times New Roman" w:cs="Times New Roman"/>
          <w:color w:val="FF0000"/>
          <w:sz w:val="24"/>
          <w:szCs w:val="24"/>
        </w:rPr>
        <w:t>o real (manipulación intradía).</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Volumen creciente real es difíc</w:t>
      </w:r>
      <w:r>
        <w:rPr>
          <w:rFonts w:ascii="Times New Roman" w:hAnsi="Times New Roman" w:cs="Times New Roman"/>
          <w:color w:val="FF0000"/>
          <w:sz w:val="24"/>
          <w:szCs w:val="24"/>
        </w:rPr>
        <w:t>il de falsificar.</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Ejemplo:</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Ruptura de resistencia: espera que venga acompañada de un volumen superior a la</w:t>
      </w:r>
      <w:r>
        <w:rPr>
          <w:rFonts w:ascii="Times New Roman" w:hAnsi="Times New Roman" w:cs="Times New Roman"/>
          <w:color w:val="FF0000"/>
          <w:sz w:val="24"/>
          <w:szCs w:val="24"/>
        </w:rPr>
        <w:t xml:space="preserve"> media de las últimas 20 velas.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Si no hay volumen, puede ser</w:t>
      </w:r>
      <w:r>
        <w:rPr>
          <w:rFonts w:ascii="Times New Roman" w:hAnsi="Times New Roman" w:cs="Times New Roman"/>
          <w:color w:val="FF0000"/>
          <w:sz w:val="24"/>
          <w:szCs w:val="24"/>
        </w:rPr>
        <w:t xml:space="preserve"> una falsa ruptura (bull trap).</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lastRenderedPageBreak/>
        <w:t>✅ 3. Combina técnico con análisis fundamental o catalizadores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Por qué:</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Los algoritmos no siempre tienen en cuenta ev</w:t>
      </w:r>
      <w:r>
        <w:rPr>
          <w:rFonts w:ascii="Times New Roman" w:hAnsi="Times New Roman" w:cs="Times New Roman"/>
          <w:color w:val="FF0000"/>
          <w:sz w:val="24"/>
          <w:szCs w:val="24"/>
        </w:rPr>
        <w:t>entos de fondo o fundamentales.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Operar patrones técnicos en contextos con catalizadores (resultados, noticias, tipos de interés) m</w:t>
      </w:r>
      <w:r>
        <w:rPr>
          <w:rFonts w:ascii="Times New Roman" w:hAnsi="Times New Roman" w:cs="Times New Roman"/>
          <w:color w:val="FF0000"/>
          <w:sz w:val="24"/>
          <w:szCs w:val="24"/>
        </w:rPr>
        <w:t>ejora la probabilidad de éxito.</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Ejemplo:</w:t>
      </w:r>
    </w:p>
    <w:p w:rsidR="005C44FB" w:rsidRPr="00EE4C2F" w:rsidRDefault="00E7110E"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No operes un “</w:t>
      </w:r>
      <w:r w:rsidR="005C44FB" w:rsidRPr="00EE4C2F">
        <w:rPr>
          <w:rFonts w:ascii="Times New Roman" w:hAnsi="Times New Roman" w:cs="Times New Roman"/>
          <w:color w:val="FF0000"/>
          <w:sz w:val="24"/>
          <w:szCs w:val="24"/>
        </w:rPr>
        <w:t>hombro-ca</w:t>
      </w:r>
      <w:r>
        <w:rPr>
          <w:rFonts w:ascii="Times New Roman" w:hAnsi="Times New Roman" w:cs="Times New Roman"/>
          <w:color w:val="FF0000"/>
          <w:sz w:val="24"/>
          <w:szCs w:val="24"/>
        </w:rPr>
        <w:t>beza-hombro”</w:t>
      </w:r>
      <w:r w:rsidR="005C44FB" w:rsidRPr="00EE4C2F">
        <w:rPr>
          <w:rFonts w:ascii="Times New Roman" w:hAnsi="Times New Roman" w:cs="Times New Roman"/>
          <w:color w:val="FF0000"/>
          <w:sz w:val="24"/>
          <w:szCs w:val="24"/>
        </w:rPr>
        <w:t xml:space="preserve"> en una acción qu</w:t>
      </w:r>
      <w:r w:rsidR="005C44FB">
        <w:rPr>
          <w:rFonts w:ascii="Times New Roman" w:hAnsi="Times New Roman" w:cs="Times New Roman"/>
          <w:color w:val="FF0000"/>
          <w:sz w:val="24"/>
          <w:szCs w:val="24"/>
        </w:rPr>
        <w:t>e publica resultados en 2 días.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Sí puedes operar una bandera alcis</w:t>
      </w:r>
      <w:r>
        <w:rPr>
          <w:rFonts w:ascii="Times New Roman" w:hAnsi="Times New Roman" w:cs="Times New Roman"/>
          <w:color w:val="FF0000"/>
          <w:sz w:val="24"/>
          <w:szCs w:val="24"/>
        </w:rPr>
        <w:t>ta después de un earnings beat.</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 4. Usa indicadores que suavizan el ruido</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Por qué:</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Indicadores como el RSI o MACD pueden ser sensibl</w:t>
      </w:r>
      <w:r>
        <w:rPr>
          <w:rFonts w:ascii="Times New Roman" w:hAnsi="Times New Roman" w:cs="Times New Roman"/>
          <w:color w:val="FF0000"/>
          <w:sz w:val="24"/>
          <w:szCs w:val="24"/>
        </w:rPr>
        <w:t>es al ruido.</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Algunos indi</w:t>
      </w:r>
      <w:r w:rsidR="00E7110E">
        <w:rPr>
          <w:rFonts w:ascii="Times New Roman" w:hAnsi="Times New Roman" w:cs="Times New Roman"/>
          <w:color w:val="FF0000"/>
          <w:sz w:val="24"/>
          <w:szCs w:val="24"/>
        </w:rPr>
        <w:t>cadores más “</w:t>
      </w:r>
      <w:r w:rsidRPr="00EE4C2F">
        <w:rPr>
          <w:rFonts w:ascii="Times New Roman" w:hAnsi="Times New Roman" w:cs="Times New Roman"/>
          <w:color w:val="FF0000"/>
          <w:sz w:val="24"/>
          <w:szCs w:val="24"/>
        </w:rPr>
        <w:t>lento</w:t>
      </w:r>
      <w:r w:rsidR="00E7110E">
        <w:rPr>
          <w:rFonts w:ascii="Times New Roman" w:hAnsi="Times New Roman" w:cs="Times New Roman"/>
          <w:color w:val="FF0000"/>
          <w:sz w:val="24"/>
          <w:szCs w:val="24"/>
        </w:rPr>
        <w:t>s”</w:t>
      </w:r>
      <w:r>
        <w:rPr>
          <w:rFonts w:ascii="Times New Roman" w:hAnsi="Times New Roman" w:cs="Times New Roman"/>
          <w:color w:val="FF0000"/>
          <w:sz w:val="24"/>
          <w:szCs w:val="24"/>
        </w:rPr>
        <w:t xml:space="preserve"> o filtrados son más fiables.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Ejemplos: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Media Móvil Exponencial (EMA) de 50 o 200: útiles para</w:t>
      </w:r>
      <w:r>
        <w:rPr>
          <w:rFonts w:ascii="Times New Roman" w:hAnsi="Times New Roman" w:cs="Times New Roman"/>
          <w:color w:val="FF0000"/>
          <w:sz w:val="24"/>
          <w:szCs w:val="24"/>
        </w:rPr>
        <w:t xml:space="preserve"> detectar la tendencia general.</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ATR (Average True Range): te ayuda a ajustar stops d</w:t>
      </w:r>
      <w:r>
        <w:rPr>
          <w:rFonts w:ascii="Times New Roman" w:hAnsi="Times New Roman" w:cs="Times New Roman"/>
          <w:color w:val="FF0000"/>
          <w:sz w:val="24"/>
          <w:szCs w:val="24"/>
        </w:rPr>
        <w:t>inámicamente y evitar barridas.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Keltner Channels o Bollinger Bands: permiten identificar exces</w:t>
      </w:r>
      <w:r>
        <w:rPr>
          <w:rFonts w:ascii="Times New Roman" w:hAnsi="Times New Roman" w:cs="Times New Roman"/>
          <w:color w:val="FF0000"/>
          <w:sz w:val="24"/>
          <w:szCs w:val="24"/>
        </w:rPr>
        <w:t>os con contexto de volatilidad.</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 5. Estrategias basadas en cierre de vela (no en ruptura intrabarra)</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Por qué:</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El HFT puede provocar rupturas falsas dentro de una vela que luego se rev</w:t>
      </w:r>
      <w:r>
        <w:rPr>
          <w:rFonts w:ascii="Times New Roman" w:hAnsi="Times New Roman" w:cs="Times New Roman"/>
          <w:color w:val="FF0000"/>
          <w:sz w:val="24"/>
          <w:szCs w:val="24"/>
        </w:rPr>
        <w:t>ierten.</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Confirmar con el cierre de la v</w:t>
      </w:r>
      <w:r>
        <w:rPr>
          <w:rFonts w:ascii="Times New Roman" w:hAnsi="Times New Roman" w:cs="Times New Roman"/>
          <w:color w:val="FF0000"/>
          <w:sz w:val="24"/>
          <w:szCs w:val="24"/>
        </w:rPr>
        <w:t>ela reduce entradas prematuras.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Ejemplo:</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Si operas una ruptura de resistencia en gráfico 1h, espera al cierre d</w:t>
      </w:r>
      <w:r>
        <w:rPr>
          <w:rFonts w:ascii="Times New Roman" w:hAnsi="Times New Roman" w:cs="Times New Roman"/>
          <w:color w:val="FF0000"/>
          <w:sz w:val="24"/>
          <w:szCs w:val="24"/>
        </w:rPr>
        <w:t>e la vela por encima del nivel.</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 6. Gestión del riesgo estricta y dinámica</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Por qué:</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Aun con una buena estrategia, el HFT puede causar movimien</w:t>
      </w:r>
      <w:r>
        <w:rPr>
          <w:rFonts w:ascii="Times New Roman" w:hAnsi="Times New Roman" w:cs="Times New Roman"/>
          <w:color w:val="FF0000"/>
          <w:sz w:val="24"/>
          <w:szCs w:val="24"/>
        </w:rPr>
        <w:t>tos rápidos contra tu posición.</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Un stop-loss dinámico ajustado por volatilidad (por ejemplo, us</w:t>
      </w:r>
      <w:r>
        <w:rPr>
          <w:rFonts w:ascii="Times New Roman" w:hAnsi="Times New Roman" w:cs="Times New Roman"/>
          <w:color w:val="FF0000"/>
          <w:sz w:val="24"/>
          <w:szCs w:val="24"/>
        </w:rPr>
        <w:t>ando ATR) puede proteger mejor.</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Ejemplo:</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lastRenderedPageBreak/>
        <w:t xml:space="preserve">Coloca tu stop a 1.5×ATR por debajo del soporte en vez de justo debajo </w:t>
      </w:r>
      <w:r>
        <w:rPr>
          <w:rFonts w:ascii="Times New Roman" w:hAnsi="Times New Roman" w:cs="Times New Roman"/>
          <w:color w:val="FF0000"/>
          <w:sz w:val="24"/>
          <w:szCs w:val="24"/>
        </w:rPr>
        <w:t>(para evitar barridas de stop).</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 7. Evita horarios dominados por HFT (apertura y cierre)</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Por qué:</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 xml:space="preserve">En las primeras y últimas 30 min de la sesión (y justo antes de earnings o </w:t>
      </w:r>
      <w:r>
        <w:rPr>
          <w:rFonts w:ascii="Times New Roman" w:hAnsi="Times New Roman" w:cs="Times New Roman"/>
          <w:color w:val="FF0000"/>
          <w:sz w:val="24"/>
          <w:szCs w:val="24"/>
        </w:rPr>
        <w:t>noticias macro), el HFT domina.</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Recomendación:</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Espera al comienzo de la segunda hora de negociación para</w:t>
      </w:r>
      <w:r>
        <w:rPr>
          <w:rFonts w:ascii="Times New Roman" w:hAnsi="Times New Roman" w:cs="Times New Roman"/>
          <w:color w:val="FF0000"/>
          <w:sz w:val="24"/>
          <w:szCs w:val="24"/>
        </w:rPr>
        <w:t xml:space="preserve"> entradas técnicas más limpias.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Segoe UI Symbol" w:hAnsi="Segoe UI Symbol" w:cs="Segoe UI Symbol"/>
          <w:color w:val="FF0000"/>
          <w:sz w:val="24"/>
          <w:szCs w:val="24"/>
        </w:rPr>
        <w:t>📌</w:t>
      </w:r>
      <w:r w:rsidRPr="00EE4C2F">
        <w:rPr>
          <w:rFonts w:ascii="Times New Roman" w:hAnsi="Times New Roman" w:cs="Times New Roman"/>
          <w:color w:val="FF0000"/>
          <w:sz w:val="24"/>
          <w:szCs w:val="24"/>
        </w:rPr>
        <w:t xml:space="preserve"> En resumen:</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Estrategia robusta</w:t>
      </w:r>
      <w:r w:rsidRPr="00EE4C2F">
        <w:rPr>
          <w:rFonts w:ascii="Times New Roman" w:hAnsi="Times New Roman" w:cs="Times New Roman"/>
          <w:color w:val="FF0000"/>
          <w:sz w:val="24"/>
          <w:szCs w:val="24"/>
        </w:rPr>
        <w:tab/>
      </w:r>
      <w:r>
        <w:rPr>
          <w:rFonts w:ascii="Times New Roman" w:hAnsi="Times New Roman" w:cs="Times New Roman"/>
          <w:color w:val="FF0000"/>
          <w:sz w:val="24"/>
          <w:szCs w:val="24"/>
        </w:rPr>
        <w:t xml:space="preserve">                        </w:t>
      </w:r>
      <w:r w:rsidRPr="00EE4C2F">
        <w:rPr>
          <w:rFonts w:ascii="Times New Roman" w:hAnsi="Times New Roman" w:cs="Times New Roman"/>
          <w:color w:val="FF0000"/>
          <w:sz w:val="24"/>
          <w:szCs w:val="24"/>
        </w:rPr>
        <w:t>Beneficio frente al HFT</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Timeframes largos</w:t>
      </w:r>
      <w:r w:rsidRPr="00EE4C2F">
        <w:rPr>
          <w:rFonts w:ascii="Times New Roman" w:hAnsi="Times New Roman" w:cs="Times New Roman"/>
          <w:color w:val="FF0000"/>
          <w:sz w:val="24"/>
          <w:szCs w:val="24"/>
        </w:rPr>
        <w:tab/>
      </w:r>
      <w:r>
        <w:rPr>
          <w:rFonts w:ascii="Times New Roman" w:hAnsi="Times New Roman" w:cs="Times New Roman"/>
          <w:color w:val="FF0000"/>
          <w:sz w:val="24"/>
          <w:szCs w:val="24"/>
        </w:rPr>
        <w:t xml:space="preserve">                        </w:t>
      </w:r>
      <w:r w:rsidRPr="00EE4C2F">
        <w:rPr>
          <w:rFonts w:ascii="Times New Roman" w:hAnsi="Times New Roman" w:cs="Times New Roman"/>
          <w:color w:val="FF0000"/>
          <w:sz w:val="24"/>
          <w:szCs w:val="24"/>
        </w:rPr>
        <w:t>Menos ruido, más fiabilidad</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Confirmación con volumen</w:t>
      </w:r>
      <w:r w:rsidRPr="00EE4C2F">
        <w:rPr>
          <w:rFonts w:ascii="Times New Roman" w:hAnsi="Times New Roman" w:cs="Times New Roman"/>
          <w:color w:val="FF0000"/>
          <w:sz w:val="24"/>
          <w:szCs w:val="24"/>
        </w:rPr>
        <w:tab/>
      </w:r>
      <w:r>
        <w:rPr>
          <w:rFonts w:ascii="Times New Roman" w:hAnsi="Times New Roman" w:cs="Times New Roman"/>
          <w:color w:val="FF0000"/>
          <w:sz w:val="24"/>
          <w:szCs w:val="24"/>
        </w:rPr>
        <w:t xml:space="preserve">            </w:t>
      </w:r>
      <w:r w:rsidRPr="00EE4C2F">
        <w:rPr>
          <w:rFonts w:ascii="Times New Roman" w:hAnsi="Times New Roman" w:cs="Times New Roman"/>
          <w:color w:val="FF0000"/>
          <w:sz w:val="24"/>
          <w:szCs w:val="24"/>
        </w:rPr>
        <w:t>Menos falsas rupturas</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Cierre de vela para confirmar</w:t>
      </w:r>
      <w:r w:rsidRPr="00EE4C2F">
        <w:rPr>
          <w:rFonts w:ascii="Times New Roman" w:hAnsi="Times New Roman" w:cs="Times New Roman"/>
          <w:color w:val="FF0000"/>
          <w:sz w:val="24"/>
          <w:szCs w:val="24"/>
        </w:rPr>
        <w:tab/>
      </w:r>
      <w:r>
        <w:rPr>
          <w:rFonts w:ascii="Times New Roman" w:hAnsi="Times New Roman" w:cs="Times New Roman"/>
          <w:color w:val="FF0000"/>
          <w:sz w:val="24"/>
          <w:szCs w:val="24"/>
        </w:rPr>
        <w:t xml:space="preserve">            </w:t>
      </w:r>
      <w:r w:rsidRPr="00EE4C2F">
        <w:rPr>
          <w:rFonts w:ascii="Times New Roman" w:hAnsi="Times New Roman" w:cs="Times New Roman"/>
          <w:color w:val="FF0000"/>
          <w:sz w:val="24"/>
          <w:szCs w:val="24"/>
        </w:rPr>
        <w:t>Evita engaños intrabarra</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Indicadores suaves (EMA, ATR)</w:t>
      </w:r>
      <w:r w:rsidRPr="00EE4C2F">
        <w:rPr>
          <w:rFonts w:ascii="Times New Roman" w:hAnsi="Times New Roman" w:cs="Times New Roman"/>
          <w:color w:val="FF0000"/>
          <w:sz w:val="24"/>
          <w:szCs w:val="24"/>
        </w:rPr>
        <w:tab/>
        <w:t>Menos sensibilidad al ruido</w:t>
      </w:r>
    </w:p>
    <w:p w:rsidR="005C44FB" w:rsidRPr="00EE4C2F"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Contexto fundamental</w:t>
      </w:r>
      <w:r w:rsidRPr="00EE4C2F">
        <w:rPr>
          <w:rFonts w:ascii="Times New Roman" w:hAnsi="Times New Roman" w:cs="Times New Roman"/>
          <w:color w:val="FF0000"/>
          <w:sz w:val="24"/>
          <w:szCs w:val="24"/>
        </w:rPr>
        <w:tab/>
      </w:r>
      <w:r>
        <w:rPr>
          <w:rFonts w:ascii="Times New Roman" w:hAnsi="Times New Roman" w:cs="Times New Roman"/>
          <w:color w:val="FF0000"/>
          <w:sz w:val="24"/>
          <w:szCs w:val="24"/>
        </w:rPr>
        <w:t xml:space="preserve">            </w:t>
      </w:r>
      <w:r w:rsidRPr="00EE4C2F">
        <w:rPr>
          <w:rFonts w:ascii="Times New Roman" w:hAnsi="Times New Roman" w:cs="Times New Roman"/>
          <w:color w:val="FF0000"/>
          <w:sz w:val="24"/>
          <w:szCs w:val="24"/>
        </w:rPr>
        <w:t>Filtra operaciones de mayor calidad</w:t>
      </w:r>
    </w:p>
    <w:p w:rsidR="005C44FB" w:rsidRDefault="005C44FB" w:rsidP="005C44FB">
      <w:pPr>
        <w:spacing w:line="240" w:lineRule="auto"/>
        <w:jc w:val="both"/>
        <w:rPr>
          <w:rFonts w:ascii="Times New Roman" w:hAnsi="Times New Roman" w:cs="Times New Roman"/>
          <w:color w:val="FF0000"/>
          <w:sz w:val="24"/>
          <w:szCs w:val="24"/>
        </w:rPr>
      </w:pPr>
      <w:r w:rsidRPr="00EE4C2F">
        <w:rPr>
          <w:rFonts w:ascii="Times New Roman" w:hAnsi="Times New Roman" w:cs="Times New Roman"/>
          <w:color w:val="FF0000"/>
          <w:sz w:val="24"/>
          <w:szCs w:val="24"/>
        </w:rPr>
        <w:t>Gestión de riesgo adaptativa</w:t>
      </w:r>
      <w:r w:rsidRPr="00EE4C2F">
        <w:rPr>
          <w:rFonts w:ascii="Times New Roman" w:hAnsi="Times New Roman" w:cs="Times New Roman"/>
          <w:color w:val="FF0000"/>
          <w:sz w:val="24"/>
          <w:szCs w:val="24"/>
        </w:rPr>
        <w:tab/>
      </w:r>
      <w:r>
        <w:rPr>
          <w:rFonts w:ascii="Times New Roman" w:hAnsi="Times New Roman" w:cs="Times New Roman"/>
          <w:color w:val="FF0000"/>
          <w:sz w:val="24"/>
          <w:szCs w:val="24"/>
        </w:rPr>
        <w:t xml:space="preserve">            </w:t>
      </w:r>
      <w:r w:rsidRPr="00EE4C2F">
        <w:rPr>
          <w:rFonts w:ascii="Times New Roman" w:hAnsi="Times New Roman" w:cs="Times New Roman"/>
          <w:color w:val="FF0000"/>
          <w:sz w:val="24"/>
          <w:szCs w:val="24"/>
        </w:rPr>
        <w:t>Mayor protección frente a barridas</w:t>
      </w:r>
    </w:p>
    <w:p w:rsidR="005C44FB" w:rsidRDefault="005C44FB" w:rsidP="005C44FB">
      <w:pPr>
        <w:spacing w:line="240" w:lineRule="auto"/>
        <w:jc w:val="both"/>
        <w:rPr>
          <w:rFonts w:ascii="Times New Roman" w:hAnsi="Times New Roman" w:cs="Times New Roman"/>
          <w:b/>
          <w:color w:val="FF0000"/>
          <w:sz w:val="24"/>
          <w:szCs w:val="24"/>
        </w:rPr>
      </w:pPr>
      <w:r w:rsidRPr="00A30077">
        <w:rPr>
          <w:rFonts w:ascii="Times New Roman" w:hAnsi="Times New Roman" w:cs="Times New Roman"/>
          <w:b/>
          <w:color w:val="FF0000"/>
          <w:sz w:val="24"/>
          <w:szCs w:val="24"/>
        </w:rPr>
        <w:t>¿Qué siste</w:t>
      </w:r>
      <w:r>
        <w:rPr>
          <w:rFonts w:ascii="Times New Roman" w:hAnsi="Times New Roman" w:cs="Times New Roman"/>
          <w:b/>
          <w:color w:val="FF0000"/>
          <w:sz w:val="24"/>
          <w:szCs w:val="24"/>
        </w:rPr>
        <w:t>ma permite una mayor manipulació</w:t>
      </w:r>
      <w:r w:rsidRPr="00A30077">
        <w:rPr>
          <w:rFonts w:ascii="Times New Roman" w:hAnsi="Times New Roman" w:cs="Times New Roman"/>
          <w:b/>
          <w:color w:val="FF0000"/>
          <w:sz w:val="24"/>
          <w:szCs w:val="24"/>
        </w:rPr>
        <w:t>n del negocio bursátil</w:t>
      </w:r>
      <w:r>
        <w:rPr>
          <w:rFonts w:ascii="Times New Roman" w:hAnsi="Times New Roman" w:cs="Times New Roman"/>
          <w:b/>
          <w:color w:val="FF0000"/>
          <w:sz w:val="24"/>
          <w:szCs w:val="24"/>
        </w:rPr>
        <w:t xml:space="preserve">: el </w:t>
      </w:r>
      <w:r w:rsidR="00E7110E">
        <w:rPr>
          <w:rFonts w:ascii="Times New Roman" w:hAnsi="Times New Roman" w:cs="Times New Roman"/>
          <w:b/>
          <w:color w:val="FF0000"/>
          <w:sz w:val="24"/>
          <w:szCs w:val="24"/>
        </w:rPr>
        <w:t>análisis  fundamental, o el aná</w:t>
      </w:r>
      <w:r>
        <w:rPr>
          <w:rFonts w:ascii="Times New Roman" w:hAnsi="Times New Roman" w:cs="Times New Roman"/>
          <w:b/>
          <w:color w:val="FF0000"/>
          <w:sz w:val="24"/>
          <w:szCs w:val="24"/>
        </w:rPr>
        <w:t>lisis</w:t>
      </w:r>
      <w:r w:rsidRPr="00A30077">
        <w:rPr>
          <w:rFonts w:ascii="Times New Roman" w:hAnsi="Times New Roman" w:cs="Times New Roman"/>
          <w:b/>
          <w:color w:val="FF0000"/>
          <w:sz w:val="24"/>
          <w:szCs w:val="24"/>
        </w:rPr>
        <w:t xml:space="preserve"> técnico?</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La mayor manipulación del negocio bursátil se da generalmente en el análisis técnico, más que en el análisis fundamental. A c</w:t>
      </w:r>
      <w:r>
        <w:rPr>
          <w:rFonts w:ascii="Times New Roman" w:hAnsi="Times New Roman" w:cs="Times New Roman"/>
          <w:color w:val="FF0000"/>
          <w:sz w:val="24"/>
          <w:szCs w:val="24"/>
        </w:rPr>
        <w:t>ontinuación te explico por qué:</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Segoe UI Symbol" w:hAnsi="Segoe UI Symbol" w:cs="Segoe UI Symbol"/>
          <w:color w:val="FF0000"/>
          <w:sz w:val="24"/>
          <w:szCs w:val="24"/>
        </w:rPr>
        <w:t>📊</w:t>
      </w:r>
      <w:r w:rsidRPr="00A30077">
        <w:rPr>
          <w:rFonts w:ascii="Times New Roman" w:hAnsi="Times New Roman" w:cs="Times New Roman"/>
          <w:color w:val="FF0000"/>
          <w:sz w:val="24"/>
          <w:szCs w:val="24"/>
        </w:rPr>
        <w:t xml:space="preserve"> Análisis técnico</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El análisis técnico se basa en gráficas de precios, patrones de velas, indicadores técnicos, volumen y tendencias del mercado. Aquí es donde los grandes jugadores (institucionales, fondos, market makers) pueden manipular los movimientos a corto plazo para:</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xml:space="preserve">Hacer saltar </w:t>
      </w:r>
      <w:r>
        <w:rPr>
          <w:rFonts w:ascii="Times New Roman" w:hAnsi="Times New Roman" w:cs="Times New Roman"/>
          <w:color w:val="FF0000"/>
          <w:sz w:val="24"/>
          <w:szCs w:val="24"/>
        </w:rPr>
        <w:t>“stop-loss” y generar liquidez.</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Crear falsas rupturas (breakouts) para a</w:t>
      </w:r>
      <w:r>
        <w:rPr>
          <w:rFonts w:ascii="Times New Roman" w:hAnsi="Times New Roman" w:cs="Times New Roman"/>
          <w:color w:val="FF0000"/>
          <w:sz w:val="24"/>
          <w:szCs w:val="24"/>
        </w:rPr>
        <w:t>traer compradores o vendedores.</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Utilizar técnicas como el spoofing (órdenes falsas que se</w:t>
      </w:r>
      <w:r>
        <w:rPr>
          <w:rFonts w:ascii="Times New Roman" w:hAnsi="Times New Roman" w:cs="Times New Roman"/>
          <w:color w:val="FF0000"/>
          <w:sz w:val="24"/>
          <w:szCs w:val="24"/>
        </w:rPr>
        <w:t xml:space="preserve"> cancelan antes de ejecutarse).</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Aprovechar el efecto manada que genera el análisis</w:t>
      </w:r>
      <w:r>
        <w:rPr>
          <w:rFonts w:ascii="Times New Roman" w:hAnsi="Times New Roman" w:cs="Times New Roman"/>
          <w:color w:val="FF0000"/>
          <w:sz w:val="24"/>
          <w:szCs w:val="24"/>
        </w:rPr>
        <w:t xml:space="preserve"> técnico en traders minoristas.</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Segoe UI Symbol" w:hAnsi="Segoe UI Symbol" w:cs="Segoe UI Symbol"/>
          <w:color w:val="FF0000"/>
          <w:sz w:val="24"/>
          <w:szCs w:val="24"/>
        </w:rPr>
        <w:t>🔍</w:t>
      </w:r>
      <w:r w:rsidRPr="00A30077">
        <w:rPr>
          <w:rFonts w:ascii="Times New Roman" w:hAnsi="Times New Roman" w:cs="Times New Roman"/>
          <w:color w:val="FF0000"/>
          <w:sz w:val="24"/>
          <w:szCs w:val="24"/>
        </w:rPr>
        <w:t xml:space="preserve"> Resultado: El análisis técnico es más vulnerable a manipulación emocional y algorítmica porque opera en plazos cortos, donde unos pocos actores pueden mover el precio lo suficiente co</w:t>
      </w:r>
      <w:r>
        <w:rPr>
          <w:rFonts w:ascii="Times New Roman" w:hAnsi="Times New Roman" w:cs="Times New Roman"/>
          <w:color w:val="FF0000"/>
          <w:sz w:val="24"/>
          <w:szCs w:val="24"/>
        </w:rPr>
        <w:t>mo para cambiar patrones clave.</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Análisis fundamental</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lastRenderedPageBreak/>
        <w:t>El análisis fundamental se basa en los estados financieros, ratios contables, proyecciones económicas, noticias macro y microeconómicas, y se enfoca más en el valor intrínsec</w:t>
      </w:r>
      <w:r>
        <w:rPr>
          <w:rFonts w:ascii="Times New Roman" w:hAnsi="Times New Roman" w:cs="Times New Roman"/>
          <w:color w:val="FF0000"/>
          <w:sz w:val="24"/>
          <w:szCs w:val="24"/>
        </w:rPr>
        <w:t>o a largo plazo de una empresa.</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Si bien también puede ser manipulado (por ejemplo, con fraude contable como Enron o Wirecard, o reportes maquillados), esto requiere más esfuerzo y tiene</w:t>
      </w:r>
      <w:r>
        <w:rPr>
          <w:rFonts w:ascii="Times New Roman" w:hAnsi="Times New Roman" w:cs="Times New Roman"/>
          <w:color w:val="FF0000"/>
          <w:sz w:val="24"/>
          <w:szCs w:val="24"/>
        </w:rPr>
        <w:t xml:space="preserve"> mayores consecuencias legales.</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Segoe UI Symbol" w:hAnsi="Segoe UI Symbol" w:cs="Segoe UI Symbol"/>
          <w:color w:val="FF0000"/>
          <w:sz w:val="24"/>
          <w:szCs w:val="24"/>
        </w:rPr>
        <w:t>🔍</w:t>
      </w:r>
      <w:r w:rsidRPr="00A30077">
        <w:rPr>
          <w:rFonts w:ascii="Times New Roman" w:hAnsi="Times New Roman" w:cs="Times New Roman"/>
          <w:color w:val="FF0000"/>
          <w:sz w:val="24"/>
          <w:szCs w:val="24"/>
        </w:rPr>
        <w:t xml:space="preserve"> Resultado: El análisis fundamental es más difícil de manipular en el corto plazo, ya que está basado en datos más objetivos y revisados por organismos regu</w:t>
      </w:r>
      <w:r>
        <w:rPr>
          <w:rFonts w:ascii="Times New Roman" w:hAnsi="Times New Roman" w:cs="Times New Roman"/>
          <w:color w:val="FF0000"/>
          <w:sz w:val="24"/>
          <w:szCs w:val="24"/>
        </w:rPr>
        <w:t>ladores (aunque no infalibles).</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Conclusión</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El sistema técnico permite una mayor manipulación del negocio bursátil, especialmente en el corto plazo, debido a su dependencia de los movimientos de precios y a la presencia de actores c</w:t>
      </w:r>
      <w:r>
        <w:rPr>
          <w:rFonts w:ascii="Times New Roman" w:hAnsi="Times New Roman" w:cs="Times New Roman"/>
          <w:color w:val="FF0000"/>
          <w:sz w:val="24"/>
          <w:szCs w:val="24"/>
        </w:rPr>
        <w:t>on poder para influir en ellos.</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Si te interesa p</w:t>
      </w:r>
      <w:r>
        <w:rPr>
          <w:rFonts w:ascii="Times New Roman" w:hAnsi="Times New Roman" w:cs="Times New Roman"/>
          <w:color w:val="FF0000"/>
          <w:sz w:val="24"/>
          <w:szCs w:val="24"/>
        </w:rPr>
        <w:t>rotegerte contra esto, es útil:</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xml:space="preserve">Usar técnicas </w:t>
      </w:r>
      <w:r>
        <w:rPr>
          <w:rFonts w:ascii="Times New Roman" w:hAnsi="Times New Roman" w:cs="Times New Roman"/>
          <w:color w:val="FF0000"/>
          <w:sz w:val="24"/>
          <w:szCs w:val="24"/>
        </w:rPr>
        <w:t>mixtas (fundamental + técnico).</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Evitar operar en marcos de ti</w:t>
      </w:r>
      <w:r>
        <w:rPr>
          <w:rFonts w:ascii="Times New Roman" w:hAnsi="Times New Roman" w:cs="Times New Roman"/>
          <w:color w:val="FF0000"/>
          <w:sz w:val="24"/>
          <w:szCs w:val="24"/>
        </w:rPr>
        <w:t>empo muy bajos (minutos/horas).</w:t>
      </w:r>
    </w:p>
    <w:p w:rsidR="005C44FB" w:rsidRPr="00674DAB"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Observar la acción del precio con contexto institucional (vol</w:t>
      </w:r>
      <w:r>
        <w:rPr>
          <w:rFonts w:ascii="Times New Roman" w:hAnsi="Times New Roman" w:cs="Times New Roman"/>
          <w:color w:val="FF0000"/>
          <w:sz w:val="24"/>
          <w:szCs w:val="24"/>
        </w:rPr>
        <w:t>umen, zonas de liquidez, etc.).</w:t>
      </w:r>
    </w:p>
    <w:p w:rsidR="005C44FB" w:rsidRDefault="005C44FB" w:rsidP="005C44FB">
      <w:pPr>
        <w:spacing w:line="240" w:lineRule="auto"/>
        <w:jc w:val="both"/>
        <w:rPr>
          <w:rFonts w:ascii="Times New Roman" w:hAnsi="Times New Roman" w:cs="Times New Roman"/>
          <w:b/>
          <w:color w:val="FF0000"/>
          <w:sz w:val="24"/>
          <w:szCs w:val="24"/>
        </w:rPr>
      </w:pPr>
      <w:r w:rsidRPr="00A30077">
        <w:rPr>
          <w:rFonts w:ascii="Times New Roman" w:hAnsi="Times New Roman" w:cs="Times New Roman"/>
          <w:b/>
          <w:color w:val="FF0000"/>
          <w:sz w:val="24"/>
          <w:szCs w:val="24"/>
        </w:rPr>
        <w:t>¿Quieres ejemplos de cómo se manipula técnicamente un mercado?</w:t>
      </w:r>
    </w:p>
    <w:p w:rsidR="005C44FB" w:rsidRPr="00A30077" w:rsidRDefault="005C44FB" w:rsidP="005C44FB">
      <w:pPr>
        <w:spacing w:line="240" w:lineRule="auto"/>
        <w:jc w:val="both"/>
        <w:rPr>
          <w:rFonts w:ascii="Times New Roman" w:hAnsi="Times New Roman" w:cs="Times New Roman"/>
          <w:b/>
          <w:color w:val="FF0000"/>
          <w:sz w:val="24"/>
          <w:szCs w:val="24"/>
        </w:rPr>
      </w:pPr>
      <w:r w:rsidRPr="00A30077">
        <w:rPr>
          <w:rFonts w:ascii="Times New Roman" w:hAnsi="Times New Roman" w:cs="Times New Roman"/>
          <w:color w:val="FF0000"/>
          <w:sz w:val="24"/>
          <w:szCs w:val="24"/>
        </w:rPr>
        <w:t>Perfecto. Aquí te dejo tres ejemplos comunes y reales de cómo se manipula el mercado desde el análisis técnico. Estos son movimientos típicamente usados por grandes jugadores (instituciones, fondos de cobertura, market makers) para engañar a los traders mi</w:t>
      </w:r>
      <w:r>
        <w:rPr>
          <w:rFonts w:ascii="Times New Roman" w:hAnsi="Times New Roman" w:cs="Times New Roman"/>
          <w:color w:val="FF0000"/>
          <w:sz w:val="24"/>
          <w:szCs w:val="24"/>
        </w:rPr>
        <w:t>noristas:</w:t>
      </w:r>
    </w:p>
    <w:p w:rsidR="005C44FB" w:rsidRPr="00A30077" w:rsidRDefault="005C44FB" w:rsidP="005C44FB">
      <w:pPr>
        <w:spacing w:line="240" w:lineRule="auto"/>
        <w:jc w:val="both"/>
        <w:rPr>
          <w:rFonts w:ascii="Times New Roman" w:hAnsi="Times New Roman" w:cs="Times New Roman"/>
          <w:color w:val="FF0000"/>
          <w:sz w:val="24"/>
          <w:szCs w:val="24"/>
          <w:lang w:val="en-GB"/>
        </w:rPr>
      </w:pPr>
      <w:r w:rsidRPr="00A30077">
        <w:rPr>
          <w:rFonts w:ascii="Times New Roman" w:hAnsi="Times New Roman" w:cs="Times New Roman"/>
          <w:color w:val="FF0000"/>
          <w:sz w:val="24"/>
          <w:szCs w:val="24"/>
        </w:rPr>
        <w:t>🧨</w:t>
      </w:r>
      <w:r w:rsidRPr="00A30077">
        <w:rPr>
          <w:rFonts w:ascii="Times New Roman" w:hAnsi="Times New Roman" w:cs="Times New Roman"/>
          <w:color w:val="FF0000"/>
          <w:sz w:val="24"/>
          <w:szCs w:val="24"/>
          <w:lang w:val="en-GB"/>
        </w:rPr>
        <w:t xml:space="preserve"> 1. Stop Hunting (Caza de stops)</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Qué es: Cuando el precio se mueve artificialmente hacia zonas donde muchos traders han puesto sus stop-loss, para hace</w:t>
      </w:r>
      <w:r>
        <w:rPr>
          <w:rFonts w:ascii="Times New Roman" w:hAnsi="Times New Roman" w:cs="Times New Roman"/>
          <w:color w:val="FF0000"/>
          <w:sz w:val="24"/>
          <w:szCs w:val="24"/>
        </w:rPr>
        <w:t>rlos saltar y generar liquidez.</w:t>
      </w:r>
    </w:p>
    <w:p w:rsidR="005C44FB" w:rsidRPr="00A30077"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Ejemplo típico:</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Muchos traders ven un soporte fuerte en $1</w:t>
      </w:r>
      <w:r>
        <w:rPr>
          <w:rFonts w:ascii="Times New Roman" w:hAnsi="Times New Roman" w:cs="Times New Roman"/>
          <w:color w:val="FF0000"/>
          <w:sz w:val="24"/>
          <w:szCs w:val="24"/>
        </w:rPr>
        <w:t>00.</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Colocan sus compras cerc</w:t>
      </w:r>
      <w:r>
        <w:rPr>
          <w:rFonts w:ascii="Times New Roman" w:hAnsi="Times New Roman" w:cs="Times New Roman"/>
          <w:color w:val="FF0000"/>
          <w:sz w:val="24"/>
          <w:szCs w:val="24"/>
        </w:rPr>
        <w:t>a de $100 con stop-loss en $98.</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El precio baja rápidamente a $97.80, ejecuta todos los stops, y luego rebota</w:t>
      </w:r>
      <w:r>
        <w:rPr>
          <w:rFonts w:ascii="Times New Roman" w:hAnsi="Times New Roman" w:cs="Times New Roman"/>
          <w:color w:val="FF0000"/>
          <w:sz w:val="24"/>
          <w:szCs w:val="24"/>
        </w:rPr>
        <w:t xml:space="preserve"> con fuerza por encima de $100.</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Segoe UI Symbol" w:hAnsi="Segoe UI Symbol" w:cs="Segoe UI Symbol"/>
          <w:color w:val="FF0000"/>
          <w:sz w:val="24"/>
          <w:szCs w:val="24"/>
        </w:rPr>
        <w:t>🎯</w:t>
      </w:r>
      <w:r w:rsidRPr="00A30077">
        <w:rPr>
          <w:rFonts w:ascii="Times New Roman" w:hAnsi="Times New Roman" w:cs="Times New Roman"/>
          <w:color w:val="FF0000"/>
          <w:sz w:val="24"/>
          <w:szCs w:val="24"/>
        </w:rPr>
        <w:t xml:space="preserve"> Objetivo del manipulador: Acumular posiciones baratas aprovechando la presión vend</w:t>
      </w:r>
      <w:r>
        <w:rPr>
          <w:rFonts w:ascii="Times New Roman" w:hAnsi="Times New Roman" w:cs="Times New Roman"/>
          <w:color w:val="FF0000"/>
          <w:sz w:val="24"/>
          <w:szCs w:val="24"/>
        </w:rPr>
        <w:t>edora de los stop-loss.</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2. Breakout falso (Falsa ruptura)</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Qué es: Una manipulación donde el precio rompe una resistencia o soporte clave, atrayendo a muchos traders a entrar, solo para revertirse inmed</w:t>
      </w:r>
      <w:r>
        <w:rPr>
          <w:rFonts w:ascii="Times New Roman" w:hAnsi="Times New Roman" w:cs="Times New Roman"/>
          <w:color w:val="FF0000"/>
          <w:sz w:val="24"/>
          <w:szCs w:val="24"/>
        </w:rPr>
        <w:t>iatamente y dejarlos atrapados.</w:t>
      </w:r>
    </w:p>
    <w:p w:rsidR="005C44FB" w:rsidRPr="00A30077"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Ejemplo típico:</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lastRenderedPageBreak/>
        <w:t>Hay</w:t>
      </w:r>
      <w:r>
        <w:rPr>
          <w:rFonts w:ascii="Times New Roman" w:hAnsi="Times New Roman" w:cs="Times New Roman"/>
          <w:color w:val="FF0000"/>
          <w:sz w:val="24"/>
          <w:szCs w:val="24"/>
        </w:rPr>
        <w:t xml:space="preserve"> una resistencia clara en $150.</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El precio rompe con volumen, llega a $153, pero</w:t>
      </w:r>
      <w:r>
        <w:rPr>
          <w:rFonts w:ascii="Times New Roman" w:hAnsi="Times New Roman" w:cs="Times New Roman"/>
          <w:color w:val="FF0000"/>
          <w:sz w:val="24"/>
          <w:szCs w:val="24"/>
        </w:rPr>
        <w:t xml:space="preserve"> luego cae abruptamente a $145.</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Muchos entraron largo en la ru</w:t>
      </w:r>
      <w:r>
        <w:rPr>
          <w:rFonts w:ascii="Times New Roman" w:hAnsi="Times New Roman" w:cs="Times New Roman"/>
          <w:color w:val="FF0000"/>
          <w:sz w:val="24"/>
          <w:szCs w:val="24"/>
        </w:rPr>
        <w:t>ptura, y ahora están atrapados.</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Segoe UI Symbol" w:hAnsi="Segoe UI Symbol" w:cs="Segoe UI Symbol"/>
          <w:color w:val="FF0000"/>
          <w:sz w:val="24"/>
          <w:szCs w:val="24"/>
        </w:rPr>
        <w:t>🎯</w:t>
      </w:r>
      <w:r w:rsidRPr="00A30077">
        <w:rPr>
          <w:rFonts w:ascii="Times New Roman" w:hAnsi="Times New Roman" w:cs="Times New Roman"/>
          <w:color w:val="FF0000"/>
          <w:sz w:val="24"/>
          <w:szCs w:val="24"/>
        </w:rPr>
        <w:t xml:space="preserve"> Objetivo del manipulador: Inducir a los minoristas a entrar en mal momento </w:t>
      </w:r>
      <w:r>
        <w:rPr>
          <w:rFonts w:ascii="Times New Roman" w:hAnsi="Times New Roman" w:cs="Times New Roman"/>
          <w:color w:val="FF0000"/>
          <w:sz w:val="24"/>
          <w:szCs w:val="24"/>
        </w:rPr>
        <w:t>y luego venderles en la cima.</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Segoe UI Symbol" w:hAnsi="Segoe UI Symbol" w:cs="Segoe UI Symbol"/>
          <w:color w:val="FF0000"/>
          <w:sz w:val="24"/>
          <w:szCs w:val="24"/>
        </w:rPr>
        <w:t>🎭</w:t>
      </w:r>
      <w:r w:rsidRPr="00A30077">
        <w:rPr>
          <w:rFonts w:ascii="Times New Roman" w:hAnsi="Times New Roman" w:cs="Times New Roman"/>
          <w:color w:val="FF0000"/>
          <w:sz w:val="24"/>
          <w:szCs w:val="24"/>
        </w:rPr>
        <w:t xml:space="preserve"> 3. Spoofing</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Qué es: Colocar órdenes falsas de compra o venta en el libro de órdenes para simular presión y mover el precio, sin inte</w:t>
      </w:r>
      <w:r>
        <w:rPr>
          <w:rFonts w:ascii="Times New Roman" w:hAnsi="Times New Roman" w:cs="Times New Roman"/>
          <w:color w:val="FF0000"/>
          <w:sz w:val="24"/>
          <w:szCs w:val="24"/>
        </w:rPr>
        <w:t>nción de ejecutar esas órdenes.</w:t>
      </w:r>
    </w:p>
    <w:p w:rsidR="005C44FB" w:rsidRPr="00A30077"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Ejemplo típico:</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Aparecen miles de órdenes de venta justo arriba del precio actua</w:t>
      </w:r>
      <w:r>
        <w:rPr>
          <w:rFonts w:ascii="Times New Roman" w:hAnsi="Times New Roman" w:cs="Times New Roman"/>
          <w:color w:val="FF0000"/>
          <w:sz w:val="24"/>
          <w:szCs w:val="24"/>
        </w:rPr>
        <w:t>l (parece que habrá una caída).</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Los trade</w:t>
      </w:r>
      <w:r>
        <w:rPr>
          <w:rFonts w:ascii="Times New Roman" w:hAnsi="Times New Roman" w:cs="Times New Roman"/>
          <w:color w:val="FF0000"/>
          <w:sz w:val="24"/>
          <w:szCs w:val="24"/>
        </w:rPr>
        <w:t>rs minoristas venden por miedo.</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El manipulador retira sus órdenes falsa</w:t>
      </w:r>
      <w:r>
        <w:rPr>
          <w:rFonts w:ascii="Times New Roman" w:hAnsi="Times New Roman" w:cs="Times New Roman"/>
          <w:color w:val="FF0000"/>
          <w:sz w:val="24"/>
          <w:szCs w:val="24"/>
        </w:rPr>
        <w:t>s y compra a precios más bajos.</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Segoe UI Symbol" w:hAnsi="Segoe UI Symbol" w:cs="Segoe UI Symbol"/>
          <w:color w:val="FF0000"/>
          <w:sz w:val="24"/>
          <w:szCs w:val="24"/>
        </w:rPr>
        <w:t>🎯</w:t>
      </w:r>
      <w:r w:rsidRPr="00A30077">
        <w:rPr>
          <w:rFonts w:ascii="Times New Roman" w:hAnsi="Times New Roman" w:cs="Times New Roman"/>
          <w:color w:val="FF0000"/>
          <w:sz w:val="24"/>
          <w:szCs w:val="24"/>
        </w:rPr>
        <w:t xml:space="preserve"> Objetivo del manipulador: Engañar al mercado para obte</w:t>
      </w:r>
      <w:r>
        <w:rPr>
          <w:rFonts w:ascii="Times New Roman" w:hAnsi="Times New Roman" w:cs="Times New Roman"/>
          <w:color w:val="FF0000"/>
          <w:sz w:val="24"/>
          <w:szCs w:val="24"/>
        </w:rPr>
        <w:t>ner una mejor entrada o salida.</w:t>
      </w:r>
    </w:p>
    <w:p w:rsidR="005C44FB" w:rsidRPr="00A30077" w:rsidRDefault="005C44FB" w:rsidP="005C44FB">
      <w:p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¿Cómo protegerte?</w:t>
      </w:r>
    </w:p>
    <w:p w:rsidR="005C44FB" w:rsidRPr="00A3007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No pongas tus stop-loss en zonas obvias (niveles redondos, máximos/mínimos recientes).</w:t>
      </w:r>
    </w:p>
    <w:p w:rsidR="005C44FB" w:rsidRPr="00A3007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Confirma los breakouts con volumen real y velas de seguimiento (no entres en la primera ruptura).</w:t>
      </w:r>
    </w:p>
    <w:p w:rsidR="005C44FB"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Usa análisis de liquidez institucional y order flow si puedes (como en plataformas tipo Bookmap o DOM).</w:t>
      </w:r>
    </w:p>
    <w:p w:rsidR="005C44FB" w:rsidRPr="00A30077" w:rsidRDefault="005C44FB" w:rsidP="005C44FB">
      <w:pPr>
        <w:spacing w:line="240" w:lineRule="auto"/>
        <w:ind w:left="360"/>
        <w:jc w:val="both"/>
        <w:rPr>
          <w:rFonts w:ascii="Times New Roman" w:hAnsi="Times New Roman" w:cs="Times New Roman"/>
          <w:b/>
          <w:color w:val="FF0000"/>
          <w:sz w:val="24"/>
          <w:szCs w:val="24"/>
        </w:rPr>
      </w:pPr>
      <w:r w:rsidRPr="00A30077">
        <w:rPr>
          <w:rFonts w:ascii="Times New Roman" w:hAnsi="Times New Roman" w:cs="Times New Roman"/>
          <w:b/>
          <w:color w:val="FF0000"/>
          <w:sz w:val="24"/>
          <w:szCs w:val="24"/>
        </w:rPr>
        <w:t xml:space="preserve">¿Qué tanto </w:t>
      </w:r>
      <w:r>
        <w:rPr>
          <w:rFonts w:ascii="Times New Roman" w:hAnsi="Times New Roman" w:cs="Times New Roman"/>
          <w:b/>
          <w:color w:val="FF0000"/>
          <w:sz w:val="24"/>
          <w:szCs w:val="24"/>
        </w:rPr>
        <w:t>se cumple o se contradice la “sucesión</w:t>
      </w:r>
      <w:r w:rsidRPr="00A30077">
        <w:rPr>
          <w:rFonts w:ascii="Times New Roman" w:hAnsi="Times New Roman" w:cs="Times New Roman"/>
          <w:b/>
          <w:color w:val="FF0000"/>
          <w:sz w:val="24"/>
          <w:szCs w:val="24"/>
        </w:rPr>
        <w:t xml:space="preserve"> de Fibonacci</w:t>
      </w:r>
      <w:r>
        <w:rPr>
          <w:rFonts w:ascii="Times New Roman" w:hAnsi="Times New Roman" w:cs="Times New Roman"/>
          <w:b/>
          <w:color w:val="FF0000"/>
          <w:sz w:val="24"/>
          <w:szCs w:val="24"/>
        </w:rPr>
        <w:t>”</w:t>
      </w:r>
      <w:r w:rsidRPr="00A30077">
        <w:rPr>
          <w:rFonts w:ascii="Times New Roman" w:hAnsi="Times New Roman" w:cs="Times New Roman"/>
          <w:b/>
          <w:color w:val="FF0000"/>
          <w:sz w:val="24"/>
          <w:szCs w:val="24"/>
        </w:rPr>
        <w:t xml:space="preserve"> en la actual operativa bursátil</w:t>
      </w:r>
      <w:r>
        <w:rPr>
          <w:rFonts w:ascii="Times New Roman" w:hAnsi="Times New Roman" w:cs="Times New Roman"/>
          <w:b/>
          <w:color w:val="FF0000"/>
          <w:sz w:val="24"/>
          <w:szCs w:val="24"/>
        </w:rPr>
        <w:t>?</w:t>
      </w:r>
    </w:p>
    <w:p w:rsidR="005C44FB" w:rsidRPr="00A30077" w:rsidRDefault="005C44FB" w:rsidP="005C44FB">
      <w:pPr>
        <w:spacing w:line="240" w:lineRule="auto"/>
        <w:ind w:left="360"/>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La </w:t>
      </w:r>
      <w:r w:rsidRPr="00A30077">
        <w:rPr>
          <w:rFonts w:ascii="Times New Roman" w:hAnsi="Times New Roman" w:cs="Times New Roman"/>
          <w:color w:val="FF0000"/>
          <w:sz w:val="24"/>
          <w:szCs w:val="24"/>
        </w:rPr>
        <w:t xml:space="preserve">secuencia de Fibonacci, aplicada al trading, sigue siendo una herramienta popular entre traders técnicos, pero su cumplimiento no es una ley universal ni infalible. Vamos a dividir esto en dos partes </w:t>
      </w:r>
      <w:r>
        <w:rPr>
          <w:rFonts w:ascii="Times New Roman" w:hAnsi="Times New Roman" w:cs="Times New Roman"/>
          <w:color w:val="FF0000"/>
          <w:sz w:val="24"/>
          <w:szCs w:val="24"/>
        </w:rPr>
        <w:t>para responderte con precisión:</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¿Qué tan</w:t>
      </w:r>
      <w:r>
        <w:rPr>
          <w:rFonts w:ascii="Times New Roman" w:hAnsi="Times New Roman" w:cs="Times New Roman"/>
          <w:color w:val="FF0000"/>
          <w:sz w:val="24"/>
          <w:szCs w:val="24"/>
        </w:rPr>
        <w:t>to</w:t>
      </w:r>
      <w:r w:rsidRPr="00A30077">
        <w:rPr>
          <w:rFonts w:ascii="Times New Roman" w:hAnsi="Times New Roman" w:cs="Times New Roman"/>
          <w:color w:val="FF0000"/>
          <w:sz w:val="24"/>
          <w:szCs w:val="24"/>
        </w:rPr>
        <w:t xml:space="preserve"> se cumple la ley de Fibonacci en la operativa bursátil actual?</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Segoe UI Symbol" w:hAnsi="Segoe UI Symbol" w:cs="Segoe UI Symbol"/>
          <w:color w:val="FF0000"/>
          <w:sz w:val="24"/>
          <w:szCs w:val="24"/>
        </w:rPr>
        <w:t>📌</w:t>
      </w:r>
      <w:r w:rsidRPr="00A30077">
        <w:rPr>
          <w:rFonts w:ascii="Times New Roman" w:hAnsi="Times New Roman" w:cs="Times New Roman"/>
          <w:color w:val="FF0000"/>
          <w:sz w:val="24"/>
          <w:szCs w:val="24"/>
        </w:rPr>
        <w:t xml:space="preserve"> 1. Auto-cumplimiento</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Muchas herramientas como los retrocesos (38.2%, 50%, 61.8%) o extensiones de Fibonacci se si</w:t>
      </w:r>
      <w:r>
        <w:rPr>
          <w:rFonts w:ascii="Times New Roman" w:hAnsi="Times New Roman" w:cs="Times New Roman"/>
          <w:color w:val="FF0000"/>
          <w:sz w:val="24"/>
          <w:szCs w:val="24"/>
        </w:rPr>
        <w:t>guen utilizando ampliamente en:</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xml:space="preserve">Trading de acciones, </w:t>
      </w:r>
      <w:r>
        <w:rPr>
          <w:rFonts w:ascii="Times New Roman" w:hAnsi="Times New Roman" w:cs="Times New Roman"/>
          <w:color w:val="FF0000"/>
          <w:sz w:val="24"/>
          <w:szCs w:val="24"/>
        </w:rPr>
        <w:t>futuros, forex y criptomonedas.</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xml:space="preserve">Algoritmos de trading, que incorporan estos niveles </w:t>
      </w:r>
      <w:r>
        <w:rPr>
          <w:rFonts w:ascii="Times New Roman" w:hAnsi="Times New Roman" w:cs="Times New Roman"/>
          <w:color w:val="FF0000"/>
          <w:sz w:val="24"/>
          <w:szCs w:val="24"/>
        </w:rPr>
        <w:t>por su alta adopción histórica.</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Plataformas como TradingView y MetaTrader, donde estas herramienta</w:t>
      </w:r>
      <w:r>
        <w:rPr>
          <w:rFonts w:ascii="Times New Roman" w:hAnsi="Times New Roman" w:cs="Times New Roman"/>
          <w:color w:val="FF0000"/>
          <w:sz w:val="24"/>
          <w:szCs w:val="24"/>
        </w:rPr>
        <w:t>s están integradas por defecto.</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Segoe UI Symbol" w:hAnsi="Segoe UI Symbol" w:cs="Segoe UI Symbol"/>
          <w:color w:val="FF0000"/>
          <w:sz w:val="24"/>
          <w:szCs w:val="24"/>
        </w:rPr>
        <w:lastRenderedPageBreak/>
        <w:t>🔁</w:t>
      </w:r>
      <w:r w:rsidRPr="00A30077">
        <w:rPr>
          <w:rFonts w:ascii="Times New Roman" w:hAnsi="Times New Roman" w:cs="Times New Roman"/>
          <w:color w:val="FF0000"/>
          <w:sz w:val="24"/>
          <w:szCs w:val="24"/>
        </w:rPr>
        <w:t xml:space="preserve"> Resultado: Muchos traders reaccionan a los niveles Fibonacci, lo que genera que se cumplan con cierta frecuencia, espe</w:t>
      </w:r>
      <w:r>
        <w:rPr>
          <w:rFonts w:ascii="Times New Roman" w:hAnsi="Times New Roman" w:cs="Times New Roman"/>
          <w:color w:val="FF0000"/>
          <w:sz w:val="24"/>
          <w:szCs w:val="24"/>
        </w:rPr>
        <w:t>cialmente en entornos técnicos.</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Segoe UI Symbol" w:hAnsi="Segoe UI Symbol" w:cs="Segoe UI Symbol"/>
          <w:color w:val="FF0000"/>
          <w:sz w:val="24"/>
          <w:szCs w:val="24"/>
        </w:rPr>
        <w:t>📌</w:t>
      </w:r>
      <w:r w:rsidRPr="00A30077">
        <w:rPr>
          <w:rFonts w:ascii="Times New Roman" w:hAnsi="Times New Roman" w:cs="Times New Roman"/>
          <w:color w:val="FF0000"/>
          <w:sz w:val="24"/>
          <w:szCs w:val="24"/>
        </w:rPr>
        <w:t xml:space="preserve"> 2. Respeto relativo en tendencias limpias</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En mercados en tendencia clara, los retr</w:t>
      </w:r>
      <w:r>
        <w:rPr>
          <w:rFonts w:ascii="Times New Roman" w:hAnsi="Times New Roman" w:cs="Times New Roman"/>
          <w:color w:val="FF0000"/>
          <w:sz w:val="24"/>
          <w:szCs w:val="24"/>
        </w:rPr>
        <w:t>ocesos de Fibonacci son útiles:</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38.2% y 61.8% son niveles donde frecuentemente ocurren r</w:t>
      </w:r>
      <w:r>
        <w:rPr>
          <w:rFonts w:ascii="Times New Roman" w:hAnsi="Times New Roman" w:cs="Times New Roman"/>
          <w:color w:val="FF0000"/>
          <w:sz w:val="24"/>
          <w:szCs w:val="24"/>
        </w:rPr>
        <w:t>ebotes.</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xml:space="preserve">Se usan </w:t>
      </w:r>
      <w:r>
        <w:rPr>
          <w:rFonts w:ascii="Times New Roman" w:hAnsi="Times New Roman" w:cs="Times New Roman"/>
          <w:color w:val="FF0000"/>
          <w:sz w:val="24"/>
          <w:szCs w:val="24"/>
        </w:rPr>
        <w:t>como zonas de entrada o salida.</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Segoe UI Symbol" w:hAnsi="Segoe UI Symbol" w:cs="Segoe UI Symbol"/>
          <w:color w:val="FF0000"/>
          <w:sz w:val="24"/>
          <w:szCs w:val="24"/>
        </w:rPr>
        <w:t>🔍</w:t>
      </w:r>
      <w:r w:rsidRPr="00A30077">
        <w:rPr>
          <w:rFonts w:ascii="Times New Roman" w:hAnsi="Times New Roman" w:cs="Times New Roman"/>
          <w:color w:val="FF0000"/>
          <w:sz w:val="24"/>
          <w:szCs w:val="24"/>
        </w:rPr>
        <w:t xml:space="preserve"> Ejemplo real: En una tendencia alcista, si un precio sube de $100 a $150, y luego retrocede a $130, ese es un retroceso del 38.2</w:t>
      </w:r>
      <w:r>
        <w:rPr>
          <w:rFonts w:ascii="Times New Roman" w:hAnsi="Times New Roman" w:cs="Times New Roman"/>
          <w:color w:val="FF0000"/>
          <w:sz w:val="24"/>
          <w:szCs w:val="24"/>
        </w:rPr>
        <w:t>%, y puede actuar como soporte.</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¿Qué tanto se contradice?</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1. Falsos positivos</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Fibonacci pued</w:t>
      </w:r>
      <w:r>
        <w:rPr>
          <w:rFonts w:ascii="Times New Roman" w:hAnsi="Times New Roman" w:cs="Times New Roman"/>
          <w:color w:val="FF0000"/>
          <w:sz w:val="24"/>
          <w:szCs w:val="24"/>
        </w:rPr>
        <w:t>e ser extremadamente subjetivo:</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El punto de inicio y fin d</w:t>
      </w:r>
      <w:r>
        <w:rPr>
          <w:rFonts w:ascii="Times New Roman" w:hAnsi="Times New Roman" w:cs="Times New Roman"/>
          <w:color w:val="FF0000"/>
          <w:sz w:val="24"/>
          <w:szCs w:val="24"/>
        </w:rPr>
        <w:t>el trazo varía según el trader.</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No hay garantía de que un retroceso del 61.8% vaya a aguantar; puede romper sin respeto alguno.</w:t>
      </w:r>
    </w:p>
    <w:p w:rsidR="005C44FB" w:rsidRPr="00A30077"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A30077">
        <w:rPr>
          <w:rFonts w:ascii="Times New Roman" w:hAnsi="Times New Roman" w:cs="Times New Roman"/>
          <w:color w:val="FF0000"/>
          <w:sz w:val="24"/>
          <w:szCs w:val="24"/>
        </w:rPr>
        <w:t>En mercados laterales o manipulados, estos niveles no sirven de mucho.</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Segoe UI Symbol" w:hAnsi="Segoe UI Symbol" w:cs="Segoe UI Symbol"/>
          <w:color w:val="FF0000"/>
          <w:sz w:val="24"/>
          <w:szCs w:val="24"/>
        </w:rPr>
        <w:t>🔍</w:t>
      </w:r>
      <w:r w:rsidRPr="00A30077">
        <w:rPr>
          <w:rFonts w:ascii="Times New Roman" w:hAnsi="Times New Roman" w:cs="Times New Roman"/>
          <w:color w:val="FF0000"/>
          <w:sz w:val="24"/>
          <w:szCs w:val="24"/>
        </w:rPr>
        <w:t xml:space="preserve"> Por ejemplo: En mercados con alta volatilidad (como criptomonedas o acciones meme), el precio puede atravesar todos los niveles Fibona</w:t>
      </w:r>
      <w:r>
        <w:rPr>
          <w:rFonts w:ascii="Times New Roman" w:hAnsi="Times New Roman" w:cs="Times New Roman"/>
          <w:color w:val="FF0000"/>
          <w:sz w:val="24"/>
          <w:szCs w:val="24"/>
        </w:rPr>
        <w:t>cci sin mostrar reacción clara.</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2. Invalidez sin contexto</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Fibonacci sin una estructura de mercado clara (máximos/mínimos, soportes, liquidez institucional) se vuelve una herramienta aleatoria. Muchos novatos</w:t>
      </w:r>
      <w:r>
        <w:rPr>
          <w:rFonts w:ascii="Times New Roman" w:hAnsi="Times New Roman" w:cs="Times New Roman"/>
          <w:color w:val="FF0000"/>
          <w:sz w:val="24"/>
          <w:szCs w:val="24"/>
        </w:rPr>
        <w:t xml:space="preserve"> trazan niveles sin considerar:</w:t>
      </w:r>
    </w:p>
    <w:p w:rsidR="005C44FB" w:rsidRPr="008A39F2"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Dónde hay liquidez.</w:t>
      </w:r>
    </w:p>
    <w:p w:rsidR="005C44FB" w:rsidRPr="008A39F2"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Qué volumen respalda los movimientos.</w:t>
      </w:r>
    </w:p>
    <w:p w:rsidR="005C44FB" w:rsidRPr="008A39F2"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Qué contexto macro o de noticias hay.</w:t>
      </w:r>
    </w:p>
    <w:p w:rsidR="005C44FB" w:rsidRPr="00A30077" w:rsidRDefault="005C44FB" w:rsidP="005C44FB">
      <w:pPr>
        <w:spacing w:line="240" w:lineRule="auto"/>
        <w:ind w:left="360"/>
        <w:jc w:val="both"/>
        <w:rPr>
          <w:rFonts w:ascii="Times New Roman" w:hAnsi="Times New Roman" w:cs="Times New Roman"/>
          <w:color w:val="FF0000"/>
          <w:sz w:val="24"/>
          <w:szCs w:val="24"/>
        </w:rPr>
      </w:pPr>
      <w:r w:rsidRPr="00A30077">
        <w:rPr>
          <w:rFonts w:ascii="Times New Roman" w:hAnsi="Times New Roman" w:cs="Times New Roman"/>
          <w:color w:val="FF0000"/>
          <w:sz w:val="24"/>
          <w:szCs w:val="24"/>
        </w:rPr>
        <w:t>🧠 Conclusión clara:</w:t>
      </w:r>
    </w:p>
    <w:p w:rsidR="005C44FB" w:rsidRPr="008A39F2"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Fibonacci se cumple con frecuencia razonable, solo cuando se usa con contexto técnico adecuado (estructura de mercado, volumen, tendencia, zonas clave).</w:t>
      </w:r>
    </w:p>
    <w:p w:rsidR="005C44FB"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Pero no es una ley objetiva ni autosuficiente. Su efectividad es más estadística y psicológica que matemática pura.</w:t>
      </w:r>
    </w:p>
    <w:p w:rsidR="005C44FB" w:rsidRPr="008A39F2" w:rsidRDefault="005C44FB" w:rsidP="005C44FB">
      <w:pPr>
        <w:spacing w:line="240" w:lineRule="auto"/>
        <w:jc w:val="both"/>
        <w:rPr>
          <w:rFonts w:ascii="Times New Roman" w:hAnsi="Times New Roman" w:cs="Times New Roman"/>
          <w:b/>
          <w:color w:val="FF0000"/>
          <w:sz w:val="24"/>
          <w:szCs w:val="24"/>
        </w:rPr>
      </w:pPr>
      <w:r w:rsidRPr="008A39F2">
        <w:rPr>
          <w:rFonts w:ascii="Times New Roman" w:hAnsi="Times New Roman" w:cs="Times New Roman"/>
          <w:b/>
          <w:color w:val="FF0000"/>
          <w:sz w:val="24"/>
          <w:szCs w:val="24"/>
        </w:rPr>
        <w:t>¿Te gustaría que analice un gráfico actual (de alguna acción o criptomoneda) usando Fibonacci y te muestre si está respetando los niveles?</w:t>
      </w:r>
    </w:p>
    <w:p w:rsidR="005C44FB" w:rsidRPr="008A39F2"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Tú dijiste: </w:t>
      </w:r>
      <w:r w:rsidRPr="008A39F2">
        <w:rPr>
          <w:rFonts w:ascii="Times New Roman" w:hAnsi="Times New Roman" w:cs="Times New Roman"/>
          <w:color w:val="FF0000"/>
          <w:sz w:val="24"/>
          <w:szCs w:val="24"/>
        </w:rPr>
        <w:t>si</w:t>
      </w:r>
    </w:p>
    <w:p w:rsidR="005C44FB" w:rsidRPr="008A39F2" w:rsidRDefault="005C44FB" w:rsidP="005C44FB">
      <w:p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ChatGPT Plus</w:t>
      </w:r>
    </w:p>
    <w:p w:rsidR="005C44FB" w:rsidRPr="008A39F2" w:rsidRDefault="005C44FB" w:rsidP="005C44FB">
      <w:p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lastRenderedPageBreak/>
        <w:t>Perfecto. Para darte un análisis con Fibonacci aplicado a un gráfico real, necesito que me indiques:</w:t>
      </w:r>
    </w:p>
    <w:p w:rsidR="005C44FB" w:rsidRPr="008A39F2" w:rsidRDefault="005C44FB" w:rsidP="005C44FB">
      <w:pPr>
        <w:spacing w:line="240" w:lineRule="auto"/>
        <w:jc w:val="both"/>
        <w:rPr>
          <w:rFonts w:ascii="Times New Roman" w:hAnsi="Times New Roman" w:cs="Times New Roman"/>
          <w:color w:val="FF0000"/>
          <w:sz w:val="24"/>
          <w:szCs w:val="24"/>
        </w:rPr>
      </w:pPr>
      <w:r w:rsidRPr="008A39F2">
        <w:rPr>
          <w:rFonts w:ascii="Segoe UI Symbol" w:hAnsi="Segoe UI Symbol" w:cs="Segoe UI Symbol"/>
          <w:color w:val="FF0000"/>
          <w:sz w:val="24"/>
          <w:szCs w:val="24"/>
        </w:rPr>
        <w:t>📌</w:t>
      </w:r>
      <w:r w:rsidRPr="008A39F2">
        <w:rPr>
          <w:rFonts w:ascii="Times New Roman" w:hAnsi="Times New Roman" w:cs="Times New Roman"/>
          <w:color w:val="FF0000"/>
          <w:sz w:val="24"/>
          <w:szCs w:val="24"/>
        </w:rPr>
        <w:t xml:space="preserve"> ¿Qué activo quieres que analice?</w:t>
      </w:r>
    </w:p>
    <w:p w:rsidR="005C44FB" w:rsidRPr="008A39F2" w:rsidRDefault="005C44FB" w:rsidP="005C44FB">
      <w:pPr>
        <w:spacing w:line="240" w:lineRule="auto"/>
        <w:ind w:left="360"/>
        <w:jc w:val="both"/>
        <w:rPr>
          <w:rFonts w:ascii="Times New Roman" w:hAnsi="Times New Roman" w:cs="Times New Roman"/>
          <w:color w:val="FF0000"/>
          <w:sz w:val="24"/>
          <w:szCs w:val="24"/>
        </w:rPr>
      </w:pPr>
      <w:r>
        <w:rPr>
          <w:rFonts w:ascii="Times New Roman" w:hAnsi="Times New Roman" w:cs="Times New Roman"/>
          <w:color w:val="FF0000"/>
          <w:sz w:val="24"/>
          <w:szCs w:val="24"/>
        </w:rPr>
        <w:t>Por ejemplo:</w:t>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Una acción específica (</w:t>
      </w:r>
      <w:r>
        <w:rPr>
          <w:rFonts w:ascii="Times New Roman" w:hAnsi="Times New Roman" w:cs="Times New Roman"/>
          <w:color w:val="FF0000"/>
          <w:sz w:val="24"/>
          <w:szCs w:val="24"/>
        </w:rPr>
        <w:t>ej: Apple, Tesla, Nvidia, etc.)</w:t>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Un índice bursá</w:t>
      </w:r>
      <w:r>
        <w:rPr>
          <w:rFonts w:ascii="Times New Roman" w:hAnsi="Times New Roman" w:cs="Times New Roman"/>
          <w:color w:val="FF0000"/>
          <w:sz w:val="24"/>
          <w:szCs w:val="24"/>
        </w:rPr>
        <w:t>til (ej: S&amp;P 500, Nasdaq, etc.)</w:t>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Una cript</w:t>
      </w:r>
      <w:r>
        <w:rPr>
          <w:rFonts w:ascii="Times New Roman" w:hAnsi="Times New Roman" w:cs="Times New Roman"/>
          <w:color w:val="FF0000"/>
          <w:sz w:val="24"/>
          <w:szCs w:val="24"/>
        </w:rPr>
        <w:t>omoneda (ej: Bitcoin, Ethereum)</w:t>
      </w:r>
    </w:p>
    <w:p w:rsidR="005C44FB" w:rsidRPr="008A39F2" w:rsidRDefault="005C44FB" w:rsidP="005C44FB">
      <w:pPr>
        <w:spacing w:line="240" w:lineRule="auto"/>
        <w:ind w:left="360"/>
        <w:jc w:val="both"/>
        <w:rPr>
          <w:rFonts w:ascii="Times New Roman" w:hAnsi="Times New Roman" w:cs="Times New Roman"/>
          <w:color w:val="FF0000"/>
          <w:sz w:val="24"/>
          <w:szCs w:val="24"/>
        </w:rPr>
      </w:pPr>
      <w:r>
        <w:rPr>
          <w:rFonts w:ascii="Times New Roman" w:hAnsi="Times New Roman" w:cs="Times New Roman"/>
          <w:color w:val="FF0000"/>
          <w:sz w:val="24"/>
          <w:szCs w:val="24"/>
        </w:rPr>
        <w:t>Un par de divisas (ej: EUR/USD)</w:t>
      </w:r>
    </w:p>
    <w:p w:rsidR="005C44FB" w:rsidRPr="008A39F2" w:rsidRDefault="005C44FB" w:rsidP="005C44FB">
      <w:pPr>
        <w:spacing w:line="240" w:lineRule="auto"/>
        <w:ind w:left="360"/>
        <w:jc w:val="both"/>
        <w:rPr>
          <w:rFonts w:ascii="Times New Roman" w:hAnsi="Times New Roman" w:cs="Times New Roman"/>
          <w:color w:val="FF0000"/>
          <w:sz w:val="24"/>
          <w:szCs w:val="24"/>
        </w:rPr>
      </w:pPr>
      <w:r>
        <w:rPr>
          <w:rFonts w:ascii="Times New Roman" w:hAnsi="Times New Roman" w:cs="Times New Roman"/>
          <w:color w:val="FF0000"/>
          <w:sz w:val="24"/>
          <w:szCs w:val="24"/>
        </w:rPr>
        <w:t>Y opcionalmente:</w:t>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 ¿Qué marco de tiempo te interesa?</w:t>
      </w:r>
    </w:p>
    <w:p w:rsidR="005C44FB" w:rsidRPr="008A39F2" w:rsidRDefault="005C44FB" w:rsidP="005C44FB">
      <w:pPr>
        <w:spacing w:line="240" w:lineRule="auto"/>
        <w:ind w:left="360"/>
        <w:jc w:val="both"/>
        <w:rPr>
          <w:rFonts w:ascii="Times New Roman" w:hAnsi="Times New Roman" w:cs="Times New Roman"/>
          <w:color w:val="FF0000"/>
          <w:sz w:val="24"/>
          <w:szCs w:val="24"/>
        </w:rPr>
      </w:pPr>
      <w:r>
        <w:rPr>
          <w:rFonts w:ascii="Times New Roman" w:hAnsi="Times New Roman" w:cs="Times New Roman"/>
          <w:color w:val="FF0000"/>
          <w:sz w:val="24"/>
          <w:szCs w:val="24"/>
        </w:rPr>
        <w:t>Intradía (5 min, 15 min)</w:t>
      </w:r>
    </w:p>
    <w:p w:rsidR="005C44FB" w:rsidRPr="008A39F2" w:rsidRDefault="005C44FB" w:rsidP="005C44FB">
      <w:pPr>
        <w:spacing w:line="240" w:lineRule="auto"/>
        <w:ind w:left="360"/>
        <w:jc w:val="both"/>
        <w:rPr>
          <w:rFonts w:ascii="Times New Roman" w:hAnsi="Times New Roman" w:cs="Times New Roman"/>
          <w:color w:val="FF0000"/>
          <w:sz w:val="24"/>
          <w:szCs w:val="24"/>
        </w:rPr>
      </w:pPr>
      <w:r>
        <w:rPr>
          <w:rFonts w:ascii="Times New Roman" w:hAnsi="Times New Roman" w:cs="Times New Roman"/>
          <w:color w:val="FF0000"/>
          <w:sz w:val="24"/>
          <w:szCs w:val="24"/>
        </w:rPr>
        <w:t>Corto plazo (1h, 4h)</w:t>
      </w:r>
    </w:p>
    <w:p w:rsidR="005C44FB" w:rsidRPr="008A39F2" w:rsidRDefault="005C44FB" w:rsidP="005C44FB">
      <w:pPr>
        <w:spacing w:line="240" w:lineRule="auto"/>
        <w:ind w:left="360"/>
        <w:jc w:val="both"/>
        <w:rPr>
          <w:rFonts w:ascii="Times New Roman" w:hAnsi="Times New Roman" w:cs="Times New Roman"/>
          <w:color w:val="FF0000"/>
          <w:sz w:val="24"/>
          <w:szCs w:val="24"/>
        </w:rPr>
      </w:pPr>
      <w:r>
        <w:rPr>
          <w:rFonts w:ascii="Times New Roman" w:hAnsi="Times New Roman" w:cs="Times New Roman"/>
          <w:color w:val="FF0000"/>
          <w:sz w:val="24"/>
          <w:szCs w:val="24"/>
        </w:rPr>
        <w:t>Medio plazo (diario)</w:t>
      </w:r>
    </w:p>
    <w:p w:rsidR="005C44FB" w:rsidRPr="008A39F2" w:rsidRDefault="005C44FB" w:rsidP="005C44FB">
      <w:pPr>
        <w:spacing w:line="240" w:lineRule="auto"/>
        <w:ind w:left="360"/>
        <w:jc w:val="both"/>
        <w:rPr>
          <w:rFonts w:ascii="Times New Roman" w:hAnsi="Times New Roman" w:cs="Times New Roman"/>
          <w:color w:val="FF0000"/>
          <w:sz w:val="24"/>
          <w:szCs w:val="24"/>
        </w:rPr>
      </w:pPr>
      <w:r>
        <w:rPr>
          <w:rFonts w:ascii="Times New Roman" w:hAnsi="Times New Roman" w:cs="Times New Roman"/>
          <w:color w:val="FF0000"/>
          <w:sz w:val="24"/>
          <w:szCs w:val="24"/>
        </w:rPr>
        <w:t>Largo plazo (semanal, mensual)</w:t>
      </w:r>
    </w:p>
    <w:p w:rsidR="005C44FB" w:rsidRDefault="005C44FB" w:rsidP="005C44FB">
      <w:pPr>
        <w:spacing w:line="240" w:lineRule="auto"/>
        <w:jc w:val="both"/>
        <w:rPr>
          <w:rFonts w:ascii="Times New Roman" w:hAnsi="Times New Roman" w:cs="Times New Roman"/>
          <w:b/>
          <w:color w:val="FF0000"/>
          <w:sz w:val="24"/>
          <w:szCs w:val="24"/>
        </w:rPr>
      </w:pPr>
      <w:r w:rsidRPr="008A39F2">
        <w:rPr>
          <w:rFonts w:ascii="Times New Roman" w:hAnsi="Times New Roman" w:cs="Times New Roman"/>
          <w:b/>
          <w:color w:val="FF0000"/>
          <w:sz w:val="24"/>
          <w:szCs w:val="24"/>
        </w:rPr>
        <w:t>Una vez me lo digas, te muestro el gráfico y analizo si los niveles de Fibonacci están siendo respetados.</w:t>
      </w:r>
    </w:p>
    <w:p w:rsidR="005C44FB" w:rsidRPr="008A39F2"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Tú dijiste: </w:t>
      </w:r>
      <w:r w:rsidR="00C44162" w:rsidRPr="008A39F2">
        <w:rPr>
          <w:rFonts w:ascii="Times New Roman" w:hAnsi="Times New Roman" w:cs="Times New Roman"/>
          <w:color w:val="FF0000"/>
          <w:sz w:val="24"/>
          <w:szCs w:val="24"/>
        </w:rPr>
        <w:t>índice</w:t>
      </w:r>
      <w:r w:rsidRPr="008A39F2">
        <w:rPr>
          <w:rFonts w:ascii="Times New Roman" w:hAnsi="Times New Roman" w:cs="Times New Roman"/>
          <w:color w:val="FF0000"/>
          <w:sz w:val="24"/>
          <w:szCs w:val="24"/>
        </w:rPr>
        <w:t xml:space="preserve"> </w:t>
      </w:r>
      <w:r w:rsidR="00C44162" w:rsidRPr="008A39F2">
        <w:rPr>
          <w:rFonts w:ascii="Times New Roman" w:hAnsi="Times New Roman" w:cs="Times New Roman"/>
          <w:color w:val="FF0000"/>
          <w:sz w:val="24"/>
          <w:szCs w:val="24"/>
        </w:rPr>
        <w:t>bursátil</w:t>
      </w:r>
      <w:r w:rsidRPr="008A39F2">
        <w:rPr>
          <w:rFonts w:ascii="Times New Roman" w:hAnsi="Times New Roman" w:cs="Times New Roman"/>
          <w:color w:val="FF0000"/>
          <w:sz w:val="24"/>
          <w:szCs w:val="24"/>
        </w:rPr>
        <w:t xml:space="preserve"> S&amp;P 500 - largo plazo</w:t>
      </w:r>
    </w:p>
    <w:p w:rsidR="005C44FB" w:rsidRPr="008A39F2" w:rsidRDefault="005C44FB" w:rsidP="005C44FB">
      <w:p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ChatGPT Plus</w:t>
      </w:r>
    </w:p>
    <w:p w:rsidR="005C44FB" w:rsidRDefault="005C44FB" w:rsidP="005C44FB">
      <w:p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Aquí tienes un análisis de largo plazo del S&amp;P 500 con base en niveles de Fibonacci:</w:t>
      </w:r>
    </w:p>
    <w:p w:rsidR="005C44FB" w:rsidRPr="008A39F2" w:rsidRDefault="005C44FB" w:rsidP="005C44FB">
      <w:pPr>
        <w:spacing w:line="240" w:lineRule="auto"/>
        <w:jc w:val="both"/>
        <w:rPr>
          <w:rFonts w:ascii="Times New Roman" w:hAnsi="Times New Roman" w:cs="Times New Roman"/>
          <w:color w:val="FF0000"/>
          <w:sz w:val="24"/>
          <w:szCs w:val="24"/>
        </w:rPr>
      </w:pPr>
      <w:r>
        <w:rPr>
          <w:noProof/>
          <w:lang w:eastAsia="es-ES"/>
        </w:rPr>
        <w:drawing>
          <wp:inline distT="0" distB="0" distL="0" distR="0" wp14:anchorId="58C9E567" wp14:editId="547293A8">
            <wp:extent cx="5731510" cy="3222982"/>
            <wp:effectExtent l="0" t="0" r="2540" b="0"/>
            <wp:docPr id="9" name="Imagen 9" descr="stockcharts.com/artic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stockcharts.com/articles..."/>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31510" cy="3222982"/>
                    </a:xfrm>
                    <a:prstGeom prst="rect">
                      <a:avLst/>
                    </a:prstGeom>
                    <a:noFill/>
                    <a:ln>
                      <a:noFill/>
                    </a:ln>
                  </pic:spPr>
                </pic:pic>
              </a:graphicData>
            </a:graphic>
          </wp:inline>
        </w:drawing>
      </w:r>
    </w:p>
    <w:p w:rsidR="005C44FB" w:rsidRPr="008A39F2" w:rsidRDefault="005C44FB" w:rsidP="005C44FB">
      <w:pPr>
        <w:spacing w:line="240" w:lineRule="auto"/>
        <w:ind w:left="360"/>
        <w:jc w:val="both"/>
        <w:rPr>
          <w:rFonts w:ascii="Times New Roman" w:hAnsi="Times New Roman" w:cs="Times New Roman"/>
          <w:color w:val="FF0000"/>
          <w:sz w:val="24"/>
          <w:szCs w:val="24"/>
        </w:rPr>
      </w:pP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Segoe UI Symbol" w:hAnsi="Segoe UI Symbol" w:cs="Segoe UI Symbol"/>
          <w:color w:val="FF0000"/>
          <w:sz w:val="24"/>
          <w:szCs w:val="24"/>
        </w:rPr>
        <w:t>📈</w:t>
      </w:r>
      <w:r w:rsidRPr="008A39F2">
        <w:rPr>
          <w:rFonts w:ascii="Times New Roman" w:hAnsi="Times New Roman" w:cs="Times New Roman"/>
          <w:color w:val="FF0000"/>
          <w:sz w:val="24"/>
          <w:szCs w:val="24"/>
        </w:rPr>
        <w:t xml:space="preserve"> Efectividad reciente de Fibonacci en largo plazo</w:t>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 Soportes clave respetados</w:t>
      </w:r>
    </w:p>
    <w:p w:rsidR="005C44FB" w:rsidRPr="008A39F2"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 xml:space="preserve">Durante la corrección de octubre de 2022, el S&amp;P e-mini encontró soporte justo en el nivel del 50 % del rally 2020‑enero 2022, rebotando desde ~3 500 puntos </w:t>
      </w:r>
    </w:p>
    <w:p w:rsidR="005C44FB" w:rsidRPr="008A39F2"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En la caída de abril‑mayo 2025, también respetó ese 50 % (~4 834 en e-mini), evide</w:t>
      </w:r>
      <w:r w:rsidR="00E7110E">
        <w:rPr>
          <w:rFonts w:ascii="Times New Roman" w:hAnsi="Times New Roman" w:cs="Times New Roman"/>
          <w:color w:val="FF0000"/>
          <w:sz w:val="24"/>
          <w:szCs w:val="24"/>
        </w:rPr>
        <w:t>nciando dos rebotes en esa zona</w:t>
      </w:r>
      <w:r w:rsidRPr="008A39F2">
        <w:rPr>
          <w:rFonts w:ascii="Times New Roman" w:hAnsi="Times New Roman" w:cs="Times New Roman"/>
          <w:color w:val="FF0000"/>
          <w:sz w:val="24"/>
          <w:szCs w:val="24"/>
        </w:rPr>
        <w:t>.</w:t>
      </w:r>
    </w:p>
    <w:p w:rsidR="005C44FB" w:rsidRPr="008A39F2"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 xml:space="preserve">El rally posterior detuvo su avance cerca del 61.8 %, próximo a los 5 700, sin cerrar consistentemente por encima, lo que sugiere resistencia en esa franja </w:t>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Segoe UI Symbol" w:hAnsi="Segoe UI Symbol" w:cs="Segoe UI Symbol"/>
          <w:color w:val="FF0000"/>
          <w:sz w:val="24"/>
          <w:szCs w:val="24"/>
        </w:rPr>
        <w:t>🔎</w:t>
      </w:r>
      <w:r w:rsidRPr="008A39F2">
        <w:rPr>
          <w:rFonts w:ascii="Times New Roman" w:hAnsi="Times New Roman" w:cs="Times New Roman"/>
          <w:color w:val="FF0000"/>
          <w:sz w:val="24"/>
          <w:szCs w:val="24"/>
        </w:rPr>
        <w:t xml:space="preserve"> Niveles actuales</w:t>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Según TradingView, la resistencia Fibonacci proyectada estaba cerca de 6 200‑6 </w:t>
      </w:r>
      <w:r>
        <w:rPr>
          <w:rFonts w:ascii="Times New Roman" w:hAnsi="Times New Roman" w:cs="Times New Roman"/>
          <w:color w:val="FF0000"/>
          <w:sz w:val="24"/>
          <w:szCs w:val="24"/>
        </w:rPr>
        <w:t>220 hacia fines de junio 2025 -</w:t>
      </w:r>
      <w:r w:rsidRPr="008A39F2">
        <w:rPr>
          <w:rFonts w:ascii="Times New Roman" w:hAnsi="Times New Roman" w:cs="Times New Roman"/>
          <w:color w:val="FF0000"/>
          <w:sz w:val="24"/>
          <w:szCs w:val="24"/>
        </w:rPr>
        <w:t xml:space="preserve"> el índice alcanzó máximos intradía allí </w:t>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 xml:space="preserve">Luego inició un pullback, conservando soporte sobre el 50 % (~4 800) según la dinámica anterior </w:t>
      </w:r>
    </w:p>
    <w:p w:rsidR="005C44FB" w:rsidRDefault="005C44FB" w:rsidP="005C44FB">
      <w:pPr>
        <w:spacing w:line="240" w:lineRule="auto"/>
        <w:ind w:left="360"/>
        <w:jc w:val="both"/>
        <w:rPr>
          <w:rFonts w:ascii="Times New Roman" w:hAnsi="Times New Roman" w:cs="Times New Roman"/>
          <w:color w:val="FF0000"/>
          <w:sz w:val="24"/>
          <w:szCs w:val="24"/>
        </w:rPr>
      </w:pPr>
      <w:r w:rsidRPr="008A39F2">
        <w:rPr>
          <w:rFonts w:ascii="Segoe UI Symbol" w:hAnsi="Segoe UI Symbol" w:cs="Segoe UI Symbol"/>
          <w:color w:val="FF0000"/>
          <w:sz w:val="24"/>
          <w:szCs w:val="24"/>
        </w:rPr>
        <w:t>📊</w:t>
      </w:r>
      <w:r w:rsidRPr="008A39F2">
        <w:rPr>
          <w:rFonts w:ascii="Times New Roman" w:hAnsi="Times New Roman" w:cs="Times New Roman"/>
          <w:color w:val="FF0000"/>
          <w:sz w:val="24"/>
          <w:szCs w:val="24"/>
        </w:rPr>
        <w:t xml:space="preserve"> Indicadores técnicos generales</w:t>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5B42FE">
        <w:rPr>
          <w:rFonts w:ascii="Times New Roman" w:hAnsi="Times New Roman" w:cs="Times New Roman"/>
          <w:noProof/>
          <w:color w:val="FF0000"/>
          <w:sz w:val="24"/>
          <w:szCs w:val="24"/>
          <w:lang w:eastAsia="es-ES"/>
        </w:rPr>
        <w:drawing>
          <wp:inline distT="0" distB="0" distL="0" distR="0" wp14:anchorId="0AD1C327" wp14:editId="2C3869D7">
            <wp:extent cx="5731510" cy="3913470"/>
            <wp:effectExtent l="0" t="0" r="254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3913470"/>
                    </a:xfrm>
                    <a:prstGeom prst="rect">
                      <a:avLst/>
                    </a:prstGeom>
                  </pic:spPr>
                </pic:pic>
              </a:graphicData>
            </a:graphic>
          </wp:inline>
        </w:drawing>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 xml:space="preserve">El comportamiento del ETF SPY refleja un </w:t>
      </w:r>
      <w:r w:rsidR="00C44162">
        <w:rPr>
          <w:rFonts w:ascii="Times New Roman" w:hAnsi="Times New Roman" w:cs="Times New Roman"/>
          <w:color w:val="FF0000"/>
          <w:sz w:val="24"/>
          <w:szCs w:val="24"/>
        </w:rPr>
        <w:t>clima alcista de fondo, con un “golden cross”</w:t>
      </w:r>
      <w:r w:rsidRPr="008A39F2">
        <w:rPr>
          <w:rFonts w:ascii="Times New Roman" w:hAnsi="Times New Roman" w:cs="Times New Roman"/>
          <w:color w:val="FF0000"/>
          <w:sz w:val="24"/>
          <w:szCs w:val="24"/>
        </w:rPr>
        <w:t xml:space="preserve"> (50d cruza</w:t>
      </w:r>
      <w:r>
        <w:rPr>
          <w:rFonts w:ascii="Times New Roman" w:hAnsi="Times New Roman" w:cs="Times New Roman"/>
          <w:color w:val="FF0000"/>
          <w:sz w:val="24"/>
          <w:szCs w:val="24"/>
        </w:rPr>
        <w:t xml:space="preserve"> por encima del 200d) reciente. </w:t>
      </w:r>
      <w:r w:rsidRPr="008A39F2">
        <w:rPr>
          <w:rFonts w:ascii="Times New Roman" w:hAnsi="Times New Roman" w:cs="Times New Roman"/>
          <w:color w:val="FF0000"/>
          <w:sz w:val="24"/>
          <w:szCs w:val="24"/>
        </w:rPr>
        <w:t>Esto apoya la lectura de que, de persistir sobre niveles Fibonacci clave, la tendencia</w:t>
      </w:r>
      <w:r>
        <w:rPr>
          <w:rFonts w:ascii="Times New Roman" w:hAnsi="Times New Roman" w:cs="Times New Roman"/>
          <w:color w:val="FF0000"/>
          <w:sz w:val="24"/>
          <w:szCs w:val="24"/>
        </w:rPr>
        <w:t xml:space="preserve"> principal sigue intacta.</w:t>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 Conclusión</w:t>
      </w:r>
    </w:p>
    <w:p w:rsidR="005C44FB" w:rsidRPr="005B42FE"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lastRenderedPageBreak/>
        <w:t>Fibonacci en largo plazo sí funciona: el S&amp;P ha respetado repetidamente los niveles del 50 % como soporte y los del 61.8 % como resistencia.</w:t>
      </w:r>
    </w:p>
    <w:p w:rsidR="005C44FB" w:rsidRPr="005B42FE"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No es infalible, pero en contextos técnicos claros (tendencia, volumen e indicadores), hay coincidencias estadísticas notables.</w:t>
      </w:r>
    </w:p>
    <w:p w:rsidR="005C44FB" w:rsidRPr="005B42FE"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En 2025, vemos una estructura típica: pullback al 50 %, luego corrección al 61.8 % y continuación de la tendencia una vez se confirma un rebote o ruptura.</w:t>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Segoe UI Symbol" w:hAnsi="Segoe UI Symbol" w:cs="Segoe UI Symbol"/>
          <w:color w:val="FF0000"/>
          <w:sz w:val="24"/>
          <w:szCs w:val="24"/>
        </w:rPr>
        <w:t>🎯</w:t>
      </w:r>
      <w:r w:rsidRPr="008A39F2">
        <w:rPr>
          <w:rFonts w:ascii="Times New Roman" w:hAnsi="Times New Roman" w:cs="Times New Roman"/>
          <w:color w:val="FF0000"/>
          <w:sz w:val="24"/>
          <w:szCs w:val="24"/>
        </w:rPr>
        <w:t xml:space="preserve"> ¿Qué vigilar?</w:t>
      </w:r>
    </w:p>
    <w:p w:rsidR="005C44FB" w:rsidRPr="008A39F2" w:rsidRDefault="005C44FB" w:rsidP="005C44FB">
      <w:pPr>
        <w:spacing w:line="240" w:lineRule="auto"/>
        <w:ind w:left="36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Nivel</w:t>
      </w:r>
      <w:r w:rsidRPr="008A39F2">
        <w:rPr>
          <w:rFonts w:ascii="Times New Roman" w:hAnsi="Times New Roman" w:cs="Times New Roman"/>
          <w:color w:val="FF0000"/>
          <w:sz w:val="24"/>
          <w:szCs w:val="24"/>
        </w:rPr>
        <w:tab/>
      </w:r>
      <w:r>
        <w:rPr>
          <w:rFonts w:ascii="Times New Roman" w:hAnsi="Times New Roman" w:cs="Times New Roman"/>
          <w:color w:val="FF0000"/>
          <w:sz w:val="24"/>
          <w:szCs w:val="24"/>
        </w:rPr>
        <w:t xml:space="preserve">                                   </w:t>
      </w:r>
      <w:r w:rsidRPr="008A39F2">
        <w:rPr>
          <w:rFonts w:ascii="Times New Roman" w:hAnsi="Times New Roman" w:cs="Times New Roman"/>
          <w:color w:val="FF0000"/>
          <w:sz w:val="24"/>
          <w:szCs w:val="24"/>
        </w:rPr>
        <w:t>Qué observar</w:t>
      </w:r>
    </w:p>
    <w:p w:rsidR="005C44FB" w:rsidRPr="008A39F2" w:rsidRDefault="005C44FB" w:rsidP="005C44FB">
      <w:pPr>
        <w:spacing w:line="240" w:lineRule="auto"/>
        <w:ind w:left="3540" w:hanging="318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~6 200–6 220 (61.8 %)</w:t>
      </w:r>
      <w:r w:rsidRPr="008A39F2">
        <w:rPr>
          <w:rFonts w:ascii="Times New Roman" w:hAnsi="Times New Roman" w:cs="Times New Roman"/>
          <w:color w:val="FF0000"/>
          <w:sz w:val="24"/>
          <w:szCs w:val="24"/>
        </w:rPr>
        <w:tab/>
        <w:t xml:space="preserve">Una ruptura sostenida confirmaría continuación de </w:t>
      </w:r>
      <w:r>
        <w:rPr>
          <w:rFonts w:ascii="Times New Roman" w:hAnsi="Times New Roman" w:cs="Times New Roman"/>
          <w:color w:val="FF0000"/>
          <w:sz w:val="24"/>
          <w:szCs w:val="24"/>
        </w:rPr>
        <w:t xml:space="preserve"> </w:t>
      </w:r>
      <w:r w:rsidRPr="008A39F2">
        <w:rPr>
          <w:rFonts w:ascii="Times New Roman" w:hAnsi="Times New Roman" w:cs="Times New Roman"/>
          <w:color w:val="FF0000"/>
          <w:sz w:val="24"/>
          <w:szCs w:val="24"/>
        </w:rPr>
        <w:t>tendencia alcista; una reversión sugeriría un pullback más profundo.</w:t>
      </w:r>
    </w:p>
    <w:p w:rsidR="005C44FB" w:rsidRPr="008A39F2" w:rsidRDefault="005C44FB" w:rsidP="005C44FB">
      <w:pPr>
        <w:spacing w:line="240" w:lineRule="auto"/>
        <w:ind w:left="3540" w:hanging="318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~4 800–5 000 (50 %)</w:t>
      </w:r>
      <w:r w:rsidRPr="008A39F2">
        <w:rPr>
          <w:rFonts w:ascii="Times New Roman" w:hAnsi="Times New Roman" w:cs="Times New Roman"/>
          <w:color w:val="FF0000"/>
          <w:sz w:val="24"/>
          <w:szCs w:val="24"/>
        </w:rPr>
        <w:tab/>
        <w:t>Mantener este nivel refuerza la validez del rebote; una ruptura lo invalidaría y aumentaría riesgo bajista.</w:t>
      </w:r>
    </w:p>
    <w:p w:rsidR="005C44FB" w:rsidRPr="008A39F2" w:rsidRDefault="005C44FB" w:rsidP="005C44FB">
      <w:pPr>
        <w:spacing w:line="240" w:lineRule="auto"/>
        <w:ind w:left="3540" w:hanging="3180"/>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Validación</w:t>
      </w:r>
      <w:r>
        <w:rPr>
          <w:rFonts w:ascii="Times New Roman" w:hAnsi="Times New Roman" w:cs="Times New Roman"/>
          <w:color w:val="FF0000"/>
          <w:sz w:val="24"/>
          <w:szCs w:val="24"/>
        </w:rPr>
        <w:t xml:space="preserve">               </w:t>
      </w:r>
      <w:r w:rsidRPr="008A39F2">
        <w:rPr>
          <w:rFonts w:ascii="Times New Roman" w:hAnsi="Times New Roman" w:cs="Times New Roman"/>
          <w:color w:val="FF0000"/>
          <w:sz w:val="24"/>
          <w:szCs w:val="24"/>
        </w:rPr>
        <w:tab/>
        <w:t>Prefiere cadenas de cierres por encima/bajo el nivel, confirmados por volumen.</w:t>
      </w:r>
    </w:p>
    <w:p w:rsidR="005C44FB" w:rsidRDefault="005C44FB" w:rsidP="005C44FB">
      <w:pPr>
        <w:spacing w:line="240" w:lineRule="auto"/>
        <w:jc w:val="both"/>
        <w:rPr>
          <w:rFonts w:ascii="Times New Roman" w:hAnsi="Times New Roman" w:cs="Times New Roman"/>
          <w:color w:val="FF0000"/>
          <w:sz w:val="24"/>
          <w:szCs w:val="24"/>
        </w:rPr>
      </w:pPr>
      <w:r w:rsidRPr="008A39F2">
        <w:rPr>
          <w:rFonts w:ascii="Times New Roman" w:hAnsi="Times New Roman" w:cs="Times New Roman"/>
          <w:color w:val="FF0000"/>
          <w:sz w:val="24"/>
          <w:szCs w:val="24"/>
        </w:rPr>
        <w:t>¿Te gustaría que actualice el análisis dentro de unas semanas con un gráfico real-time o que te explique cómo trazar tú mismo estos niveles en TradingView?</w:t>
      </w:r>
    </w:p>
    <w:p w:rsidR="005C44FB" w:rsidRPr="00E94F3C" w:rsidRDefault="005C44FB" w:rsidP="005C44FB">
      <w:pPr>
        <w:spacing w:line="240" w:lineRule="auto"/>
        <w:jc w:val="both"/>
        <w:rPr>
          <w:rFonts w:ascii="Times New Roman" w:hAnsi="Times New Roman" w:cs="Times New Roman"/>
          <w:b/>
          <w:color w:val="FF0000"/>
          <w:sz w:val="24"/>
          <w:szCs w:val="24"/>
        </w:rPr>
      </w:pPr>
      <w:r w:rsidRPr="00E94F3C">
        <w:rPr>
          <w:rFonts w:ascii="Times New Roman" w:hAnsi="Times New Roman" w:cs="Times New Roman"/>
          <w:b/>
          <w:color w:val="FF0000"/>
          <w:sz w:val="24"/>
          <w:szCs w:val="24"/>
        </w:rPr>
        <w:t>¿La operativa de alta frecuencia y el exceso del análisis técnico, no pueden llevar a un fenómeno de “positividad toxica” en el negocio bursátil</w:t>
      </w:r>
      <w:r>
        <w:rPr>
          <w:rFonts w:ascii="Times New Roman" w:hAnsi="Times New Roman" w:cs="Times New Roman"/>
          <w:b/>
          <w:color w:val="FF0000"/>
          <w:sz w:val="24"/>
          <w:szCs w:val="24"/>
        </w:rPr>
        <w:t>?</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Sí, absolutamente. La combinación entre la operativa de alta frecuencia (HFT) y el exceso del análisis técnico mal aplicado puede llevar a un</w:t>
      </w:r>
      <w:r w:rsidR="00E7110E">
        <w:rPr>
          <w:rFonts w:ascii="Times New Roman" w:hAnsi="Times New Roman" w:cs="Times New Roman"/>
          <w:color w:val="FF0000"/>
          <w:sz w:val="24"/>
          <w:szCs w:val="24"/>
        </w:rPr>
        <w:t xml:space="preserve"> fenómeno que podríamos llamar “positividad tóxica”</w:t>
      </w:r>
      <w:r w:rsidRPr="005B42FE">
        <w:rPr>
          <w:rFonts w:ascii="Times New Roman" w:hAnsi="Times New Roman" w:cs="Times New Roman"/>
          <w:color w:val="FF0000"/>
          <w:sz w:val="24"/>
          <w:szCs w:val="24"/>
        </w:rPr>
        <w:t xml:space="preserve"> bursátil, aunque no en el sentido emocional típico, sino en una forma ilusoriamente optimista y sobretecnificada de</w:t>
      </w:r>
      <w:r>
        <w:rPr>
          <w:rFonts w:ascii="Times New Roman" w:hAnsi="Times New Roman" w:cs="Times New Roman"/>
          <w:color w:val="FF0000"/>
          <w:sz w:val="24"/>
          <w:szCs w:val="24"/>
        </w:rPr>
        <w:t>l mercado. Vamos a desglosarlo:</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 ¿Qué entendemos por “positividad tóxica” en el negocio bursátil?</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Es una distorsión del mercado donde los participantes (en especial minoristas) creen que todo puede predecirse, controlarse o sistematizarse mediante herramientas técni</w:t>
      </w:r>
      <w:r>
        <w:rPr>
          <w:rFonts w:ascii="Times New Roman" w:hAnsi="Times New Roman" w:cs="Times New Roman"/>
          <w:color w:val="FF0000"/>
          <w:sz w:val="24"/>
          <w:szCs w:val="24"/>
        </w:rPr>
        <w:t>cas o automatizadas, ignorando:</w:t>
      </w:r>
    </w:p>
    <w:p w:rsidR="005C44FB" w:rsidRPr="00E94F3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E94F3C">
        <w:rPr>
          <w:rFonts w:ascii="Times New Roman" w:hAnsi="Times New Roman" w:cs="Times New Roman"/>
          <w:color w:val="FF0000"/>
          <w:sz w:val="24"/>
          <w:szCs w:val="24"/>
        </w:rPr>
        <w:t>La incertidumbre estructural del mercado.</w:t>
      </w:r>
    </w:p>
    <w:p w:rsidR="005C44FB" w:rsidRPr="00E94F3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E94F3C">
        <w:rPr>
          <w:rFonts w:ascii="Times New Roman" w:hAnsi="Times New Roman" w:cs="Times New Roman"/>
          <w:color w:val="FF0000"/>
          <w:sz w:val="24"/>
          <w:szCs w:val="24"/>
        </w:rPr>
        <w:t>La manipulación institucional.</w:t>
      </w:r>
    </w:p>
    <w:p w:rsidR="005C44FB" w:rsidRPr="00E94F3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E94F3C">
        <w:rPr>
          <w:rFonts w:ascii="Times New Roman" w:hAnsi="Times New Roman" w:cs="Times New Roman"/>
          <w:color w:val="FF0000"/>
          <w:sz w:val="24"/>
          <w:szCs w:val="24"/>
        </w:rPr>
        <w:t>La influencia del azar, eventos macro, geopolítica o comportamiento humano no cuantificable.</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En este contexto, la “positividad tóxica” se manifiesta como una excesiva confianza en que el mercado siempre responde a ciertos patrones técnicos o reglas compu</w:t>
      </w:r>
      <w:r>
        <w:rPr>
          <w:rFonts w:ascii="Times New Roman" w:hAnsi="Times New Roman" w:cs="Times New Roman"/>
          <w:color w:val="FF0000"/>
          <w:sz w:val="24"/>
          <w:szCs w:val="24"/>
        </w:rPr>
        <w:t>tacionales, y eso es peligroso.</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 Cómo contribuyen el HFT y el análisis técnico excesivo</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 xml:space="preserve">1. </w:t>
      </w:r>
      <w:r w:rsidRPr="005B42FE">
        <w:rPr>
          <w:rFonts w:ascii="Segoe UI Symbol" w:hAnsi="Segoe UI Symbol" w:cs="Segoe UI Symbol"/>
          <w:color w:val="FF0000"/>
          <w:sz w:val="24"/>
          <w:szCs w:val="24"/>
        </w:rPr>
        <w:t>🕹</w:t>
      </w:r>
      <w:r w:rsidRPr="005B42FE">
        <w:rPr>
          <w:rFonts w:ascii="Times New Roman" w:hAnsi="Times New Roman" w:cs="Times New Roman"/>
          <w:color w:val="FF0000"/>
          <w:sz w:val="24"/>
          <w:szCs w:val="24"/>
        </w:rPr>
        <w:t>️ Operativa de Alta Frecuencia (HFT)</w:t>
      </w:r>
    </w:p>
    <w:p w:rsidR="005C44FB" w:rsidRPr="005B42FE"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5B42FE">
        <w:rPr>
          <w:rFonts w:ascii="Times New Roman" w:hAnsi="Times New Roman" w:cs="Times New Roman"/>
          <w:color w:val="FF0000"/>
          <w:sz w:val="24"/>
          <w:szCs w:val="24"/>
        </w:rPr>
        <w:t>Los HFTs dominan gran parte del vol</w:t>
      </w:r>
      <w:r>
        <w:rPr>
          <w:rFonts w:ascii="Times New Roman" w:hAnsi="Times New Roman" w:cs="Times New Roman"/>
          <w:color w:val="FF0000"/>
          <w:sz w:val="24"/>
          <w:szCs w:val="24"/>
        </w:rPr>
        <w:t>umen diario (más del 50 % en EEUU</w:t>
      </w:r>
      <w:r w:rsidRPr="005B42FE">
        <w:rPr>
          <w:rFonts w:ascii="Times New Roman" w:hAnsi="Times New Roman" w:cs="Times New Roman"/>
          <w:color w:val="FF0000"/>
          <w:sz w:val="24"/>
          <w:szCs w:val="24"/>
        </w:rPr>
        <w:t>).</w:t>
      </w:r>
    </w:p>
    <w:p w:rsidR="005C44FB"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5B42FE">
        <w:rPr>
          <w:rFonts w:ascii="Times New Roman" w:hAnsi="Times New Roman" w:cs="Times New Roman"/>
          <w:color w:val="FF0000"/>
          <w:sz w:val="24"/>
          <w:szCs w:val="24"/>
        </w:rPr>
        <w:t>Operan con algoritmos milisegundos má</w:t>
      </w:r>
      <w:r>
        <w:rPr>
          <w:rFonts w:ascii="Times New Roman" w:hAnsi="Times New Roman" w:cs="Times New Roman"/>
          <w:color w:val="FF0000"/>
          <w:sz w:val="24"/>
          <w:szCs w:val="24"/>
        </w:rPr>
        <w:t>s rápidos que cualquier humano.</w:t>
      </w:r>
    </w:p>
    <w:p w:rsidR="005C44FB" w:rsidRPr="005B42FE"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lastRenderedPageBreak/>
        <w:t xml:space="preserve">- </w:t>
      </w:r>
      <w:r w:rsidRPr="005B42FE">
        <w:rPr>
          <w:rFonts w:ascii="Times New Roman" w:hAnsi="Times New Roman" w:cs="Times New Roman"/>
          <w:color w:val="FF0000"/>
          <w:sz w:val="24"/>
          <w:szCs w:val="24"/>
        </w:rPr>
        <w:t xml:space="preserve">Aprovechan ineficiencias micro para obtener beneficio, sin interés en la </w:t>
      </w:r>
      <w:r>
        <w:rPr>
          <w:rFonts w:ascii="Times New Roman" w:hAnsi="Times New Roman" w:cs="Times New Roman"/>
          <w:color w:val="FF0000"/>
          <w:sz w:val="24"/>
          <w:szCs w:val="24"/>
        </w:rPr>
        <w:t>lógica fundamental del mercado.</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Segoe UI Symbol" w:hAnsi="Segoe UI Symbol" w:cs="Segoe UI Symbol"/>
          <w:color w:val="FF0000"/>
          <w:sz w:val="24"/>
          <w:szCs w:val="24"/>
        </w:rPr>
        <w:t>🎯</w:t>
      </w:r>
      <w:r w:rsidRPr="005B42FE">
        <w:rPr>
          <w:rFonts w:ascii="Times New Roman" w:hAnsi="Times New Roman" w:cs="Times New Roman"/>
          <w:color w:val="FF0000"/>
          <w:sz w:val="24"/>
          <w:szCs w:val="24"/>
        </w:rPr>
        <w:t xml:space="preserve"> Efecto: distorsionan patrones </w:t>
      </w:r>
      <w:r w:rsidR="00E7110E">
        <w:rPr>
          <w:rFonts w:ascii="Times New Roman" w:hAnsi="Times New Roman" w:cs="Times New Roman"/>
          <w:color w:val="FF0000"/>
          <w:sz w:val="24"/>
          <w:szCs w:val="24"/>
        </w:rPr>
        <w:t>técnicos tradicionales y crean “ruido”</w:t>
      </w:r>
      <w:r w:rsidRPr="005B42FE">
        <w:rPr>
          <w:rFonts w:ascii="Times New Roman" w:hAnsi="Times New Roman" w:cs="Times New Roman"/>
          <w:color w:val="FF0000"/>
          <w:sz w:val="24"/>
          <w:szCs w:val="24"/>
        </w:rPr>
        <w:t xml:space="preserve"> que los traders minoristas interpretan err</w:t>
      </w:r>
      <w:r>
        <w:rPr>
          <w:rFonts w:ascii="Times New Roman" w:hAnsi="Times New Roman" w:cs="Times New Roman"/>
          <w:color w:val="FF0000"/>
          <w:sz w:val="24"/>
          <w:szCs w:val="24"/>
        </w:rPr>
        <w:t>óneamente como señales válidas.</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 xml:space="preserve">2. </w:t>
      </w:r>
      <w:r w:rsidRPr="005B42FE">
        <w:rPr>
          <w:rFonts w:ascii="Segoe UI Symbol" w:hAnsi="Segoe UI Symbol" w:cs="Segoe UI Symbol"/>
          <w:color w:val="FF0000"/>
          <w:sz w:val="24"/>
          <w:szCs w:val="24"/>
        </w:rPr>
        <w:t>📊</w:t>
      </w:r>
      <w:r w:rsidRPr="005B42FE">
        <w:rPr>
          <w:rFonts w:ascii="Times New Roman" w:hAnsi="Times New Roman" w:cs="Times New Roman"/>
          <w:color w:val="FF0000"/>
          <w:sz w:val="24"/>
          <w:szCs w:val="24"/>
        </w:rPr>
        <w:t xml:space="preserve"> Exceso de análisis técnico superficial</w:t>
      </w:r>
    </w:p>
    <w:p w:rsidR="005C44FB" w:rsidRPr="005B42FE"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5B42FE">
        <w:rPr>
          <w:rFonts w:ascii="Times New Roman" w:hAnsi="Times New Roman" w:cs="Times New Roman"/>
          <w:color w:val="FF0000"/>
          <w:sz w:val="24"/>
          <w:szCs w:val="24"/>
        </w:rPr>
        <w:t>Miles de traders usan los mismos indicadores: RSI, MACD, Fibonacci, medias móviles, etc.</w:t>
      </w:r>
    </w:p>
    <w:p w:rsidR="005C44FB" w:rsidRPr="005B42FE"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5B42FE">
        <w:rPr>
          <w:rFonts w:ascii="Times New Roman" w:hAnsi="Times New Roman" w:cs="Times New Roman"/>
          <w:color w:val="FF0000"/>
          <w:sz w:val="24"/>
          <w:szCs w:val="24"/>
        </w:rPr>
        <w:t>Se genera un sesgo de confirmación colectiva: “como todos ven esto, debe funcionar”.</w:t>
      </w:r>
    </w:p>
    <w:p w:rsidR="005C44FB" w:rsidRPr="005B42FE"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5B42FE">
        <w:rPr>
          <w:rFonts w:ascii="Times New Roman" w:hAnsi="Times New Roman" w:cs="Times New Roman"/>
          <w:color w:val="FF0000"/>
          <w:sz w:val="24"/>
          <w:szCs w:val="24"/>
        </w:rPr>
        <w:t>Se pasa por alto el contexto macroeconómic</w:t>
      </w:r>
      <w:r>
        <w:rPr>
          <w:rFonts w:ascii="Times New Roman" w:hAnsi="Times New Roman" w:cs="Times New Roman"/>
          <w:color w:val="FF0000"/>
          <w:sz w:val="24"/>
          <w:szCs w:val="24"/>
        </w:rPr>
        <w:t>o, psicológico o institucional.</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Segoe UI Symbol" w:hAnsi="Segoe UI Symbol" w:cs="Segoe UI Symbol"/>
          <w:color w:val="FF0000"/>
          <w:sz w:val="24"/>
          <w:szCs w:val="24"/>
        </w:rPr>
        <w:t>🎯</w:t>
      </w:r>
      <w:r w:rsidRPr="005B42FE">
        <w:rPr>
          <w:rFonts w:ascii="Times New Roman" w:hAnsi="Times New Roman" w:cs="Times New Roman"/>
          <w:color w:val="FF0000"/>
          <w:sz w:val="24"/>
          <w:szCs w:val="24"/>
        </w:rPr>
        <w:t xml:space="preserve"> Efecto: se forma una cultura de fe ciega en patrones, sin enten</w:t>
      </w:r>
      <w:r>
        <w:rPr>
          <w:rFonts w:ascii="Times New Roman" w:hAnsi="Times New Roman" w:cs="Times New Roman"/>
          <w:color w:val="FF0000"/>
          <w:sz w:val="24"/>
          <w:szCs w:val="24"/>
        </w:rPr>
        <w:t>der cuándo o por qué funcionan.</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Segoe UI Symbol" w:hAnsi="Segoe UI Symbol" w:cs="Segoe UI Symbol"/>
          <w:color w:val="FF0000"/>
          <w:sz w:val="24"/>
          <w:szCs w:val="24"/>
        </w:rPr>
        <w:t>💣</w:t>
      </w:r>
      <w:r w:rsidRPr="005B42FE">
        <w:rPr>
          <w:rFonts w:ascii="Times New Roman" w:hAnsi="Times New Roman" w:cs="Times New Roman"/>
          <w:color w:val="FF0000"/>
          <w:sz w:val="24"/>
          <w:szCs w:val="24"/>
        </w:rPr>
        <w:t xml:space="preserve"> ¿Qué consecuencias tiene esto?</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 1. Mercados cada vez más artificiales</w:t>
      </w:r>
    </w:p>
    <w:p w:rsidR="005C44FB"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E94F3C">
        <w:rPr>
          <w:rFonts w:ascii="Times New Roman" w:hAnsi="Times New Roman" w:cs="Times New Roman"/>
          <w:color w:val="FF0000"/>
          <w:sz w:val="24"/>
          <w:szCs w:val="24"/>
        </w:rPr>
        <w:t>Mucho del movimiento de precio no refleja el valor real, sino el “ruido” técnico explotado por bots.</w:t>
      </w:r>
    </w:p>
    <w:p w:rsidR="005C44FB" w:rsidRPr="000948F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E94F3C">
        <w:rPr>
          <w:rFonts w:ascii="Times New Roman" w:hAnsi="Times New Roman" w:cs="Times New Roman"/>
          <w:color w:val="FF0000"/>
          <w:sz w:val="24"/>
          <w:szCs w:val="24"/>
        </w:rPr>
        <w:t>Esto puede llevar a burbujas, volatilidad sin sentido o rupturas falsas.</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 2. Trader minorista sobreoptimista</w:t>
      </w:r>
    </w:p>
    <w:p w:rsidR="005C44FB" w:rsidRPr="00E94F3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E94F3C">
        <w:rPr>
          <w:rFonts w:ascii="Times New Roman" w:hAnsi="Times New Roman" w:cs="Times New Roman"/>
          <w:color w:val="FF0000"/>
          <w:sz w:val="24"/>
          <w:szCs w:val="24"/>
        </w:rPr>
        <w:t>Cree que puede “vencer al mercado” con un setup técnico reproducido de YouTube.</w:t>
      </w:r>
    </w:p>
    <w:p w:rsidR="005C44FB" w:rsidRPr="00E94F3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E94F3C">
        <w:rPr>
          <w:rFonts w:ascii="Times New Roman" w:hAnsi="Times New Roman" w:cs="Times New Roman"/>
          <w:color w:val="FF0000"/>
          <w:sz w:val="24"/>
          <w:szCs w:val="24"/>
        </w:rPr>
        <w:t>Se sobreexpone en escenarios donde no tiene ventaja real.</w:t>
      </w:r>
    </w:p>
    <w:p w:rsidR="005C44FB" w:rsidRPr="00E94F3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E94F3C">
        <w:rPr>
          <w:rFonts w:ascii="Times New Roman" w:hAnsi="Times New Roman" w:cs="Times New Roman"/>
          <w:color w:val="FF0000"/>
          <w:sz w:val="24"/>
          <w:szCs w:val="24"/>
        </w:rPr>
        <w:t>Ignora la probabilidad, el riesgo o los fundamentos detrás del activo.</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 3. Adicción a la operativa</w:t>
      </w:r>
    </w:p>
    <w:p w:rsidR="005C44FB"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E94F3C">
        <w:rPr>
          <w:rFonts w:ascii="Times New Roman" w:hAnsi="Times New Roman" w:cs="Times New Roman"/>
          <w:color w:val="FF0000"/>
          <w:sz w:val="24"/>
          <w:szCs w:val="24"/>
        </w:rPr>
        <w:t>La abundancia de señales técnicas fomenta el sobretrading.</w:t>
      </w:r>
    </w:p>
    <w:p w:rsidR="005C44FB" w:rsidRPr="00E94F3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E94F3C">
        <w:rPr>
          <w:rFonts w:ascii="Times New Roman" w:hAnsi="Times New Roman" w:cs="Times New Roman"/>
          <w:color w:val="FF0000"/>
          <w:sz w:val="24"/>
          <w:szCs w:val="24"/>
        </w:rPr>
        <w:t>Esto genera fatiga mental, frustración, y eventualmente desconexión con la realidad del mercado.</w:t>
      </w:r>
    </w:p>
    <w:p w:rsidR="005C44FB" w:rsidRPr="005B42FE" w:rsidRDefault="005C44FB" w:rsidP="005C44FB">
      <w:pPr>
        <w:spacing w:line="240" w:lineRule="auto"/>
        <w:jc w:val="both"/>
        <w:rPr>
          <w:rFonts w:ascii="Times New Roman" w:hAnsi="Times New Roman" w:cs="Times New Roman"/>
          <w:color w:val="FF0000"/>
          <w:sz w:val="24"/>
          <w:szCs w:val="24"/>
        </w:rPr>
      </w:pPr>
      <w:r w:rsidRPr="005B42FE">
        <w:rPr>
          <w:rFonts w:ascii="Times New Roman" w:hAnsi="Times New Roman" w:cs="Times New Roman"/>
          <w:color w:val="FF0000"/>
          <w:sz w:val="24"/>
          <w:szCs w:val="24"/>
        </w:rPr>
        <w:t>🧠 Conclusión:</w:t>
      </w:r>
    </w:p>
    <w:p w:rsidR="005C44FB" w:rsidRPr="00E94F3C" w:rsidRDefault="005C44FB" w:rsidP="005C44FB">
      <w:pPr>
        <w:spacing w:line="240" w:lineRule="auto"/>
        <w:jc w:val="both"/>
        <w:rPr>
          <w:rFonts w:ascii="Times New Roman" w:hAnsi="Times New Roman" w:cs="Times New Roman"/>
          <w:b/>
          <w:color w:val="FF0000"/>
          <w:sz w:val="24"/>
          <w:szCs w:val="24"/>
        </w:rPr>
      </w:pPr>
      <w:r w:rsidRPr="00E94F3C">
        <w:rPr>
          <w:rFonts w:ascii="Times New Roman" w:hAnsi="Times New Roman" w:cs="Times New Roman"/>
          <w:b/>
          <w:color w:val="FF0000"/>
          <w:sz w:val="24"/>
          <w:szCs w:val="24"/>
        </w:rPr>
        <w:t>Sí, el HFT y el análisis técnico excesivo pueden generar una positividad tóxica en la operativa bursátil, creando una ilusión de control que no existe.</w:t>
      </w:r>
    </w:p>
    <w:p w:rsidR="005C44FB" w:rsidRPr="00E94F3C" w:rsidRDefault="005C44FB" w:rsidP="005C44FB">
      <w:pPr>
        <w:spacing w:line="240" w:lineRule="auto"/>
        <w:jc w:val="both"/>
        <w:rPr>
          <w:rFonts w:ascii="Times New Roman" w:hAnsi="Times New Roman" w:cs="Times New Roman"/>
          <w:b/>
          <w:color w:val="FF0000"/>
          <w:sz w:val="24"/>
          <w:szCs w:val="24"/>
        </w:rPr>
      </w:pPr>
      <w:r w:rsidRPr="00E94F3C">
        <w:rPr>
          <w:rFonts w:ascii="Times New Roman" w:hAnsi="Times New Roman" w:cs="Times New Roman"/>
          <w:b/>
          <w:color w:val="FF0000"/>
          <w:sz w:val="24"/>
          <w:szCs w:val="24"/>
        </w:rPr>
        <w:t>La clave está en usar el análisis técnico como una herramienta, no como una religión. Y complementar siempre con contexto, riesgo, psicología y comprensión de los actores reales del mercado.</w:t>
      </w:r>
    </w:p>
    <w:p w:rsidR="005C44FB" w:rsidRPr="00E94F3C" w:rsidRDefault="005C44FB" w:rsidP="005C44FB">
      <w:pPr>
        <w:spacing w:line="240" w:lineRule="auto"/>
        <w:jc w:val="both"/>
        <w:rPr>
          <w:rFonts w:ascii="Times New Roman" w:hAnsi="Times New Roman" w:cs="Times New Roman"/>
          <w:b/>
          <w:color w:val="FF0000"/>
          <w:sz w:val="24"/>
          <w:szCs w:val="24"/>
        </w:rPr>
      </w:pPr>
      <w:r w:rsidRPr="00E94F3C">
        <w:rPr>
          <w:rFonts w:ascii="Times New Roman" w:hAnsi="Times New Roman" w:cs="Times New Roman"/>
          <w:b/>
          <w:color w:val="FF0000"/>
          <w:sz w:val="24"/>
          <w:szCs w:val="24"/>
        </w:rPr>
        <w:t>¿Quieres que te muestre cómo identificar cuándo un análisis técnico es válido y cuándo es “toxicidad optimista”?</w:t>
      </w:r>
    </w:p>
    <w:p w:rsidR="005C44FB" w:rsidRDefault="005C44FB" w:rsidP="005C44FB">
      <w:pPr>
        <w:spacing w:line="240" w:lineRule="auto"/>
        <w:rPr>
          <w:rFonts w:ascii="Times New Roman" w:hAnsi="Times New Roman" w:cs="Times New Roman"/>
          <w:color w:val="FF0000"/>
          <w:sz w:val="24"/>
          <w:szCs w:val="24"/>
        </w:rPr>
      </w:pPr>
      <w:r w:rsidRPr="00E94F3C">
        <w:rPr>
          <w:rFonts w:ascii="Times New Roman" w:hAnsi="Times New Roman" w:cs="Times New Roman"/>
          <w:color w:val="FF0000"/>
          <w:sz w:val="24"/>
          <w:szCs w:val="24"/>
        </w:rPr>
        <w:t>Perfecto. Aquí te muestro cómo diferenciar un análisis técnico válido de uno que cae en la t</w:t>
      </w:r>
      <w:r>
        <w:rPr>
          <w:rFonts w:ascii="Times New Roman" w:hAnsi="Times New Roman" w:cs="Times New Roman"/>
          <w:color w:val="FF0000"/>
          <w:sz w:val="24"/>
          <w:szCs w:val="24"/>
        </w:rPr>
        <w:t>rampa de la positividad tóxica -</w:t>
      </w:r>
      <w:r w:rsidRPr="00E94F3C">
        <w:rPr>
          <w:rFonts w:ascii="Times New Roman" w:hAnsi="Times New Roman" w:cs="Times New Roman"/>
          <w:color w:val="FF0000"/>
          <w:sz w:val="24"/>
          <w:szCs w:val="24"/>
        </w:rPr>
        <w:t xml:space="preserve"> es decir, ese exceso de confianza ciega en patrones que no tienen sentido fuera de contexto.</w:t>
      </w:r>
    </w:p>
    <w:p w:rsidR="005C44FB" w:rsidRDefault="005C44FB" w:rsidP="005C44FB">
      <w:pPr>
        <w:spacing w:line="240" w:lineRule="auto"/>
        <w:rPr>
          <w:rFonts w:ascii="Times New Roman" w:hAnsi="Times New Roman" w:cs="Times New Roman"/>
          <w:color w:val="FF0000"/>
          <w:sz w:val="24"/>
          <w:szCs w:val="24"/>
        </w:rPr>
      </w:pPr>
      <w:r w:rsidRPr="00E94F3C">
        <w:rPr>
          <w:rFonts w:ascii="Times New Roman" w:hAnsi="Times New Roman" w:cs="Times New Roman"/>
          <w:noProof/>
          <w:color w:val="FF0000"/>
          <w:sz w:val="24"/>
          <w:szCs w:val="24"/>
          <w:lang w:eastAsia="es-ES"/>
        </w:rPr>
        <w:lastRenderedPageBreak/>
        <w:drawing>
          <wp:inline distT="0" distB="0" distL="0" distR="0" wp14:anchorId="1143CBE1" wp14:editId="70F13A3F">
            <wp:extent cx="5734050" cy="28003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2799110"/>
                    </a:xfrm>
                    <a:prstGeom prst="rect">
                      <a:avLst/>
                    </a:prstGeom>
                  </pic:spPr>
                </pic:pic>
              </a:graphicData>
            </a:graphic>
          </wp:inline>
        </w:drawing>
      </w:r>
    </w:p>
    <w:p w:rsidR="005C44FB" w:rsidRDefault="005C44FB" w:rsidP="005C44FB">
      <w:pPr>
        <w:spacing w:line="240" w:lineRule="auto"/>
        <w:rPr>
          <w:rFonts w:ascii="Times New Roman" w:hAnsi="Times New Roman" w:cs="Times New Roman"/>
          <w:color w:val="FF0000"/>
          <w:sz w:val="24"/>
          <w:szCs w:val="24"/>
        </w:rPr>
      </w:pPr>
      <w:r w:rsidRPr="00E94F3C">
        <w:rPr>
          <w:rFonts w:ascii="Times New Roman" w:hAnsi="Times New Roman" w:cs="Times New Roman"/>
          <w:noProof/>
          <w:color w:val="FF0000"/>
          <w:sz w:val="24"/>
          <w:szCs w:val="24"/>
          <w:lang w:eastAsia="es-ES"/>
        </w:rPr>
        <w:drawing>
          <wp:inline distT="0" distB="0" distL="0" distR="0" wp14:anchorId="503ED1A9" wp14:editId="14FE1225">
            <wp:extent cx="5727700" cy="3098800"/>
            <wp:effectExtent l="0" t="0" r="635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3100861"/>
                    </a:xfrm>
                    <a:prstGeom prst="rect">
                      <a:avLst/>
                    </a:prstGeom>
                  </pic:spPr>
                </pic:pic>
              </a:graphicData>
            </a:graphic>
          </wp:inline>
        </w:drawing>
      </w:r>
    </w:p>
    <w:p w:rsidR="005C44FB" w:rsidRDefault="005C44FB" w:rsidP="005C44FB">
      <w:pPr>
        <w:spacing w:line="240" w:lineRule="auto"/>
        <w:rPr>
          <w:rFonts w:ascii="Times New Roman" w:hAnsi="Times New Roman" w:cs="Times New Roman"/>
          <w:color w:val="FF0000"/>
          <w:sz w:val="24"/>
          <w:szCs w:val="24"/>
        </w:rPr>
      </w:pPr>
      <w:r w:rsidRPr="00E94F3C">
        <w:rPr>
          <w:rFonts w:ascii="Times New Roman" w:hAnsi="Times New Roman" w:cs="Times New Roman"/>
          <w:noProof/>
          <w:color w:val="FF0000"/>
          <w:sz w:val="24"/>
          <w:szCs w:val="24"/>
          <w:lang w:eastAsia="es-ES"/>
        </w:rPr>
        <w:drawing>
          <wp:inline distT="0" distB="0" distL="0" distR="0" wp14:anchorId="23C4C5CB" wp14:editId="4EE4C8F3">
            <wp:extent cx="5727700" cy="2514600"/>
            <wp:effectExtent l="0" t="0" r="635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2516273"/>
                    </a:xfrm>
                    <a:prstGeom prst="rect">
                      <a:avLst/>
                    </a:prstGeom>
                  </pic:spPr>
                </pic:pic>
              </a:graphicData>
            </a:graphic>
          </wp:inline>
        </w:drawing>
      </w:r>
    </w:p>
    <w:p w:rsidR="005C44FB" w:rsidRDefault="005C44FB" w:rsidP="005C44FB">
      <w:pPr>
        <w:spacing w:line="240" w:lineRule="auto"/>
        <w:rPr>
          <w:rFonts w:ascii="Times New Roman" w:hAnsi="Times New Roman" w:cs="Times New Roman"/>
          <w:color w:val="FF0000"/>
          <w:sz w:val="24"/>
          <w:szCs w:val="24"/>
        </w:rPr>
      </w:pPr>
      <w:r w:rsidRPr="00E94F3C">
        <w:rPr>
          <w:rFonts w:ascii="Times New Roman" w:hAnsi="Times New Roman" w:cs="Times New Roman"/>
          <w:noProof/>
          <w:color w:val="FF0000"/>
          <w:sz w:val="24"/>
          <w:szCs w:val="24"/>
          <w:lang w:eastAsia="es-ES"/>
        </w:rPr>
        <w:lastRenderedPageBreak/>
        <w:drawing>
          <wp:inline distT="0" distB="0" distL="0" distR="0" wp14:anchorId="5BC87E8C" wp14:editId="35AB97A1">
            <wp:extent cx="5731510" cy="2087406"/>
            <wp:effectExtent l="0" t="0" r="2540" b="825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2087406"/>
                    </a:xfrm>
                    <a:prstGeom prst="rect">
                      <a:avLst/>
                    </a:prstGeom>
                  </pic:spPr>
                </pic:pic>
              </a:graphicData>
            </a:graphic>
          </wp:inline>
        </w:drawing>
      </w:r>
    </w:p>
    <w:p w:rsidR="005C44FB" w:rsidRDefault="005C44FB" w:rsidP="005C44FB">
      <w:pPr>
        <w:spacing w:line="240" w:lineRule="auto"/>
        <w:jc w:val="both"/>
        <w:rPr>
          <w:rFonts w:ascii="Times New Roman" w:hAnsi="Times New Roman" w:cs="Times New Roman"/>
          <w:b/>
          <w:color w:val="FF0000"/>
          <w:sz w:val="24"/>
          <w:szCs w:val="24"/>
        </w:rPr>
      </w:pPr>
      <w:r w:rsidRPr="00E94F3C">
        <w:rPr>
          <w:rFonts w:ascii="Times New Roman" w:hAnsi="Times New Roman" w:cs="Times New Roman"/>
          <w:b/>
          <w:color w:val="FF0000"/>
          <w:sz w:val="24"/>
          <w:szCs w:val="24"/>
        </w:rPr>
        <w:t>¿Quieres que tomemos un gráfico real y hagamos ambos tipos de análisis para que lo veas comparado visualmente? Puedo mostrarte el “tóxico” y el “válido” sobre el mismo activo.</w:t>
      </w:r>
    </w:p>
    <w:p w:rsidR="005C44FB" w:rsidRDefault="005C44FB" w:rsidP="005C44FB">
      <w:pPr>
        <w:spacing w:line="240" w:lineRule="auto"/>
        <w:jc w:val="both"/>
        <w:rPr>
          <w:rFonts w:ascii="Times New Roman" w:hAnsi="Times New Roman" w:cs="Times New Roman"/>
          <w:color w:val="FF0000"/>
          <w:sz w:val="24"/>
          <w:szCs w:val="24"/>
        </w:rPr>
      </w:pPr>
      <w:r w:rsidRPr="001C0467">
        <w:rPr>
          <w:rFonts w:ascii="Times New Roman" w:hAnsi="Times New Roman" w:cs="Times New Roman"/>
          <w:color w:val="FF0000"/>
          <w:sz w:val="24"/>
          <w:szCs w:val="24"/>
        </w:rPr>
        <w:t>Aquí tienes un ejemplo visual de gráficos del S&amp;P 500 a largo plazo con trazos técnicos variados. Ahora vamos a compararlos:</w:t>
      </w:r>
    </w:p>
    <w:p w:rsidR="005C44FB" w:rsidRPr="001C0467" w:rsidRDefault="005C44FB" w:rsidP="005C44FB">
      <w:pPr>
        <w:spacing w:line="240" w:lineRule="auto"/>
        <w:jc w:val="both"/>
        <w:rPr>
          <w:rFonts w:ascii="Times New Roman" w:hAnsi="Times New Roman" w:cs="Times New Roman"/>
          <w:color w:val="FF0000"/>
          <w:sz w:val="24"/>
          <w:szCs w:val="24"/>
        </w:rPr>
      </w:pPr>
    </w:p>
    <w:p w:rsidR="005C44FB" w:rsidRDefault="005C44FB" w:rsidP="005C44F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1321C96E" wp14:editId="12393749">
            <wp:extent cx="5731510" cy="3844164"/>
            <wp:effectExtent l="0" t="0" r="2540" b="4445"/>
            <wp:docPr id="18" name="Imagen 18" descr="tischendorf.com/20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tischendorf.com/2011/1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1510" cy="3844164"/>
                    </a:xfrm>
                    <a:prstGeom prst="rect">
                      <a:avLst/>
                    </a:prstGeom>
                    <a:noFill/>
                    <a:ln>
                      <a:noFill/>
                    </a:ln>
                  </pic:spPr>
                </pic:pic>
              </a:graphicData>
            </a:graphic>
          </wp:inline>
        </w:drawing>
      </w:r>
    </w:p>
    <w:p w:rsidR="005C44FB" w:rsidRDefault="005C44FB" w:rsidP="005C44FB">
      <w:pPr>
        <w:spacing w:line="240" w:lineRule="auto"/>
        <w:jc w:val="both"/>
        <w:rPr>
          <w:rFonts w:ascii="Times New Roman" w:hAnsi="Times New Roman" w:cs="Times New Roman"/>
          <w:b/>
          <w:color w:val="FF0000"/>
          <w:sz w:val="24"/>
          <w:szCs w:val="24"/>
        </w:rPr>
      </w:pPr>
      <w:r>
        <w:rPr>
          <w:noProof/>
          <w:lang w:eastAsia="es-ES"/>
        </w:rPr>
        <w:lastRenderedPageBreak/>
        <w:drawing>
          <wp:inline distT="0" distB="0" distL="0" distR="0" wp14:anchorId="0E7920A9" wp14:editId="57E6A97E">
            <wp:extent cx="5732115" cy="4025900"/>
            <wp:effectExtent l="0" t="0" r="2540" b="0"/>
            <wp:docPr id="19" name="Imagen 19" descr="mishtalk.com/economic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mishtalk.com/economics/s..."/>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4025475"/>
                    </a:xfrm>
                    <a:prstGeom prst="rect">
                      <a:avLst/>
                    </a:prstGeom>
                    <a:noFill/>
                    <a:ln>
                      <a:noFill/>
                    </a:ln>
                  </pic:spPr>
                </pic:pic>
              </a:graphicData>
            </a:graphic>
          </wp:inline>
        </w:drawing>
      </w:r>
    </w:p>
    <w:p w:rsidR="005C44FB" w:rsidRDefault="005C44FB" w:rsidP="005C44FB">
      <w:pPr>
        <w:spacing w:line="240" w:lineRule="auto"/>
        <w:jc w:val="both"/>
        <w:rPr>
          <w:rFonts w:ascii="Times New Roman" w:hAnsi="Times New Roman" w:cs="Times New Roman"/>
          <w:b/>
          <w:color w:val="FF0000"/>
          <w:sz w:val="24"/>
          <w:szCs w:val="24"/>
        </w:rPr>
      </w:pPr>
    </w:p>
    <w:p w:rsidR="005C44FB" w:rsidRDefault="005C44FB" w:rsidP="005C44F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3148AD0E" wp14:editId="4C23B5AC">
            <wp:extent cx="5726466" cy="3302000"/>
            <wp:effectExtent l="0" t="0" r="7620" b="0"/>
            <wp:docPr id="20" name="Imagen 20" descr="verifiedinvesting.com/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verifiedinvesting.com/bl..."/>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31510" cy="3304908"/>
                    </a:xfrm>
                    <a:prstGeom prst="rect">
                      <a:avLst/>
                    </a:prstGeom>
                    <a:noFill/>
                    <a:ln>
                      <a:noFill/>
                    </a:ln>
                  </pic:spPr>
                </pic:pic>
              </a:graphicData>
            </a:graphic>
          </wp:inline>
        </w:drawing>
      </w:r>
    </w:p>
    <w:p w:rsidR="005C44FB" w:rsidRDefault="005C44FB" w:rsidP="005C44FB">
      <w:pPr>
        <w:spacing w:line="240" w:lineRule="auto"/>
        <w:jc w:val="both"/>
        <w:rPr>
          <w:rFonts w:ascii="Times New Roman" w:hAnsi="Times New Roman" w:cs="Times New Roman"/>
          <w:b/>
          <w:color w:val="FF0000"/>
          <w:sz w:val="24"/>
          <w:szCs w:val="24"/>
        </w:rPr>
      </w:pPr>
      <w:r w:rsidRPr="001C0467">
        <w:rPr>
          <w:rFonts w:ascii="Times New Roman" w:hAnsi="Times New Roman" w:cs="Times New Roman"/>
          <w:b/>
          <w:noProof/>
          <w:color w:val="FF0000"/>
          <w:sz w:val="24"/>
          <w:szCs w:val="24"/>
          <w:lang w:eastAsia="es-ES"/>
        </w:rPr>
        <w:lastRenderedPageBreak/>
        <w:drawing>
          <wp:inline distT="0" distB="0" distL="0" distR="0" wp14:anchorId="629FC96D" wp14:editId="26FF5302">
            <wp:extent cx="5732105" cy="3225800"/>
            <wp:effectExtent l="0" t="0" r="254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3225465"/>
                    </a:xfrm>
                    <a:prstGeom prst="rect">
                      <a:avLst/>
                    </a:prstGeom>
                  </pic:spPr>
                </pic:pic>
              </a:graphicData>
            </a:graphic>
          </wp:inline>
        </w:drawing>
      </w:r>
    </w:p>
    <w:p w:rsidR="005C44FB" w:rsidRDefault="005C44FB" w:rsidP="005C44FB">
      <w:pPr>
        <w:spacing w:line="240" w:lineRule="auto"/>
        <w:jc w:val="both"/>
        <w:rPr>
          <w:rFonts w:ascii="Times New Roman" w:hAnsi="Times New Roman" w:cs="Times New Roman"/>
          <w:sz w:val="24"/>
          <w:szCs w:val="24"/>
        </w:rPr>
      </w:pPr>
      <w:r w:rsidRPr="001C0467">
        <w:rPr>
          <w:rFonts w:ascii="Times New Roman" w:hAnsi="Times New Roman" w:cs="Times New Roman"/>
          <w:sz w:val="24"/>
          <w:szCs w:val="24"/>
        </w:rPr>
        <w:t>(</w:t>
      </w:r>
      <w:r w:rsidRPr="00275F80">
        <w:rPr>
          <w:rFonts w:ascii="Times New Roman" w:hAnsi="Times New Roman" w:cs="Times New Roman"/>
          <w:b/>
          <w:sz w:val="24"/>
          <w:szCs w:val="24"/>
        </w:rPr>
        <w:t>Not</w:t>
      </w:r>
      <w:r>
        <w:rPr>
          <w:rFonts w:ascii="Times New Roman" w:hAnsi="Times New Roman" w:cs="Times New Roman"/>
          <w:sz w:val="24"/>
          <w:szCs w:val="24"/>
        </w:rPr>
        <w:t>a: F</w:t>
      </w:r>
      <w:r w:rsidRPr="001C0467">
        <w:rPr>
          <w:rFonts w:ascii="Times New Roman" w:hAnsi="Times New Roman" w:cs="Times New Roman"/>
          <w:sz w:val="24"/>
          <w:szCs w:val="24"/>
        </w:rPr>
        <w:t>allo de la IA, en la reproducción de la imagen</w:t>
      </w:r>
      <w:r>
        <w:rPr>
          <w:rFonts w:ascii="Times New Roman" w:hAnsi="Times New Roman" w:cs="Times New Roman"/>
          <w:sz w:val="24"/>
          <w:szCs w:val="24"/>
        </w:rPr>
        <w:t>. Un error perdonable</w:t>
      </w:r>
      <w:r w:rsidR="00E7110E">
        <w:rPr>
          <w:rFonts w:ascii="Times New Roman" w:hAnsi="Times New Roman" w:cs="Times New Roman"/>
          <w:sz w:val="24"/>
          <w:szCs w:val="24"/>
        </w:rPr>
        <w:t xml:space="preserve"> (de momento)</w:t>
      </w:r>
      <w:r>
        <w:rPr>
          <w:rFonts w:ascii="Times New Roman" w:hAnsi="Times New Roman" w:cs="Times New Roman"/>
          <w:sz w:val="24"/>
          <w:szCs w:val="24"/>
        </w:rPr>
        <w:t xml:space="preserve"> cometido por </w:t>
      </w:r>
      <w:r w:rsidRPr="00275F80">
        <w:rPr>
          <w:rFonts w:ascii="Times New Roman" w:hAnsi="Times New Roman" w:cs="Times New Roman"/>
          <w:sz w:val="24"/>
          <w:szCs w:val="24"/>
        </w:rPr>
        <w:t>ChatGPT Plus)</w:t>
      </w:r>
    </w:p>
    <w:p w:rsidR="005C44FB" w:rsidRDefault="005C44FB" w:rsidP="005C44FB">
      <w:pPr>
        <w:spacing w:line="240" w:lineRule="auto"/>
        <w:jc w:val="both"/>
        <w:rPr>
          <w:rFonts w:ascii="Times New Roman" w:hAnsi="Times New Roman" w:cs="Times New Roman"/>
          <w:sz w:val="24"/>
          <w:szCs w:val="24"/>
        </w:rPr>
      </w:pPr>
      <w:r w:rsidRPr="001C0467">
        <w:rPr>
          <w:rFonts w:ascii="Times New Roman" w:hAnsi="Times New Roman" w:cs="Times New Roman"/>
          <w:noProof/>
          <w:sz w:val="24"/>
          <w:szCs w:val="24"/>
          <w:lang w:eastAsia="es-ES"/>
        </w:rPr>
        <w:drawing>
          <wp:inline distT="0" distB="0" distL="0" distR="0" wp14:anchorId="34109484" wp14:editId="7B1E6CAF">
            <wp:extent cx="5731510" cy="2367310"/>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2367310"/>
                    </a:xfrm>
                    <a:prstGeom prst="rect">
                      <a:avLst/>
                    </a:prstGeom>
                  </pic:spPr>
                </pic:pic>
              </a:graphicData>
            </a:graphic>
          </wp:inline>
        </w:drawing>
      </w:r>
    </w:p>
    <w:p w:rsidR="005C44FB" w:rsidRDefault="005C44FB" w:rsidP="005C44FB">
      <w:pPr>
        <w:spacing w:line="240" w:lineRule="auto"/>
        <w:jc w:val="both"/>
        <w:rPr>
          <w:rFonts w:ascii="Times New Roman" w:hAnsi="Times New Roman" w:cs="Times New Roman"/>
          <w:sz w:val="24"/>
          <w:szCs w:val="24"/>
        </w:rPr>
      </w:pPr>
      <w:r w:rsidRPr="001C0467">
        <w:rPr>
          <w:rFonts w:ascii="Times New Roman" w:hAnsi="Times New Roman" w:cs="Times New Roman"/>
          <w:noProof/>
          <w:sz w:val="24"/>
          <w:szCs w:val="24"/>
          <w:lang w:eastAsia="es-ES"/>
        </w:rPr>
        <w:drawing>
          <wp:inline distT="0" distB="0" distL="0" distR="0" wp14:anchorId="7C9C6659" wp14:editId="170F62F7">
            <wp:extent cx="5731510" cy="2205039"/>
            <wp:effectExtent l="0" t="0" r="2540" b="508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2205039"/>
                    </a:xfrm>
                    <a:prstGeom prst="rect">
                      <a:avLst/>
                    </a:prstGeom>
                  </pic:spPr>
                </pic:pic>
              </a:graphicData>
            </a:graphic>
          </wp:inline>
        </w:drawing>
      </w:r>
    </w:p>
    <w:p w:rsidR="005C44FB" w:rsidRDefault="005C44FB" w:rsidP="005C44FB">
      <w:pPr>
        <w:spacing w:line="240" w:lineRule="auto"/>
        <w:jc w:val="both"/>
        <w:rPr>
          <w:rFonts w:ascii="Times New Roman" w:hAnsi="Times New Roman" w:cs="Times New Roman"/>
          <w:sz w:val="24"/>
          <w:szCs w:val="24"/>
        </w:rPr>
      </w:pPr>
      <w:r w:rsidRPr="001C0467">
        <w:rPr>
          <w:rFonts w:ascii="Times New Roman" w:hAnsi="Times New Roman" w:cs="Times New Roman"/>
          <w:noProof/>
          <w:sz w:val="24"/>
          <w:szCs w:val="24"/>
          <w:lang w:eastAsia="es-ES"/>
        </w:rPr>
        <w:lastRenderedPageBreak/>
        <w:drawing>
          <wp:inline distT="0" distB="0" distL="0" distR="0" wp14:anchorId="7199B17A" wp14:editId="303A79CD">
            <wp:extent cx="5731510" cy="1786198"/>
            <wp:effectExtent l="0" t="0" r="2540" b="508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1786198"/>
                    </a:xfrm>
                    <a:prstGeom prst="rect">
                      <a:avLst/>
                    </a:prstGeom>
                  </pic:spPr>
                </pic:pic>
              </a:graphicData>
            </a:graphic>
          </wp:inline>
        </w:drawing>
      </w:r>
    </w:p>
    <w:p w:rsidR="005C44FB" w:rsidRDefault="005C44FB" w:rsidP="005C44FB">
      <w:pPr>
        <w:spacing w:line="240" w:lineRule="auto"/>
        <w:jc w:val="both"/>
        <w:rPr>
          <w:rFonts w:ascii="Times New Roman" w:hAnsi="Times New Roman" w:cs="Times New Roman"/>
          <w:sz w:val="24"/>
          <w:szCs w:val="24"/>
        </w:rPr>
      </w:pPr>
      <w:r w:rsidRPr="001C0467">
        <w:rPr>
          <w:rFonts w:ascii="Times New Roman" w:hAnsi="Times New Roman" w:cs="Times New Roman"/>
          <w:noProof/>
          <w:sz w:val="24"/>
          <w:szCs w:val="24"/>
          <w:lang w:eastAsia="es-ES"/>
        </w:rPr>
        <w:drawing>
          <wp:inline distT="0" distB="0" distL="0" distR="0" wp14:anchorId="3F6FB569" wp14:editId="3B8F5616">
            <wp:extent cx="5731510" cy="1807018"/>
            <wp:effectExtent l="0" t="0" r="2540" b="3175"/>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1807018"/>
                    </a:xfrm>
                    <a:prstGeom prst="rect">
                      <a:avLst/>
                    </a:prstGeom>
                  </pic:spPr>
                </pic:pic>
              </a:graphicData>
            </a:graphic>
          </wp:inline>
        </w:drawing>
      </w:r>
    </w:p>
    <w:p w:rsidR="005C44FB" w:rsidRDefault="005C44FB" w:rsidP="005C44FB">
      <w:pPr>
        <w:spacing w:line="240" w:lineRule="auto"/>
        <w:jc w:val="both"/>
        <w:rPr>
          <w:rFonts w:ascii="Times New Roman" w:hAnsi="Times New Roman" w:cs="Times New Roman"/>
          <w:sz w:val="24"/>
          <w:szCs w:val="24"/>
        </w:rPr>
      </w:pPr>
      <w:r w:rsidRPr="001C0467">
        <w:rPr>
          <w:rFonts w:ascii="Times New Roman" w:hAnsi="Times New Roman" w:cs="Times New Roman"/>
          <w:noProof/>
          <w:sz w:val="24"/>
          <w:szCs w:val="24"/>
          <w:lang w:eastAsia="es-ES"/>
        </w:rPr>
        <w:drawing>
          <wp:inline distT="0" distB="0" distL="0" distR="0" wp14:anchorId="134EEE0C" wp14:editId="560F0C16">
            <wp:extent cx="5731510" cy="1833348"/>
            <wp:effectExtent l="0" t="0" r="254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1833348"/>
                    </a:xfrm>
                    <a:prstGeom prst="rect">
                      <a:avLst/>
                    </a:prstGeom>
                  </pic:spPr>
                </pic:pic>
              </a:graphicData>
            </a:graphic>
          </wp:inline>
        </w:drawing>
      </w:r>
    </w:p>
    <w:p w:rsidR="005C44FB" w:rsidRPr="00275F80" w:rsidRDefault="005C44FB" w:rsidP="005C44FB">
      <w:pPr>
        <w:spacing w:line="240" w:lineRule="auto"/>
        <w:jc w:val="both"/>
        <w:rPr>
          <w:rFonts w:ascii="Times New Roman" w:hAnsi="Times New Roman" w:cs="Times New Roman"/>
          <w:b/>
          <w:color w:val="FF0000"/>
          <w:sz w:val="24"/>
          <w:szCs w:val="24"/>
        </w:rPr>
      </w:pPr>
      <w:r w:rsidRPr="00275F80">
        <w:rPr>
          <w:rFonts w:ascii="Times New Roman" w:hAnsi="Times New Roman" w:cs="Times New Roman"/>
          <w:b/>
          <w:color w:val="FF0000"/>
          <w:sz w:val="24"/>
          <w:szCs w:val="24"/>
        </w:rPr>
        <w:t>¿Quieres que tomemos un gráfico actual y lo analicemos en vivo comparando ambos enf</w:t>
      </w:r>
      <w:r>
        <w:rPr>
          <w:rFonts w:ascii="Times New Roman" w:hAnsi="Times New Roman" w:cs="Times New Roman"/>
          <w:b/>
          <w:color w:val="FF0000"/>
          <w:sz w:val="24"/>
          <w:szCs w:val="24"/>
        </w:rPr>
        <w:t>oques sobre un mismo dashboard?</w:t>
      </w:r>
    </w:p>
    <w:p w:rsidR="005C44FB" w:rsidRPr="00275F80" w:rsidRDefault="005C44FB" w:rsidP="005C44FB">
      <w:pPr>
        <w:spacing w:line="240" w:lineRule="auto"/>
        <w:jc w:val="both"/>
        <w:rPr>
          <w:rFonts w:ascii="Times New Roman" w:hAnsi="Times New Roman" w:cs="Times New Roman"/>
          <w:color w:val="FF0000"/>
          <w:sz w:val="24"/>
          <w:szCs w:val="24"/>
        </w:rPr>
      </w:pPr>
      <w:r w:rsidRPr="00275F80">
        <w:rPr>
          <w:rFonts w:ascii="Times New Roman" w:hAnsi="Times New Roman" w:cs="Times New Roman"/>
          <w:color w:val="FF0000"/>
          <w:sz w:val="24"/>
          <w:szCs w:val="24"/>
        </w:rPr>
        <w:t>Tú dijiste: Creo que por hoy está bien. Muchas gracias</w:t>
      </w:r>
    </w:p>
    <w:p w:rsidR="005C44FB" w:rsidRPr="00275F80" w:rsidRDefault="005C44FB" w:rsidP="005C44FB">
      <w:pPr>
        <w:spacing w:line="240" w:lineRule="auto"/>
        <w:jc w:val="both"/>
        <w:rPr>
          <w:rFonts w:ascii="Times New Roman" w:hAnsi="Times New Roman" w:cs="Times New Roman"/>
          <w:color w:val="FF0000"/>
          <w:sz w:val="24"/>
          <w:szCs w:val="24"/>
        </w:rPr>
      </w:pPr>
      <w:r w:rsidRPr="00275F80">
        <w:rPr>
          <w:rFonts w:ascii="Times New Roman" w:hAnsi="Times New Roman" w:cs="Times New Roman"/>
          <w:color w:val="FF0000"/>
          <w:sz w:val="24"/>
          <w:szCs w:val="24"/>
        </w:rPr>
        <w:t>ChatGPT Plus</w:t>
      </w:r>
    </w:p>
    <w:p w:rsidR="005C44FB" w:rsidRPr="00275F80" w:rsidRDefault="005C44FB" w:rsidP="005C44FB">
      <w:pPr>
        <w:spacing w:line="240" w:lineRule="auto"/>
        <w:jc w:val="both"/>
        <w:rPr>
          <w:rFonts w:ascii="Times New Roman" w:hAnsi="Times New Roman" w:cs="Times New Roman"/>
          <w:color w:val="FF0000"/>
          <w:sz w:val="24"/>
          <w:szCs w:val="24"/>
        </w:rPr>
      </w:pPr>
      <w:r w:rsidRPr="00275F80">
        <w:rPr>
          <w:rFonts w:ascii="Times New Roman" w:hAnsi="Times New Roman" w:cs="Times New Roman"/>
          <w:color w:val="FF0000"/>
          <w:sz w:val="24"/>
          <w:szCs w:val="24"/>
        </w:rPr>
        <w:t>¡Perfecto! Me alegra haberte acompañado en este recorrido por los mercados, el análisis técnico y sus trampas. Si en otro momento quieres retomar con gráficos en tiempo real, análisis de activos específicos o estrategias más profundas, estaré aquí para ayudarte.</w:t>
      </w:r>
    </w:p>
    <w:p w:rsidR="005C44FB" w:rsidRPr="00275F80" w:rsidRDefault="005C44FB" w:rsidP="005C44FB">
      <w:pPr>
        <w:spacing w:line="240" w:lineRule="auto"/>
        <w:jc w:val="both"/>
        <w:rPr>
          <w:rFonts w:ascii="Times New Roman" w:hAnsi="Times New Roman" w:cs="Times New Roman"/>
          <w:color w:val="FF0000"/>
          <w:sz w:val="24"/>
          <w:szCs w:val="24"/>
        </w:rPr>
      </w:pPr>
      <w:r w:rsidRPr="00275F80">
        <w:rPr>
          <w:rFonts w:ascii="Segoe UI Symbol" w:hAnsi="Segoe UI Symbol" w:cs="Segoe UI Symbol"/>
          <w:color w:val="FF0000"/>
          <w:sz w:val="24"/>
          <w:szCs w:val="24"/>
        </w:rPr>
        <w:t>📈</w:t>
      </w:r>
      <w:r w:rsidRPr="00275F80">
        <w:rPr>
          <w:rFonts w:ascii="Times New Roman" w:hAnsi="Times New Roman" w:cs="Times New Roman"/>
          <w:color w:val="FF0000"/>
          <w:sz w:val="24"/>
          <w:szCs w:val="24"/>
        </w:rPr>
        <w:t xml:space="preserve"> Recuerda: en bolsa, la clave no está en adivinar, sino en gestionar el riesgo con inteligencia y humildad.</w:t>
      </w:r>
    </w:p>
    <w:p w:rsidR="005C44FB" w:rsidRDefault="005C44FB" w:rsidP="005C44FB">
      <w:pPr>
        <w:spacing w:line="240" w:lineRule="auto"/>
        <w:jc w:val="both"/>
        <w:rPr>
          <w:rFonts w:ascii="Segoe UI Symbol" w:hAnsi="Segoe UI Symbol" w:cs="Segoe UI Symbol"/>
          <w:color w:val="FF0000"/>
          <w:sz w:val="24"/>
          <w:szCs w:val="24"/>
        </w:rPr>
      </w:pPr>
      <w:r w:rsidRPr="00275F80">
        <w:rPr>
          <w:rFonts w:ascii="Times New Roman" w:hAnsi="Times New Roman" w:cs="Times New Roman"/>
          <w:color w:val="FF0000"/>
          <w:sz w:val="24"/>
          <w:szCs w:val="24"/>
        </w:rPr>
        <w:t xml:space="preserve">¡Éxitos en tu operativa y hasta la próxima! </w:t>
      </w:r>
      <w:r w:rsidRPr="00275F80">
        <w:rPr>
          <w:rFonts w:ascii="Segoe UI Symbol" w:hAnsi="Segoe UI Symbol" w:cs="Segoe UI Symbol"/>
          <w:color w:val="FF0000"/>
          <w:sz w:val="24"/>
          <w:szCs w:val="24"/>
        </w:rPr>
        <w:t>💼📊</w:t>
      </w:r>
    </w:p>
    <w:p w:rsidR="005C44FB" w:rsidRDefault="005C44FB" w:rsidP="005C44FB">
      <w:pPr>
        <w:spacing w:line="240" w:lineRule="auto"/>
        <w:jc w:val="both"/>
        <w:rPr>
          <w:rFonts w:ascii="Segoe UI Symbol" w:hAnsi="Segoe UI Symbol" w:cs="Segoe UI Symbol"/>
          <w:color w:val="FF0000"/>
          <w:sz w:val="24"/>
          <w:szCs w:val="24"/>
        </w:rPr>
      </w:pPr>
    </w:p>
    <w:p w:rsidR="005C44FB" w:rsidRDefault="005C44FB" w:rsidP="005C44FB">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lastRenderedPageBreak/>
        <w:t xml:space="preserve">La </w:t>
      </w:r>
      <w:r w:rsidRPr="00FA31DC">
        <w:rPr>
          <w:rFonts w:ascii="Times New Roman" w:hAnsi="Times New Roman" w:cs="Times New Roman"/>
          <w:b/>
          <w:color w:val="FF0000"/>
          <w:sz w:val="24"/>
          <w:szCs w:val="24"/>
        </w:rPr>
        <w:t>incidencia de la IA en el negocio bursátil</w:t>
      </w:r>
    </w:p>
    <w:p w:rsidR="005C44FB" w:rsidRPr="00275F80"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Preguntar a ChatGPT</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La incidencia de la inteligencia artificial (IA) en el negocio bursátil ha sido profunda y transformadora en los últimos años. A continuación te detallo los principales aspectos en los que la IA ha impactado este sector:</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 1. Trading Algorítmico y Alta Frecuencia</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Qué es: Sistemas automáticos que ejecutan operaciones en milisegundos según parámetros programados.</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Cómo interviene la IA: Mejora los algoritmos con aprendizaje automático para adaptar estrategias en tiempo real según condiciones del mercado.</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Impacto: Aumenta la eficiencia, reduce costos operativos, y permite identificar micro-oportunidades de arbitraje.</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Segoe UI Symbol" w:hAnsi="Segoe UI Symbol" w:cs="Segoe UI Symbol"/>
          <w:color w:val="FF0000"/>
          <w:sz w:val="24"/>
          <w:szCs w:val="24"/>
        </w:rPr>
        <w:t>📊</w:t>
      </w:r>
      <w:r w:rsidRPr="00FA31DC">
        <w:rPr>
          <w:rFonts w:ascii="Times New Roman" w:hAnsi="Times New Roman" w:cs="Times New Roman"/>
          <w:color w:val="FF0000"/>
          <w:sz w:val="24"/>
          <w:szCs w:val="24"/>
        </w:rPr>
        <w:t xml:space="preserve"> 2. Análisis Predictivo y Gestión de Portafolios</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IA aplicada: Modelos de machine learning predicen tendencias de precios, volatilidad, y correlaciones entre activos.</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Gestión automatizada: Robo-advisors como Betterment o Wealthfront ofrecen carteras personalizadas basadas en IA.</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Beneficios: Reducción de sesgos humanos, mayor personalización y democratización del acceso a inversión asesorada.</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Segoe UI Symbol" w:hAnsi="Segoe UI Symbol" w:cs="Segoe UI Symbol"/>
          <w:color w:val="FF0000"/>
          <w:sz w:val="24"/>
          <w:szCs w:val="24"/>
        </w:rPr>
        <w:t>📰</w:t>
      </w:r>
      <w:r w:rsidRPr="00FA31DC">
        <w:rPr>
          <w:rFonts w:ascii="Times New Roman" w:hAnsi="Times New Roman" w:cs="Times New Roman"/>
          <w:color w:val="FF0000"/>
          <w:sz w:val="24"/>
          <w:szCs w:val="24"/>
        </w:rPr>
        <w:t xml:space="preserve"> 3. Procesamiento del Lenguaje Natural (NLP)</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Qué hace: Analiza noticias, tweets, informes financieros y discursos de CEOs para evaluar el “sentimiento del mercado”.</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Aplicaciones: Predicción de movimientos bursátiles tras noticias clave; detección temprana de eventos relevantes.</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 xml:space="preserve">Ejemplo real: Bloomberg y Refinitiv usan IA para ofrecer análisis instantáneo de </w:t>
      </w:r>
      <w:r>
        <w:rPr>
          <w:rFonts w:ascii="Times New Roman" w:hAnsi="Times New Roman" w:cs="Times New Roman"/>
          <w:color w:val="FF0000"/>
          <w:sz w:val="24"/>
          <w:szCs w:val="24"/>
        </w:rPr>
        <w:t>datos textuales en tiempo real.</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Segoe UI Symbol" w:hAnsi="Segoe UI Symbol" w:cs="Segoe UI Symbol"/>
          <w:color w:val="FF0000"/>
          <w:sz w:val="24"/>
          <w:szCs w:val="24"/>
        </w:rPr>
        <w:t>🔐</w:t>
      </w:r>
      <w:r w:rsidRPr="00FA31DC">
        <w:rPr>
          <w:rFonts w:ascii="Times New Roman" w:hAnsi="Times New Roman" w:cs="Times New Roman"/>
          <w:color w:val="FF0000"/>
          <w:sz w:val="24"/>
          <w:szCs w:val="24"/>
        </w:rPr>
        <w:t xml:space="preserve"> 4. Gestión de Riesgos y Cumplimiento Regulatorio</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IA para detectar anomalías: Identifica patrones de fraude, insider trading o movimientos sospechosos.</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RegTech: Software basado en IA para automatizar cumplimiento normativo (conformidad con la SEC, MiFID II, etc.).</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Impacto: Aumenta la transparencia y reduce los costos legales y de auditoría.</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Segoe UI Symbol" w:hAnsi="Segoe UI Symbol" w:cs="Segoe UI Symbol"/>
          <w:color w:val="FF0000"/>
          <w:sz w:val="24"/>
          <w:szCs w:val="24"/>
        </w:rPr>
        <w:t>💬</w:t>
      </w:r>
      <w:r w:rsidRPr="00FA31DC">
        <w:rPr>
          <w:rFonts w:ascii="Times New Roman" w:hAnsi="Times New Roman" w:cs="Times New Roman"/>
          <w:color w:val="FF0000"/>
          <w:sz w:val="24"/>
          <w:szCs w:val="24"/>
        </w:rPr>
        <w:t xml:space="preserve"> 5. Interacción con Inversores</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Chatbots financieros: Atención 24/7 para resolver dudas, ejecutar órdenes o explicar movimientos del portafolio.</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Educación bursátil personalizada: Recomendaciones didácticas según el perfil del inversor.</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Segoe UI Symbol" w:hAnsi="Segoe UI Symbol" w:cs="Segoe UI Symbol"/>
          <w:color w:val="FF0000"/>
          <w:sz w:val="24"/>
          <w:szCs w:val="24"/>
        </w:rPr>
        <w:t>📈</w:t>
      </w:r>
      <w:r w:rsidRPr="00FA31DC">
        <w:rPr>
          <w:rFonts w:ascii="Times New Roman" w:hAnsi="Times New Roman" w:cs="Times New Roman"/>
          <w:color w:val="FF0000"/>
          <w:sz w:val="24"/>
          <w:szCs w:val="24"/>
        </w:rPr>
        <w:t xml:space="preserve"> 6. Creación de nuevos productos financieros</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lastRenderedPageBreak/>
        <w:t>IA permite diseñar derivados complejos, ETFs temáticos o fondos indexados con base en patrones de datos alternativos (clima, redes sociales, etc.).</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 Riesgos y desafíos</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Opacidad: Algunos modelos de IA son difíciles de auditar ("cajas negras").</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Volatilidad: La interacción entre múltiples sistemas algorítmicos puede generar caídas súbitas (flash crashes).</w:t>
      </w:r>
    </w:p>
    <w:p w:rsidR="005C44FB" w:rsidRPr="00FA31D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Regulación: Los reguladores aún están poniéndose al día con el ritmo de la innovación.</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Ejemplos concretos de uso</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BlackRock: Utiliza IA en su plataforma Aladdin para análisis de rie</w:t>
      </w:r>
      <w:r>
        <w:rPr>
          <w:rFonts w:ascii="Times New Roman" w:hAnsi="Times New Roman" w:cs="Times New Roman"/>
          <w:color w:val="FF0000"/>
          <w:sz w:val="24"/>
          <w:szCs w:val="24"/>
        </w:rPr>
        <w:t>sgos y decisiones de inversión.</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JP Morgan: Su herramienta LOXM realiza trading au</w:t>
      </w:r>
      <w:r>
        <w:rPr>
          <w:rFonts w:ascii="Times New Roman" w:hAnsi="Times New Roman" w:cs="Times New Roman"/>
          <w:color w:val="FF0000"/>
          <w:sz w:val="24"/>
          <w:szCs w:val="24"/>
        </w:rPr>
        <w:t>tomático de acciones en Europa.</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Numerai: Un hedge fund que integra predicciones de miles de científicos de datos</w:t>
      </w:r>
      <w:r>
        <w:rPr>
          <w:rFonts w:ascii="Times New Roman" w:hAnsi="Times New Roman" w:cs="Times New Roman"/>
          <w:color w:val="FF0000"/>
          <w:sz w:val="24"/>
          <w:szCs w:val="24"/>
        </w:rPr>
        <w:t xml:space="preserve"> anónimos usando modelos de IA.</w:t>
      </w:r>
    </w:p>
    <w:p w:rsidR="005C44FB"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Si quieres, puedo prepararte una presentación, un informe académico, o un resumen ejecutivo según el enfoque que necesites (financiero, tecnológico, regulatorio o ético). ¿Te interesa algo más específico?</w:t>
      </w:r>
    </w:p>
    <w:p w:rsidR="005C44FB" w:rsidRPr="00FA31DC" w:rsidRDefault="005C44FB" w:rsidP="005C44FB">
      <w:pPr>
        <w:spacing w:line="240" w:lineRule="auto"/>
        <w:jc w:val="both"/>
        <w:rPr>
          <w:rFonts w:ascii="Times New Roman" w:hAnsi="Times New Roman" w:cs="Times New Roman"/>
          <w:b/>
          <w:color w:val="FF0000"/>
          <w:sz w:val="24"/>
          <w:szCs w:val="24"/>
        </w:rPr>
      </w:pPr>
      <w:r w:rsidRPr="00FA31DC">
        <w:rPr>
          <w:rFonts w:ascii="Times New Roman" w:hAnsi="Times New Roman" w:cs="Times New Roman"/>
          <w:b/>
          <w:color w:val="FF0000"/>
          <w:sz w:val="24"/>
          <w:szCs w:val="24"/>
        </w:rPr>
        <w:t>¿Puede la IA y la operativa de alta frecuencia terminar aumentando la volatilidad bursátil y el riesgo de crisis?</w:t>
      </w:r>
    </w:p>
    <w:p w:rsidR="005C44FB"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Preguntar a ChatGPT</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Sí, la IA y la operativa de alta frecuencia (High-Frequency Trading, HFT) pueden aumentar la volatilidad bursátil y contribuir al riesgo de estallidos financieros bajo ciertas condiciones. A continuación te explico por qué, cómo, y en q</w:t>
      </w:r>
      <w:r>
        <w:rPr>
          <w:rFonts w:ascii="Times New Roman" w:hAnsi="Times New Roman" w:cs="Times New Roman"/>
          <w:color w:val="FF0000"/>
          <w:sz w:val="24"/>
          <w:szCs w:val="24"/>
        </w:rPr>
        <w:t>ué contexto puede ocurrir esto:</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 ¿Cómo puede la IA + HFT aumentar la volatilidad?</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1. Reacciones en cadena (efecto dominó)</w:t>
      </w:r>
    </w:p>
    <w:p w:rsidR="005C44FB" w:rsidRPr="00FA31DC"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FA31DC">
        <w:rPr>
          <w:rFonts w:ascii="Times New Roman" w:hAnsi="Times New Roman" w:cs="Times New Roman"/>
          <w:color w:val="FF0000"/>
          <w:sz w:val="24"/>
          <w:szCs w:val="24"/>
        </w:rPr>
        <w:t>Muchos algoritmos siguen estrategias similares (por ejemplo, momentum</w:t>
      </w:r>
      <w:r>
        <w:rPr>
          <w:rFonts w:ascii="Times New Roman" w:hAnsi="Times New Roman" w:cs="Times New Roman"/>
          <w:color w:val="FF0000"/>
          <w:sz w:val="24"/>
          <w:szCs w:val="24"/>
        </w:rPr>
        <w:t xml:space="preserve"> trading o stop-loss triggers).</w:t>
      </w:r>
    </w:p>
    <w:p w:rsidR="005C44FB" w:rsidRPr="00FA31DC"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FA31DC">
        <w:rPr>
          <w:rFonts w:ascii="Times New Roman" w:hAnsi="Times New Roman" w:cs="Times New Roman"/>
          <w:color w:val="FF0000"/>
          <w:sz w:val="24"/>
          <w:szCs w:val="24"/>
        </w:rPr>
        <w:t>Si un evento dispara ventas masivas, otros sistemas pueden imitarlas automáticamente, agravando la caída.</w:t>
      </w:r>
    </w:p>
    <w:p w:rsidR="005C44FB" w:rsidRPr="00FA31DC"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FA31DC">
        <w:rPr>
          <w:rFonts w:ascii="Times New Roman" w:hAnsi="Times New Roman" w:cs="Times New Roman"/>
          <w:color w:val="FF0000"/>
          <w:sz w:val="24"/>
          <w:szCs w:val="24"/>
        </w:rPr>
        <w:t xml:space="preserve">Esto puede provocar flash crashes, como el del 6 de mayo de 2010 (Dow Jones </w:t>
      </w:r>
      <w:r>
        <w:rPr>
          <w:rFonts w:ascii="Times New Roman" w:hAnsi="Times New Roman" w:cs="Times New Roman"/>
          <w:color w:val="FF0000"/>
          <w:sz w:val="24"/>
          <w:szCs w:val="24"/>
        </w:rPr>
        <w:t>perdió 1000 puntos en minutos).</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2. Microestructura del mercado más frágil</w:t>
      </w:r>
    </w:p>
    <w:p w:rsidR="005C44FB" w:rsidRPr="00FA31DC"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FA31DC">
        <w:rPr>
          <w:rFonts w:ascii="Times New Roman" w:hAnsi="Times New Roman" w:cs="Times New Roman"/>
          <w:color w:val="FF0000"/>
          <w:sz w:val="24"/>
          <w:szCs w:val="24"/>
        </w:rPr>
        <w:t>Los HFT proveen liquidez, pero es una liquidez muy efímera: desaparece en momentos de alta incertidumbre.</w:t>
      </w:r>
    </w:p>
    <w:p w:rsidR="005C44FB" w:rsidRPr="00FA31DC"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A5634D">
        <w:rPr>
          <w:rFonts w:ascii="Times New Roman" w:hAnsi="Times New Roman" w:cs="Times New Roman"/>
          <w:color w:val="FF0000"/>
          <w:sz w:val="24"/>
          <w:szCs w:val="24"/>
        </w:rPr>
        <w:t>Esto puede hacer que los mercados se sequen en segundos cuando más se necesita estabilidad.</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lastRenderedPageBreak/>
        <w:t>3. IA sin supervisión humana adecuada</w:t>
      </w:r>
    </w:p>
    <w:p w:rsidR="005C44FB" w:rsidRPr="00FA31DC"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FA31DC">
        <w:rPr>
          <w:rFonts w:ascii="Times New Roman" w:hAnsi="Times New Roman" w:cs="Times New Roman"/>
          <w:color w:val="FF0000"/>
          <w:sz w:val="24"/>
          <w:szCs w:val="24"/>
        </w:rPr>
        <w:t>Modelos complejos de machine learning pueden tomar decisiones que parecen racionales desde una lógica matemática, pero que son irracionales desde una perspectiva de estabilidad sistémica.</w:t>
      </w:r>
    </w:p>
    <w:p w:rsidR="005C44FB" w:rsidRPr="00FA31DC"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FA31DC">
        <w:rPr>
          <w:rFonts w:ascii="Times New Roman" w:hAnsi="Times New Roman" w:cs="Times New Roman"/>
          <w:color w:val="FF0000"/>
          <w:sz w:val="24"/>
          <w:szCs w:val="24"/>
        </w:rPr>
        <w:t>El comportamiento emergente de múltiples IAs interactuando puede ser i</w:t>
      </w:r>
      <w:r>
        <w:rPr>
          <w:rFonts w:ascii="Times New Roman" w:hAnsi="Times New Roman" w:cs="Times New Roman"/>
          <w:color w:val="FF0000"/>
          <w:sz w:val="24"/>
          <w:szCs w:val="24"/>
        </w:rPr>
        <w:t>mpredecible y propenso al caos.</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4. Retroalimentación negativa de datos</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La IA se alimenta de datos de mercado y reacciona a ellos, pero si todos los sistemas están tomando decisiones similares, pueden amplificar movimientos menores hasta conver</w:t>
      </w:r>
      <w:r>
        <w:rPr>
          <w:rFonts w:ascii="Times New Roman" w:hAnsi="Times New Roman" w:cs="Times New Roman"/>
          <w:color w:val="FF0000"/>
          <w:sz w:val="24"/>
          <w:szCs w:val="24"/>
        </w:rPr>
        <w:t>tirlos en grandes oscilaciones.</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Segoe UI Symbol" w:hAnsi="Segoe UI Symbol" w:cs="Segoe UI Symbol"/>
          <w:color w:val="FF0000"/>
          <w:sz w:val="24"/>
          <w:szCs w:val="24"/>
        </w:rPr>
        <w:t>📈</w:t>
      </w:r>
      <w:r w:rsidRPr="00FA31DC">
        <w:rPr>
          <w:rFonts w:ascii="Times New Roman" w:hAnsi="Times New Roman" w:cs="Times New Roman"/>
          <w:color w:val="FF0000"/>
          <w:sz w:val="24"/>
          <w:szCs w:val="24"/>
        </w:rPr>
        <w:t xml:space="preserve"> Casos reales y señales de alerta</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Ejemplos:</w:t>
      </w:r>
    </w:p>
    <w:p w:rsidR="005C44FB" w:rsidRPr="00FA31DC"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FA31DC">
        <w:rPr>
          <w:rFonts w:ascii="Times New Roman" w:hAnsi="Times New Roman" w:cs="Times New Roman"/>
          <w:color w:val="FF0000"/>
          <w:sz w:val="24"/>
          <w:szCs w:val="24"/>
        </w:rPr>
        <w:t>Flash Crash 2010 (EE.UU.): HFT y algoritmos mal calibrados agra</w:t>
      </w:r>
      <w:r>
        <w:rPr>
          <w:rFonts w:ascii="Times New Roman" w:hAnsi="Times New Roman" w:cs="Times New Roman"/>
          <w:color w:val="FF0000"/>
          <w:sz w:val="24"/>
          <w:szCs w:val="24"/>
        </w:rPr>
        <w:t>varon la caída en milisegundos.</w:t>
      </w:r>
    </w:p>
    <w:p w:rsidR="005C44FB" w:rsidRPr="00FA31DC"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FA31DC">
        <w:rPr>
          <w:rFonts w:ascii="Times New Roman" w:hAnsi="Times New Roman" w:cs="Times New Roman"/>
          <w:color w:val="FF0000"/>
          <w:sz w:val="24"/>
          <w:szCs w:val="24"/>
        </w:rPr>
        <w:t>2012 - Knight Capital: Un error en su algoritmo causó pérdidas de $440 millones en 45 minutos.</w:t>
      </w:r>
    </w:p>
    <w:p w:rsidR="005C44FB" w:rsidRPr="00FA31DC"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FA31DC">
        <w:rPr>
          <w:rFonts w:ascii="Times New Roman" w:hAnsi="Times New Roman" w:cs="Times New Roman"/>
          <w:color w:val="FF0000"/>
          <w:sz w:val="24"/>
          <w:szCs w:val="24"/>
        </w:rPr>
        <w:t>2016 - Libra esterlina flash crash: IA mal interpretó declaraciones políticas y provoc</w:t>
      </w:r>
      <w:r>
        <w:rPr>
          <w:rFonts w:ascii="Times New Roman" w:hAnsi="Times New Roman" w:cs="Times New Roman"/>
          <w:color w:val="FF0000"/>
          <w:sz w:val="24"/>
          <w:szCs w:val="24"/>
        </w:rPr>
        <w:t>ó una caída del 6% en segundos.</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 ¿Podría provocar un estallido financiero mayor?</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Es poco probable por sí sola, pero puede exacerbar fragilidades ya existentes:</w:t>
      </w:r>
    </w:p>
    <w:p w:rsidR="005C44FB"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Si se combina con deuda excesiva, apalancamiento o pánico generalizado, la IA/HFT puede acelerar una crisis.</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Algunos analistas temen un “algocrash sistémico” si varios grandes fondos usan modelos mal entrenados o sin pruebas ante eventos extremos (black swans).</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Segoe UI Symbol" w:hAnsi="Segoe UI Symbol" w:cs="Segoe UI Symbol"/>
          <w:color w:val="FF0000"/>
          <w:sz w:val="24"/>
          <w:szCs w:val="24"/>
        </w:rPr>
        <w:t>🛡</w:t>
      </w:r>
      <w:r w:rsidRPr="00FA31DC">
        <w:rPr>
          <w:rFonts w:ascii="Times New Roman" w:hAnsi="Times New Roman" w:cs="Times New Roman"/>
          <w:color w:val="FF0000"/>
          <w:sz w:val="24"/>
          <w:szCs w:val="24"/>
        </w:rPr>
        <w:t>️ ¿Qué se está haciendo para prevenirlo?</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Reguladores y bolsas han tomado medidas como:</w:t>
      </w:r>
    </w:p>
    <w:p w:rsidR="005C44FB" w:rsidRPr="00A5634D" w:rsidRDefault="00C44162" w:rsidP="005C44FB">
      <w:pPr>
        <w:pStyle w:val="Prrafodelista"/>
        <w:numPr>
          <w:ilvl w:val="0"/>
          <w:numId w:val="19"/>
        </w:num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Cortafuegos (“circuit breakers”</w:t>
      </w:r>
      <w:bookmarkStart w:id="0" w:name="_GoBack"/>
      <w:bookmarkEnd w:id="0"/>
      <w:r w:rsidR="005C44FB" w:rsidRPr="00A5634D">
        <w:rPr>
          <w:rFonts w:ascii="Times New Roman" w:hAnsi="Times New Roman" w:cs="Times New Roman"/>
          <w:color w:val="FF0000"/>
          <w:sz w:val="24"/>
          <w:szCs w:val="24"/>
        </w:rPr>
        <w:t>): Detienen temporalmente las operaciones si hay caídas muy bruscas.</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Pruebas de estrés de algoritmos: Se exigen tests antes de implementar ciertos modelos.</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Supervisión de IA financiera: Normativas emergentes buscan limitar la opacidad de los sistemas automáticos (Explainable AI).</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 Conclusión</w:t>
      </w:r>
    </w:p>
    <w:p w:rsidR="005C44FB"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Sí, la IA y el HFT pueden aumentar la volatilidad y potencialmente contribuir a eventos extremos si no se controlan adecuadamente.</w:t>
      </w:r>
    </w:p>
    <w:p w:rsidR="005C44FB" w:rsidRPr="00FA31DC"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No son la causa única, pero actúan como aceleradores o amplificadores de riesgos ya pres</w:t>
      </w:r>
      <w:r>
        <w:rPr>
          <w:rFonts w:ascii="Times New Roman" w:hAnsi="Times New Roman" w:cs="Times New Roman"/>
          <w:color w:val="FF0000"/>
          <w:sz w:val="24"/>
          <w:szCs w:val="24"/>
        </w:rPr>
        <w:t>entes en el sistema financiero.</w:t>
      </w:r>
    </w:p>
    <w:p w:rsidR="005C44FB" w:rsidRPr="00A5634D" w:rsidRDefault="005C44FB" w:rsidP="005C44FB">
      <w:pPr>
        <w:spacing w:line="240" w:lineRule="auto"/>
        <w:jc w:val="both"/>
        <w:rPr>
          <w:rFonts w:ascii="Times New Roman" w:hAnsi="Times New Roman" w:cs="Times New Roman"/>
          <w:b/>
          <w:color w:val="FF0000"/>
          <w:sz w:val="24"/>
          <w:szCs w:val="24"/>
        </w:rPr>
      </w:pPr>
      <w:r w:rsidRPr="00A5634D">
        <w:rPr>
          <w:rFonts w:ascii="Times New Roman" w:hAnsi="Times New Roman" w:cs="Times New Roman"/>
          <w:b/>
          <w:color w:val="FF0000"/>
          <w:sz w:val="24"/>
          <w:szCs w:val="24"/>
        </w:rPr>
        <w:lastRenderedPageBreak/>
        <w:t>¿Quieres que profundice en algún caso histórico específico o en cómo podría regularse mejor el uso de IA en mercados financieros?</w:t>
      </w:r>
    </w:p>
    <w:p w:rsidR="005C44FB" w:rsidRDefault="005C44FB" w:rsidP="005C44FB">
      <w:pPr>
        <w:spacing w:line="240" w:lineRule="auto"/>
        <w:jc w:val="both"/>
        <w:rPr>
          <w:rFonts w:ascii="Times New Roman" w:hAnsi="Times New Roman" w:cs="Times New Roman"/>
          <w:color w:val="FF0000"/>
          <w:sz w:val="24"/>
          <w:szCs w:val="24"/>
        </w:rPr>
      </w:pPr>
      <w:r w:rsidRPr="00FA31DC">
        <w:rPr>
          <w:rFonts w:ascii="Times New Roman" w:hAnsi="Times New Roman" w:cs="Times New Roman"/>
          <w:color w:val="FF0000"/>
          <w:sz w:val="24"/>
          <w:szCs w:val="24"/>
        </w:rPr>
        <w:t>Preguntar a ChatGPT</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Perfecto. Para seguir, te ofrezco dos cam</w:t>
      </w:r>
      <w:r>
        <w:rPr>
          <w:rFonts w:ascii="Times New Roman" w:hAnsi="Times New Roman" w:cs="Times New Roman"/>
          <w:color w:val="FF0000"/>
          <w:sz w:val="24"/>
          <w:szCs w:val="24"/>
        </w:rPr>
        <w:t>inos posibles para profundizar:</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Segoe UI Symbol" w:hAnsi="Segoe UI Symbol" w:cs="Segoe UI Symbol"/>
          <w:color w:val="FF0000"/>
          <w:sz w:val="24"/>
          <w:szCs w:val="24"/>
        </w:rPr>
        <w:t>🔍</w:t>
      </w:r>
      <w:r w:rsidRPr="00A5634D">
        <w:rPr>
          <w:rFonts w:ascii="Times New Roman" w:hAnsi="Times New Roman" w:cs="Times New Roman"/>
          <w:color w:val="FF0000"/>
          <w:sz w:val="24"/>
          <w:szCs w:val="24"/>
        </w:rPr>
        <w:t xml:space="preserve"> Opción A: Análisis de un caso histórico</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Puedo explicarte en detalle un evento real donde IA o HFT jugar</w:t>
      </w:r>
      <w:r>
        <w:rPr>
          <w:rFonts w:ascii="Times New Roman" w:hAnsi="Times New Roman" w:cs="Times New Roman"/>
          <w:color w:val="FF0000"/>
          <w:sz w:val="24"/>
          <w:szCs w:val="24"/>
        </w:rPr>
        <w:t>on un papel clave, por ejemplo:</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Flash Crash de 2010 -</w:t>
      </w:r>
      <w:r w:rsidRPr="00A5634D">
        <w:rPr>
          <w:rFonts w:ascii="Times New Roman" w:hAnsi="Times New Roman" w:cs="Times New Roman"/>
          <w:color w:val="FF0000"/>
          <w:sz w:val="24"/>
          <w:szCs w:val="24"/>
        </w:rPr>
        <w:t xml:space="preserve"> ¿Cómo un algoritmo mal calibrado hizo caer el Dow Jones 1000 puntos en minutos?</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Knight Capital (2012) -</w:t>
      </w:r>
      <w:r w:rsidRPr="00A5634D">
        <w:rPr>
          <w:rFonts w:ascii="Times New Roman" w:hAnsi="Times New Roman" w:cs="Times New Roman"/>
          <w:color w:val="FF0000"/>
          <w:sz w:val="24"/>
          <w:szCs w:val="24"/>
        </w:rPr>
        <w:t xml:space="preserve"> Cómo un fallo de software casi destruye una firma bursátil en 45 minutos.</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Flash Cras</w:t>
      </w:r>
      <w:r>
        <w:rPr>
          <w:rFonts w:ascii="Times New Roman" w:hAnsi="Times New Roman" w:cs="Times New Roman"/>
          <w:color w:val="FF0000"/>
          <w:sz w:val="24"/>
          <w:szCs w:val="24"/>
        </w:rPr>
        <w:t>h de la libra esterlina (2016) -</w:t>
      </w:r>
      <w:r w:rsidRPr="00A5634D">
        <w:rPr>
          <w:rFonts w:ascii="Times New Roman" w:hAnsi="Times New Roman" w:cs="Times New Roman"/>
          <w:color w:val="FF0000"/>
          <w:sz w:val="24"/>
          <w:szCs w:val="24"/>
        </w:rPr>
        <w:t xml:space="preserve"> Cómo un modelo de IA malinterpretó noticias políticas.</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Segoe UI Symbol" w:hAnsi="Segoe UI Symbol" w:cs="Segoe UI Symbol"/>
          <w:color w:val="FF0000"/>
          <w:sz w:val="24"/>
          <w:szCs w:val="24"/>
        </w:rPr>
        <w:t>🛡</w:t>
      </w:r>
      <w:r w:rsidRPr="00A5634D">
        <w:rPr>
          <w:rFonts w:ascii="Times New Roman" w:hAnsi="Times New Roman" w:cs="Times New Roman"/>
          <w:color w:val="FF0000"/>
          <w:sz w:val="24"/>
          <w:szCs w:val="24"/>
        </w:rPr>
        <w:t>️ Opción B: Propuesta o análisis de regulación para IA y HFT</w:t>
      </w:r>
    </w:p>
    <w:p w:rsidR="005C44FB" w:rsidRPr="00A5634D"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Podríamos explorar:</w:t>
      </w:r>
    </w:p>
    <w:p w:rsidR="005C44FB" w:rsidRPr="00A5634D"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A5634D">
        <w:rPr>
          <w:rFonts w:ascii="Times New Roman" w:hAnsi="Times New Roman" w:cs="Times New Roman"/>
          <w:color w:val="FF0000"/>
          <w:sz w:val="24"/>
          <w:szCs w:val="24"/>
        </w:rPr>
        <w:t>¿Qué tipo de regulación internacional se está proponiendo para controlar IA en mercados?</w:t>
      </w:r>
    </w:p>
    <w:p w:rsidR="005C44FB" w:rsidRPr="00A5634D"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A5634D">
        <w:rPr>
          <w:rFonts w:ascii="Times New Roman" w:hAnsi="Times New Roman" w:cs="Times New Roman"/>
          <w:color w:val="FF0000"/>
          <w:sz w:val="24"/>
          <w:szCs w:val="24"/>
        </w:rPr>
        <w:t>¿Cómo podría diseñarse una IA más transparente y segura para trading?</w:t>
      </w:r>
    </w:p>
    <w:p w:rsidR="005C44FB" w:rsidRPr="00A5634D" w:rsidRDefault="005C44FB" w:rsidP="005C44F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Comparativa de normativas en EEUU</w:t>
      </w:r>
      <w:r w:rsidRPr="00A5634D">
        <w:rPr>
          <w:rFonts w:ascii="Times New Roman" w:hAnsi="Times New Roman" w:cs="Times New Roman"/>
          <w:color w:val="FF0000"/>
          <w:sz w:val="24"/>
          <w:szCs w:val="24"/>
        </w:rPr>
        <w:t>, Europa y Asia sobre algoritmos financieros.</w:t>
      </w:r>
    </w:p>
    <w:p w:rsidR="005C44FB" w:rsidRPr="00A5634D" w:rsidRDefault="005C44FB" w:rsidP="005C44FB">
      <w:pPr>
        <w:spacing w:line="240" w:lineRule="auto"/>
        <w:jc w:val="both"/>
        <w:rPr>
          <w:rFonts w:ascii="Times New Roman" w:hAnsi="Times New Roman" w:cs="Times New Roman"/>
          <w:b/>
          <w:color w:val="FF0000"/>
          <w:sz w:val="24"/>
          <w:szCs w:val="24"/>
        </w:rPr>
      </w:pPr>
      <w:r w:rsidRPr="00A5634D">
        <w:rPr>
          <w:rFonts w:ascii="Times New Roman" w:hAnsi="Times New Roman" w:cs="Times New Roman"/>
          <w:b/>
          <w:color w:val="FF0000"/>
          <w:sz w:val="24"/>
          <w:szCs w:val="24"/>
        </w:rPr>
        <w:t>¿Con cuál te gustaría que continuemos? También puedes combinar ambas cosas.</w:t>
      </w:r>
    </w:p>
    <w:p w:rsidR="005C44FB" w:rsidRPr="00A5634D" w:rsidRDefault="005C44FB" w:rsidP="005C44FB">
      <w:pPr>
        <w:spacing w:line="240" w:lineRule="auto"/>
        <w:jc w:val="both"/>
        <w:rPr>
          <w:rFonts w:ascii="Times New Roman" w:hAnsi="Times New Roman" w:cs="Times New Roman"/>
          <w:b/>
          <w:color w:val="FF0000"/>
          <w:sz w:val="24"/>
          <w:szCs w:val="24"/>
        </w:rPr>
      </w:pPr>
      <w:r w:rsidRPr="00A5634D">
        <w:rPr>
          <w:rFonts w:ascii="Times New Roman" w:hAnsi="Times New Roman" w:cs="Times New Roman"/>
          <w:b/>
          <w:color w:val="FF0000"/>
          <w:sz w:val="24"/>
          <w:szCs w:val="24"/>
        </w:rPr>
        <w:t xml:space="preserve">¿Qué tipo de regulación internacional se está proponiendo para controlar </w:t>
      </w:r>
      <w:r>
        <w:rPr>
          <w:rFonts w:ascii="Times New Roman" w:hAnsi="Times New Roman" w:cs="Times New Roman"/>
          <w:b/>
          <w:color w:val="FF0000"/>
          <w:sz w:val="24"/>
          <w:szCs w:val="24"/>
        </w:rPr>
        <w:t>la IA y la HFT en los mercados?</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ChatGPT Plus</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Excelente pregunta. La regulación internacional para controlar la IA y el High-Frequency Trading (HFT) en los mercados financieros aún está en evolución, pero varios organismos están trabajando en normativas y marcos regulatorios para abordar los riesgos que implican. Aquí te resum</w:t>
      </w:r>
      <w:r>
        <w:rPr>
          <w:rFonts w:ascii="Times New Roman" w:hAnsi="Times New Roman" w:cs="Times New Roman"/>
          <w:color w:val="FF0000"/>
          <w:sz w:val="24"/>
          <w:szCs w:val="24"/>
        </w:rPr>
        <w:t>o lo más relevante hasta ahora:</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Segoe UI Symbol" w:hAnsi="Segoe UI Symbol" w:cs="Segoe UI Symbol"/>
          <w:color w:val="FF0000"/>
          <w:sz w:val="24"/>
          <w:szCs w:val="24"/>
        </w:rPr>
        <w:t>🌐</w:t>
      </w:r>
      <w:r w:rsidRPr="00A5634D">
        <w:rPr>
          <w:rFonts w:ascii="Times New Roman" w:hAnsi="Times New Roman" w:cs="Times New Roman"/>
          <w:color w:val="FF0000"/>
          <w:sz w:val="24"/>
          <w:szCs w:val="24"/>
        </w:rPr>
        <w:t xml:space="preserve"> 1. Organismos internacionales involucrados</w:t>
      </w:r>
    </w:p>
    <w:p w:rsidR="005C44FB" w:rsidRPr="00A5634D" w:rsidRDefault="005C44FB" w:rsidP="005C44FB">
      <w:pPr>
        <w:spacing w:line="240" w:lineRule="auto"/>
        <w:jc w:val="both"/>
        <w:rPr>
          <w:rFonts w:ascii="Times New Roman" w:hAnsi="Times New Roman" w:cs="Times New Roman"/>
          <w:color w:val="FF0000"/>
          <w:sz w:val="24"/>
          <w:szCs w:val="24"/>
          <w:lang w:val="en-GB"/>
        </w:rPr>
      </w:pPr>
      <w:r w:rsidRPr="00A5634D">
        <w:rPr>
          <w:rFonts w:ascii="Segoe UI Symbol" w:hAnsi="Segoe UI Symbol" w:cs="Segoe UI Symbol"/>
          <w:color w:val="FF0000"/>
          <w:sz w:val="24"/>
          <w:szCs w:val="24"/>
        </w:rPr>
        <w:t>🔸</w:t>
      </w:r>
      <w:r w:rsidRPr="00A5634D">
        <w:rPr>
          <w:rFonts w:ascii="Times New Roman" w:hAnsi="Times New Roman" w:cs="Times New Roman"/>
          <w:color w:val="FF0000"/>
          <w:sz w:val="24"/>
          <w:szCs w:val="24"/>
          <w:lang w:val="en-GB"/>
        </w:rPr>
        <w:t xml:space="preserve"> IOSCO (International Organization of Securities Commissions)</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Publicó guías sobre el uso de tecnología en mercados financieros (incluyendo IA y HFT).</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Promueve la supervisión de algoritmos de trading, revisiones independientes, y documentación de pruebas de estrés.</w:t>
      </w:r>
    </w:p>
    <w:p w:rsidR="005C44FB" w:rsidRPr="000948FC"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Enfatiza que las autoridades deben poder auditar y entender los modelos automatizados.</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Segoe UI Symbol" w:hAnsi="Segoe UI Symbol" w:cs="Segoe UI Symbol"/>
          <w:color w:val="FF0000"/>
          <w:sz w:val="24"/>
          <w:szCs w:val="24"/>
        </w:rPr>
        <w:t>🔸</w:t>
      </w:r>
      <w:r w:rsidRPr="00A5634D">
        <w:rPr>
          <w:rFonts w:ascii="Times New Roman" w:hAnsi="Times New Roman" w:cs="Times New Roman"/>
          <w:color w:val="FF0000"/>
          <w:sz w:val="24"/>
          <w:szCs w:val="24"/>
        </w:rPr>
        <w:t xml:space="preserve"> FMI y Banco Mundial</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lastRenderedPageBreak/>
        <w:t>Han señalado que la IA puede acentuar los riesgos sistémicos si no hay coordinación regulatoria global.</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Promueven marcos éticos para la IA en finanzas, exigiendo:</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Explicabilidad</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Gobernanza de datos</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Supervisión humana</w:t>
      </w:r>
    </w:p>
    <w:p w:rsidR="005C44FB" w:rsidRPr="00A5634D" w:rsidRDefault="005C44FB" w:rsidP="005C44FB">
      <w:pPr>
        <w:spacing w:line="240" w:lineRule="auto"/>
        <w:jc w:val="both"/>
        <w:rPr>
          <w:rFonts w:ascii="Times New Roman" w:hAnsi="Times New Roman" w:cs="Times New Roman"/>
          <w:color w:val="FF0000"/>
          <w:sz w:val="24"/>
          <w:szCs w:val="24"/>
        </w:rPr>
      </w:pPr>
      <w:r w:rsidRPr="000948FC">
        <w:rPr>
          <w:rFonts w:ascii="Times New Roman" w:hAnsi="Times New Roman" w:cs="Times New Roman"/>
          <w:color w:val="FF0000"/>
          <w:sz w:val="24"/>
          <w:szCs w:val="24"/>
        </w:rPr>
        <w:t>EU</w:t>
      </w:r>
      <w:r>
        <w:rPr>
          <w:rFonts w:ascii="Times New Roman" w:hAnsi="Times New Roman" w:cs="Times New Roman"/>
          <w:color w:val="FF0000"/>
          <w:sz w:val="24"/>
          <w:szCs w:val="24"/>
        </w:rPr>
        <w:t xml:space="preserve"> 2. Unión Europea -</w:t>
      </w:r>
      <w:r w:rsidRPr="00A5634D">
        <w:rPr>
          <w:rFonts w:ascii="Times New Roman" w:hAnsi="Times New Roman" w:cs="Times New Roman"/>
          <w:color w:val="FF0000"/>
          <w:sz w:val="24"/>
          <w:szCs w:val="24"/>
        </w:rPr>
        <w:t xml:space="preserve"> Liderando la regulación</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 MiFID II (ya en vigor)</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Obliga a firmas de HFT a:</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Registrar sus algoritmos ante los reguladores.</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Someterlos a pruebas de estrés antes de usarlos.</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Mantener registros de cada decisión algorítmica por 5 años.</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 AI Act (en proceso de aplicación completa)</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Clasifica la IA para trading como “alto riesgo”, lo que implica:</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Auditorías regulares.</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Supervisión humana obligatoria.</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Prohibición de algoritmos opacos sin trazabilidad (“black-box AI”).</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Requisitos de explicabilidad y robustez técnica.</w:t>
      </w:r>
    </w:p>
    <w:p w:rsidR="005C44FB" w:rsidRPr="00A5634D" w:rsidRDefault="005C44FB" w:rsidP="005C44FB">
      <w:pPr>
        <w:spacing w:line="240" w:lineRule="auto"/>
        <w:jc w:val="both"/>
        <w:rPr>
          <w:rFonts w:ascii="Times New Roman" w:hAnsi="Times New Roman" w:cs="Times New Roman"/>
          <w:color w:val="FF0000"/>
          <w:sz w:val="24"/>
          <w:szCs w:val="24"/>
        </w:rPr>
      </w:pPr>
      <w:r w:rsidRPr="000948FC">
        <w:rPr>
          <w:rFonts w:ascii="Times New Roman" w:hAnsi="Times New Roman" w:cs="Times New Roman"/>
          <w:color w:val="FF0000"/>
          <w:sz w:val="24"/>
          <w:szCs w:val="24"/>
        </w:rPr>
        <w:t>US</w:t>
      </w:r>
      <w:r>
        <w:rPr>
          <w:rFonts w:ascii="Times New Roman" w:hAnsi="Times New Roman" w:cs="Times New Roman"/>
          <w:color w:val="FF0000"/>
          <w:sz w:val="24"/>
          <w:szCs w:val="24"/>
        </w:rPr>
        <w:t xml:space="preserve"> 3. Estados Unidos -</w:t>
      </w:r>
      <w:r w:rsidRPr="00A5634D">
        <w:rPr>
          <w:rFonts w:ascii="Times New Roman" w:hAnsi="Times New Roman" w:cs="Times New Roman"/>
          <w:color w:val="FF0000"/>
          <w:sz w:val="24"/>
          <w:szCs w:val="24"/>
        </w:rPr>
        <w:t xml:space="preserve"> Enfoque más flexible pero activo</w:t>
      </w:r>
    </w:p>
    <w:p w:rsidR="005C44FB" w:rsidRPr="00A5634D" w:rsidRDefault="005C44FB" w:rsidP="005C44FB">
      <w:pPr>
        <w:spacing w:line="240" w:lineRule="auto"/>
        <w:jc w:val="both"/>
        <w:rPr>
          <w:rFonts w:ascii="Times New Roman" w:hAnsi="Times New Roman" w:cs="Times New Roman"/>
          <w:color w:val="FF0000"/>
          <w:sz w:val="24"/>
          <w:szCs w:val="24"/>
          <w:lang w:val="en-GB"/>
        </w:rPr>
      </w:pPr>
      <w:r w:rsidRPr="00A5634D">
        <w:rPr>
          <w:rFonts w:ascii="Segoe UI Symbol" w:hAnsi="Segoe UI Symbol" w:cs="Segoe UI Symbol"/>
          <w:color w:val="FF0000"/>
          <w:sz w:val="24"/>
          <w:szCs w:val="24"/>
        </w:rPr>
        <w:t>📘</w:t>
      </w:r>
      <w:r w:rsidRPr="00A5634D">
        <w:rPr>
          <w:rFonts w:ascii="Times New Roman" w:hAnsi="Times New Roman" w:cs="Times New Roman"/>
          <w:color w:val="FF0000"/>
          <w:sz w:val="24"/>
          <w:szCs w:val="24"/>
          <w:lang w:val="en-GB"/>
        </w:rPr>
        <w:t xml:space="preserve"> SEC (Securities and Exchange Commission)</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Ha multado firmas por mal uso de IA y algoritmos opacos.</w:t>
      </w:r>
    </w:p>
    <w:p w:rsidR="005C44FB" w:rsidRPr="00A5634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Requi</w:t>
      </w:r>
      <w:r w:rsidR="00E7110E">
        <w:rPr>
          <w:rFonts w:ascii="Times New Roman" w:hAnsi="Times New Roman" w:cs="Times New Roman"/>
          <w:color w:val="FF0000"/>
          <w:sz w:val="24"/>
          <w:szCs w:val="24"/>
        </w:rPr>
        <w:t>ere a los HFT registrarse como “broker-dealers”</w:t>
      </w:r>
      <w:r w:rsidRPr="00A5634D">
        <w:rPr>
          <w:rFonts w:ascii="Times New Roman" w:hAnsi="Times New Roman" w:cs="Times New Roman"/>
          <w:color w:val="FF0000"/>
          <w:sz w:val="24"/>
          <w:szCs w:val="24"/>
        </w:rPr>
        <w:t xml:space="preserve"> y reportar sus actividades.</w:t>
      </w:r>
    </w:p>
    <w:p w:rsidR="005C44FB" w:rsidRPr="00C10FE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C10FE7">
        <w:rPr>
          <w:rFonts w:ascii="Times New Roman" w:hAnsi="Times New Roman" w:cs="Times New Roman"/>
          <w:color w:val="FF0000"/>
          <w:sz w:val="24"/>
          <w:szCs w:val="24"/>
        </w:rPr>
        <w:t>Está trabajando en nuevas reglas de “AI Conflicts of Interest”:</w:t>
      </w:r>
    </w:p>
    <w:p w:rsidR="005C44FB" w:rsidRPr="00C10FE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C10FE7">
        <w:rPr>
          <w:rFonts w:ascii="Times New Roman" w:hAnsi="Times New Roman" w:cs="Times New Roman"/>
          <w:color w:val="FF0000"/>
          <w:sz w:val="24"/>
          <w:szCs w:val="24"/>
        </w:rPr>
        <w:t>Prohibir sistemas que prioricen las ganancias de la firma sobre el mejor interés del cliente (por ejemplo, front-running algorítmico).</w:t>
      </w:r>
    </w:p>
    <w:p w:rsidR="005C44FB" w:rsidRPr="00A5634D" w:rsidRDefault="005C44FB" w:rsidP="005C44FB">
      <w:pPr>
        <w:spacing w:line="240" w:lineRule="auto"/>
        <w:jc w:val="both"/>
        <w:rPr>
          <w:rFonts w:ascii="Times New Roman" w:hAnsi="Times New Roman" w:cs="Times New Roman"/>
          <w:color w:val="FF0000"/>
          <w:sz w:val="24"/>
          <w:szCs w:val="24"/>
          <w:lang w:val="en-GB"/>
        </w:rPr>
      </w:pPr>
      <w:r w:rsidRPr="00A5634D">
        <w:rPr>
          <w:rFonts w:ascii="Segoe UI Symbol" w:hAnsi="Segoe UI Symbol" w:cs="Segoe UI Symbol"/>
          <w:color w:val="FF0000"/>
          <w:sz w:val="24"/>
          <w:szCs w:val="24"/>
        </w:rPr>
        <w:t>🔍</w:t>
      </w:r>
      <w:r w:rsidRPr="00A5634D">
        <w:rPr>
          <w:rFonts w:ascii="Times New Roman" w:hAnsi="Times New Roman" w:cs="Times New Roman"/>
          <w:color w:val="FF0000"/>
          <w:sz w:val="24"/>
          <w:szCs w:val="24"/>
          <w:lang w:val="en-GB"/>
        </w:rPr>
        <w:t xml:space="preserve"> CFTC (Commodity Futures Trading Commission)</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Propuso la “Regulación AT” (Automated Trading):</w:t>
      </w:r>
    </w:p>
    <w:p w:rsidR="005C44FB" w:rsidRPr="00C10FE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C10FE7">
        <w:rPr>
          <w:rFonts w:ascii="Times New Roman" w:hAnsi="Times New Roman" w:cs="Times New Roman"/>
          <w:color w:val="FF0000"/>
          <w:sz w:val="24"/>
          <w:szCs w:val="24"/>
        </w:rPr>
        <w:t>Requerir que los t</w:t>
      </w:r>
      <w:r w:rsidR="00E7110E">
        <w:rPr>
          <w:rFonts w:ascii="Times New Roman" w:hAnsi="Times New Roman" w:cs="Times New Roman"/>
          <w:color w:val="FF0000"/>
          <w:sz w:val="24"/>
          <w:szCs w:val="24"/>
        </w:rPr>
        <w:t>raders automáticos implementen “</w:t>
      </w:r>
      <w:r w:rsidR="008E2139">
        <w:rPr>
          <w:rFonts w:ascii="Times New Roman" w:hAnsi="Times New Roman" w:cs="Times New Roman"/>
          <w:color w:val="FF0000"/>
          <w:sz w:val="24"/>
          <w:szCs w:val="24"/>
        </w:rPr>
        <w:t>kill switches”</w:t>
      </w:r>
      <w:r w:rsidRPr="00C10FE7">
        <w:rPr>
          <w:rFonts w:ascii="Times New Roman" w:hAnsi="Times New Roman" w:cs="Times New Roman"/>
          <w:color w:val="FF0000"/>
          <w:sz w:val="24"/>
          <w:szCs w:val="24"/>
        </w:rPr>
        <w:t>.</w:t>
      </w:r>
    </w:p>
    <w:p w:rsidR="005C44FB" w:rsidRPr="00C10FE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C10FE7">
        <w:rPr>
          <w:rFonts w:ascii="Times New Roman" w:hAnsi="Times New Roman" w:cs="Times New Roman"/>
          <w:color w:val="FF0000"/>
          <w:sz w:val="24"/>
          <w:szCs w:val="24"/>
        </w:rPr>
        <w:t>Registro y documentación de algoritmos.</w:t>
      </w:r>
    </w:p>
    <w:p w:rsidR="005C44FB" w:rsidRPr="00C10FE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C10FE7">
        <w:rPr>
          <w:rFonts w:ascii="Times New Roman" w:hAnsi="Times New Roman" w:cs="Times New Roman"/>
          <w:color w:val="FF0000"/>
          <w:sz w:val="24"/>
          <w:szCs w:val="24"/>
        </w:rPr>
        <w:t>Supervisión activa de todo sistema algorítmico de trading.</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Segoe UI Symbol" w:hAnsi="Segoe UI Symbol" w:cs="Segoe UI Symbol"/>
          <w:color w:val="FF0000"/>
          <w:sz w:val="24"/>
          <w:szCs w:val="24"/>
        </w:rPr>
        <w:t>🌏</w:t>
      </w:r>
      <w:r>
        <w:rPr>
          <w:rFonts w:ascii="Times New Roman" w:hAnsi="Times New Roman" w:cs="Times New Roman"/>
          <w:color w:val="FF0000"/>
          <w:sz w:val="24"/>
          <w:szCs w:val="24"/>
        </w:rPr>
        <w:t xml:space="preserve"> 4. Asia -</w:t>
      </w:r>
      <w:r w:rsidRPr="00A5634D">
        <w:rPr>
          <w:rFonts w:ascii="Times New Roman" w:hAnsi="Times New Roman" w:cs="Times New Roman"/>
          <w:color w:val="FF0000"/>
          <w:sz w:val="24"/>
          <w:szCs w:val="24"/>
        </w:rPr>
        <w:t xml:space="preserve"> Avances desiguales</w:t>
      </w:r>
    </w:p>
    <w:p w:rsidR="005C44FB" w:rsidRPr="00C10FE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C10FE7">
        <w:rPr>
          <w:rFonts w:ascii="Times New Roman" w:hAnsi="Times New Roman" w:cs="Times New Roman"/>
          <w:color w:val="FF0000"/>
          <w:sz w:val="24"/>
          <w:szCs w:val="24"/>
        </w:rPr>
        <w:t>Japón y Singapur tienen marcos avanzados para control de HFT e IA en finanzas.</w:t>
      </w:r>
    </w:p>
    <w:p w:rsidR="005C44FB" w:rsidRPr="00C10FE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C10FE7">
        <w:rPr>
          <w:rFonts w:ascii="Times New Roman" w:hAnsi="Times New Roman" w:cs="Times New Roman"/>
          <w:color w:val="FF0000"/>
          <w:sz w:val="24"/>
          <w:szCs w:val="24"/>
        </w:rPr>
        <w:t>China ha puesto límites al uso de IA en inversión minorista y exige trazabilidad total para algoritmos en mercados financieros.</w:t>
      </w:r>
    </w:p>
    <w:p w:rsidR="005C44FB"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C10FE7">
        <w:rPr>
          <w:rFonts w:ascii="Times New Roman" w:hAnsi="Times New Roman" w:cs="Times New Roman"/>
          <w:color w:val="FF0000"/>
          <w:sz w:val="24"/>
          <w:szCs w:val="24"/>
        </w:rPr>
        <w:t>Hong Kong implementó guías para explicar decisiones tomadas por IA a los reguladores.</w:t>
      </w:r>
    </w:p>
    <w:p w:rsidR="005C44FB" w:rsidRPr="00A5634D" w:rsidRDefault="005C44FB" w:rsidP="005C44FB">
      <w:pPr>
        <w:spacing w:line="240" w:lineRule="auto"/>
        <w:ind w:left="360"/>
        <w:jc w:val="both"/>
        <w:rPr>
          <w:rFonts w:ascii="Times New Roman" w:hAnsi="Times New Roman" w:cs="Times New Roman"/>
          <w:color w:val="FF0000"/>
          <w:sz w:val="24"/>
          <w:szCs w:val="24"/>
        </w:rPr>
      </w:pPr>
      <w:r w:rsidRPr="00C10FE7">
        <w:rPr>
          <w:rFonts w:ascii="Times New Roman" w:hAnsi="Times New Roman" w:cs="Times New Roman"/>
          <w:noProof/>
          <w:color w:val="FF0000"/>
          <w:sz w:val="24"/>
          <w:szCs w:val="24"/>
          <w:lang w:eastAsia="es-ES"/>
        </w:rPr>
        <w:lastRenderedPageBreak/>
        <w:drawing>
          <wp:inline distT="0" distB="0" distL="0" distR="0" wp14:anchorId="1F8E184E" wp14:editId="29471884">
            <wp:extent cx="5731510" cy="2333018"/>
            <wp:effectExtent l="0" t="0" r="254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2333018"/>
                    </a:xfrm>
                    <a:prstGeom prst="rect">
                      <a:avLst/>
                    </a:prstGeom>
                  </pic:spPr>
                </pic:pic>
              </a:graphicData>
            </a:graphic>
          </wp:inline>
        </w:drawing>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Segoe UI Symbol" w:hAnsi="Segoe UI Symbol" w:cs="Segoe UI Symbol"/>
          <w:color w:val="FF0000"/>
          <w:sz w:val="24"/>
          <w:szCs w:val="24"/>
        </w:rPr>
        <w:t>📌</w:t>
      </w:r>
      <w:r w:rsidRPr="00A5634D">
        <w:rPr>
          <w:rFonts w:ascii="Times New Roman" w:hAnsi="Times New Roman" w:cs="Times New Roman"/>
          <w:color w:val="FF0000"/>
          <w:sz w:val="24"/>
          <w:szCs w:val="24"/>
        </w:rPr>
        <w:t xml:space="preserve"> Conclusión</w:t>
      </w:r>
    </w:p>
    <w:p w:rsidR="005C44FB" w:rsidRPr="00C10FE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C10FE7">
        <w:rPr>
          <w:rFonts w:ascii="Times New Roman" w:hAnsi="Times New Roman" w:cs="Times New Roman"/>
          <w:color w:val="FF0000"/>
          <w:sz w:val="24"/>
          <w:szCs w:val="24"/>
        </w:rPr>
        <w:t>La regulación internacional está avanzando hacia un modelo mixto:</w:t>
      </w:r>
    </w:p>
    <w:p w:rsidR="005C44FB" w:rsidRPr="00C10FE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C10FE7">
        <w:rPr>
          <w:rFonts w:ascii="Times New Roman" w:hAnsi="Times New Roman" w:cs="Times New Roman"/>
          <w:color w:val="FF0000"/>
          <w:sz w:val="24"/>
          <w:szCs w:val="24"/>
        </w:rPr>
        <w:t>Obligaciones técnicas (tests, auditorías, explicabilidad)</w:t>
      </w:r>
    </w:p>
    <w:p w:rsidR="005C44FB" w:rsidRPr="00C10FE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C10FE7">
        <w:rPr>
          <w:rFonts w:ascii="Times New Roman" w:hAnsi="Times New Roman" w:cs="Times New Roman"/>
          <w:color w:val="FF0000"/>
          <w:sz w:val="24"/>
          <w:szCs w:val="24"/>
        </w:rPr>
        <w:t>Supervisión ética y humana</w:t>
      </w:r>
    </w:p>
    <w:p w:rsidR="005C44FB" w:rsidRPr="00C10FE7"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C10FE7">
        <w:rPr>
          <w:rFonts w:ascii="Times New Roman" w:hAnsi="Times New Roman" w:cs="Times New Roman"/>
          <w:color w:val="FF0000"/>
          <w:sz w:val="24"/>
          <w:szCs w:val="24"/>
        </w:rPr>
        <w:t>Cooperación global para evitar arbitrajes regulatorios</w:t>
      </w:r>
    </w:p>
    <w:p w:rsidR="005C44FB" w:rsidRPr="00A5634D" w:rsidRDefault="005C44FB" w:rsidP="005C44FB">
      <w:pPr>
        <w:spacing w:line="240" w:lineRule="auto"/>
        <w:jc w:val="both"/>
        <w:rPr>
          <w:rFonts w:ascii="Times New Roman" w:hAnsi="Times New Roman" w:cs="Times New Roman"/>
          <w:color w:val="FF0000"/>
          <w:sz w:val="24"/>
          <w:szCs w:val="24"/>
        </w:rPr>
      </w:pPr>
      <w:r w:rsidRPr="00A5634D">
        <w:rPr>
          <w:rFonts w:ascii="Times New Roman" w:hAnsi="Times New Roman" w:cs="Times New Roman"/>
          <w:color w:val="FF0000"/>
          <w:sz w:val="24"/>
          <w:szCs w:val="24"/>
        </w:rPr>
        <w:t>Aún no existe una ley internacional unificada, pero Europa lidera con el AI Act, mientras EE.UU. y Asia siguen con marcos prop</w:t>
      </w:r>
      <w:r>
        <w:rPr>
          <w:rFonts w:ascii="Times New Roman" w:hAnsi="Times New Roman" w:cs="Times New Roman"/>
          <w:color w:val="FF0000"/>
          <w:sz w:val="24"/>
          <w:szCs w:val="24"/>
        </w:rPr>
        <w:t>ios más flexibles pero activos.</w:t>
      </w:r>
    </w:p>
    <w:p w:rsidR="005C44FB" w:rsidRPr="0083619D" w:rsidRDefault="005C44FB" w:rsidP="005C44FB">
      <w:pPr>
        <w:spacing w:line="240" w:lineRule="auto"/>
        <w:jc w:val="both"/>
        <w:rPr>
          <w:rFonts w:ascii="Times New Roman" w:hAnsi="Times New Roman" w:cs="Times New Roman"/>
          <w:b/>
          <w:color w:val="FF0000"/>
          <w:sz w:val="24"/>
          <w:szCs w:val="24"/>
        </w:rPr>
      </w:pPr>
      <w:r w:rsidRPr="0083619D">
        <w:rPr>
          <w:rFonts w:ascii="Times New Roman" w:hAnsi="Times New Roman" w:cs="Times New Roman"/>
          <w:b/>
          <w:color w:val="FF0000"/>
          <w:sz w:val="24"/>
          <w:szCs w:val="24"/>
        </w:rPr>
        <w:t>Una tabla comparativa de las regulaciones sobre la IA y la HFT existen</w:t>
      </w:r>
      <w:r>
        <w:rPr>
          <w:rFonts w:ascii="Times New Roman" w:hAnsi="Times New Roman" w:cs="Times New Roman"/>
          <w:b/>
          <w:color w:val="FF0000"/>
          <w:sz w:val="24"/>
          <w:szCs w:val="24"/>
        </w:rPr>
        <w:t xml:space="preserve">tes en los EEUU, la UE, y </w:t>
      </w:r>
      <w:r w:rsidR="00C44162">
        <w:rPr>
          <w:rFonts w:ascii="Times New Roman" w:hAnsi="Times New Roman" w:cs="Times New Roman"/>
          <w:b/>
          <w:color w:val="FF0000"/>
          <w:sz w:val="24"/>
          <w:szCs w:val="24"/>
        </w:rPr>
        <w:t>Japón</w:t>
      </w:r>
    </w:p>
    <w:p w:rsidR="005C44FB" w:rsidRPr="00E35ACE" w:rsidRDefault="005C44FB" w:rsidP="005C44FB">
      <w:pPr>
        <w:spacing w:line="240" w:lineRule="auto"/>
        <w:jc w:val="both"/>
        <w:rPr>
          <w:rFonts w:ascii="Times New Roman" w:hAnsi="Times New Roman" w:cs="Times New Roman"/>
          <w:color w:val="FF0000"/>
          <w:sz w:val="24"/>
          <w:szCs w:val="24"/>
        </w:rPr>
      </w:pPr>
      <w:r w:rsidRPr="00E35ACE">
        <w:rPr>
          <w:rFonts w:ascii="Times New Roman" w:hAnsi="Times New Roman" w:cs="Times New Roman"/>
          <w:color w:val="FF0000"/>
          <w:sz w:val="24"/>
          <w:szCs w:val="24"/>
        </w:rPr>
        <w:t>ChatGPT Plus</w:t>
      </w:r>
    </w:p>
    <w:p w:rsidR="005C44FB" w:rsidRPr="00A5634D" w:rsidRDefault="005C44FB" w:rsidP="005C44FB">
      <w:pPr>
        <w:spacing w:line="240" w:lineRule="auto"/>
        <w:jc w:val="both"/>
        <w:rPr>
          <w:rFonts w:ascii="Times New Roman" w:hAnsi="Times New Roman" w:cs="Times New Roman"/>
          <w:color w:val="FF0000"/>
          <w:sz w:val="24"/>
          <w:szCs w:val="24"/>
        </w:rPr>
      </w:pPr>
      <w:r w:rsidRPr="00E35ACE">
        <w:rPr>
          <w:rFonts w:ascii="Times New Roman" w:hAnsi="Times New Roman" w:cs="Times New Roman"/>
          <w:color w:val="FF0000"/>
          <w:sz w:val="24"/>
          <w:szCs w:val="24"/>
        </w:rPr>
        <w:t>Aquí tienes una tabla comparativa que resume las regulaciones más relevantes relacionadas con la Inteligencia Artificial (IA) y el High-Frequency Trading (HFT) en Estados Unidos, la Unión Europea y Japón, hasta mediados de 2024:</w:t>
      </w:r>
    </w:p>
    <w:p w:rsidR="005C44FB" w:rsidRDefault="005C44FB" w:rsidP="005C44FB">
      <w:pPr>
        <w:spacing w:line="240" w:lineRule="auto"/>
        <w:jc w:val="both"/>
        <w:rPr>
          <w:rFonts w:ascii="Times New Roman" w:hAnsi="Times New Roman" w:cs="Times New Roman"/>
          <w:color w:val="FF0000"/>
          <w:sz w:val="24"/>
          <w:szCs w:val="24"/>
        </w:rPr>
      </w:pPr>
      <w:r w:rsidRPr="0083619D">
        <w:rPr>
          <w:rFonts w:ascii="Times New Roman" w:hAnsi="Times New Roman" w:cs="Times New Roman"/>
          <w:noProof/>
          <w:color w:val="FF0000"/>
          <w:sz w:val="24"/>
          <w:szCs w:val="24"/>
          <w:lang w:eastAsia="es-ES"/>
        </w:rPr>
        <w:drawing>
          <wp:inline distT="0" distB="0" distL="0" distR="0" wp14:anchorId="7AE6B857" wp14:editId="003AE496">
            <wp:extent cx="5731510" cy="2077060"/>
            <wp:effectExtent l="0" t="0" r="254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2077060"/>
                    </a:xfrm>
                    <a:prstGeom prst="rect">
                      <a:avLst/>
                    </a:prstGeom>
                  </pic:spPr>
                </pic:pic>
              </a:graphicData>
            </a:graphic>
          </wp:inline>
        </w:drawing>
      </w:r>
    </w:p>
    <w:p w:rsidR="005C44FB" w:rsidRDefault="005C44FB" w:rsidP="005C44FB">
      <w:pPr>
        <w:spacing w:line="240" w:lineRule="auto"/>
        <w:jc w:val="both"/>
        <w:rPr>
          <w:rFonts w:ascii="Times New Roman" w:hAnsi="Times New Roman" w:cs="Times New Roman"/>
          <w:color w:val="FF0000"/>
          <w:sz w:val="24"/>
          <w:szCs w:val="24"/>
        </w:rPr>
      </w:pPr>
      <w:r w:rsidRPr="0083619D">
        <w:rPr>
          <w:rFonts w:ascii="Times New Roman" w:hAnsi="Times New Roman" w:cs="Times New Roman"/>
          <w:noProof/>
          <w:color w:val="FF0000"/>
          <w:sz w:val="24"/>
          <w:szCs w:val="24"/>
          <w:lang w:eastAsia="es-ES"/>
        </w:rPr>
        <w:lastRenderedPageBreak/>
        <w:drawing>
          <wp:inline distT="0" distB="0" distL="0" distR="0" wp14:anchorId="7163F95B" wp14:editId="23620289">
            <wp:extent cx="5731510" cy="2571219"/>
            <wp:effectExtent l="0" t="0" r="2540" b="635"/>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2571219"/>
                    </a:xfrm>
                    <a:prstGeom prst="rect">
                      <a:avLst/>
                    </a:prstGeom>
                  </pic:spPr>
                </pic:pic>
              </a:graphicData>
            </a:graphic>
          </wp:inline>
        </w:drawing>
      </w:r>
    </w:p>
    <w:p w:rsidR="005C44FB" w:rsidRPr="0083619D" w:rsidRDefault="005C44FB" w:rsidP="005C44FB">
      <w:pPr>
        <w:spacing w:line="240" w:lineRule="auto"/>
        <w:jc w:val="both"/>
        <w:rPr>
          <w:rFonts w:ascii="Times New Roman" w:hAnsi="Times New Roman" w:cs="Times New Roman"/>
          <w:color w:val="FF0000"/>
          <w:sz w:val="24"/>
          <w:szCs w:val="24"/>
        </w:rPr>
      </w:pPr>
      <w:r w:rsidRPr="0083619D">
        <w:rPr>
          <w:rFonts w:ascii="Segoe UI Symbol" w:hAnsi="Segoe UI Symbol" w:cs="Segoe UI Symbol"/>
          <w:color w:val="FF0000"/>
          <w:sz w:val="24"/>
          <w:szCs w:val="24"/>
        </w:rPr>
        <w:t>📝</w:t>
      </w:r>
      <w:r w:rsidRPr="0083619D">
        <w:rPr>
          <w:rFonts w:ascii="Times New Roman" w:hAnsi="Times New Roman" w:cs="Times New Roman"/>
          <w:color w:val="FF0000"/>
          <w:sz w:val="24"/>
          <w:szCs w:val="24"/>
        </w:rPr>
        <w:t xml:space="preserve"> Notas:</w:t>
      </w:r>
    </w:p>
    <w:p w:rsidR="005C44FB" w:rsidRPr="0083619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83619D">
        <w:rPr>
          <w:rFonts w:ascii="Times New Roman" w:hAnsi="Times New Roman" w:cs="Times New Roman"/>
          <w:color w:val="FF0000"/>
          <w:sz w:val="24"/>
          <w:szCs w:val="24"/>
        </w:rPr>
        <w:t xml:space="preserve">La IA </w:t>
      </w:r>
      <w:r w:rsidR="008E2139">
        <w:rPr>
          <w:rFonts w:ascii="Times New Roman" w:hAnsi="Times New Roman" w:cs="Times New Roman"/>
          <w:color w:val="FF0000"/>
          <w:sz w:val="24"/>
          <w:szCs w:val="24"/>
        </w:rPr>
        <w:t>en HFT suele considerarse como “IA de alto riesgo”</w:t>
      </w:r>
      <w:r w:rsidRPr="0083619D">
        <w:rPr>
          <w:rFonts w:ascii="Times New Roman" w:hAnsi="Times New Roman" w:cs="Times New Roman"/>
          <w:color w:val="FF0000"/>
          <w:sz w:val="24"/>
          <w:szCs w:val="24"/>
        </w:rPr>
        <w:t xml:space="preserve"> en la UE, lo que implica mayores exigencias.</w:t>
      </w:r>
    </w:p>
    <w:p w:rsidR="005C44FB" w:rsidRPr="0083619D" w:rsidRDefault="008E2139" w:rsidP="005C44FB">
      <w:pPr>
        <w:pStyle w:val="Prrafodelista"/>
        <w:numPr>
          <w:ilvl w:val="0"/>
          <w:numId w:val="19"/>
        </w:num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En EEUU</w:t>
      </w:r>
      <w:r w:rsidR="005C44FB" w:rsidRPr="0083619D">
        <w:rPr>
          <w:rFonts w:ascii="Times New Roman" w:hAnsi="Times New Roman" w:cs="Times New Roman"/>
          <w:color w:val="FF0000"/>
          <w:sz w:val="24"/>
          <w:szCs w:val="24"/>
        </w:rPr>
        <w:t>, se prefiere la autorregulación con intervención ex post, más que una ley ex ante como la de la UE.</w:t>
      </w:r>
    </w:p>
    <w:p w:rsidR="005C44FB" w:rsidRPr="0083619D" w:rsidRDefault="005C44FB" w:rsidP="005C44FB">
      <w:pPr>
        <w:pStyle w:val="Prrafodelista"/>
        <w:numPr>
          <w:ilvl w:val="0"/>
          <w:numId w:val="19"/>
        </w:numPr>
        <w:spacing w:line="240" w:lineRule="auto"/>
        <w:jc w:val="both"/>
        <w:rPr>
          <w:rFonts w:ascii="Times New Roman" w:hAnsi="Times New Roman" w:cs="Times New Roman"/>
          <w:color w:val="FF0000"/>
          <w:sz w:val="24"/>
          <w:szCs w:val="24"/>
        </w:rPr>
      </w:pPr>
      <w:r w:rsidRPr="0083619D">
        <w:rPr>
          <w:rFonts w:ascii="Times New Roman" w:hAnsi="Times New Roman" w:cs="Times New Roman"/>
          <w:color w:val="FF0000"/>
          <w:sz w:val="24"/>
          <w:szCs w:val="24"/>
        </w:rPr>
        <w:t>Japón sigue un enfoque híbrido: guías voluntarias + supervisión financiera sólida.</w:t>
      </w:r>
    </w:p>
    <w:p w:rsidR="005C44FB" w:rsidRPr="004478A5" w:rsidRDefault="005C44FB" w:rsidP="005C44FB">
      <w:pPr>
        <w:spacing w:line="240" w:lineRule="auto"/>
        <w:jc w:val="both"/>
        <w:rPr>
          <w:rFonts w:ascii="Times New Roman" w:hAnsi="Times New Roman" w:cs="Times New Roman"/>
          <w:b/>
          <w:sz w:val="24"/>
          <w:szCs w:val="24"/>
        </w:rPr>
      </w:pPr>
      <w:r w:rsidRPr="004478A5">
        <w:rPr>
          <w:rFonts w:ascii="Times New Roman" w:hAnsi="Times New Roman" w:cs="Times New Roman"/>
          <w:b/>
          <w:sz w:val="24"/>
          <w:szCs w:val="24"/>
        </w:rPr>
        <w:t xml:space="preserve">Comentario del autor </w:t>
      </w:r>
      <w:r>
        <w:rPr>
          <w:rFonts w:ascii="Times New Roman" w:hAnsi="Times New Roman" w:cs="Times New Roman"/>
          <w:b/>
          <w:sz w:val="24"/>
          <w:szCs w:val="24"/>
        </w:rPr>
        <w:t>(una víctima de la rémora analógica</w:t>
      </w:r>
      <w:r w:rsidRPr="004478A5">
        <w:rPr>
          <w:rFonts w:ascii="Times New Roman" w:hAnsi="Times New Roman" w:cs="Times New Roman"/>
          <w:b/>
          <w:sz w:val="24"/>
          <w:szCs w:val="24"/>
        </w:rPr>
        <w:t xml:space="preserve">) </w:t>
      </w:r>
    </w:p>
    <w:p w:rsidR="005C44FB" w:rsidRPr="000948FC" w:rsidRDefault="005C44FB" w:rsidP="005C44FB">
      <w:pPr>
        <w:spacing w:line="240" w:lineRule="auto"/>
        <w:jc w:val="both"/>
        <w:rPr>
          <w:rFonts w:ascii="Times New Roman" w:hAnsi="Times New Roman" w:cs="Times New Roman"/>
          <w:sz w:val="24"/>
          <w:szCs w:val="24"/>
        </w:rPr>
      </w:pPr>
      <w:r w:rsidRPr="000948FC">
        <w:rPr>
          <w:rFonts w:ascii="Times New Roman" w:hAnsi="Times New Roman" w:cs="Times New Roman"/>
          <w:b/>
          <w:sz w:val="24"/>
          <w:szCs w:val="24"/>
        </w:rPr>
        <w:t>C</w:t>
      </w:r>
      <w:r w:rsidRPr="000948FC">
        <w:rPr>
          <w:rFonts w:ascii="Times New Roman" w:hAnsi="Times New Roman" w:cs="Times New Roman"/>
          <w:sz w:val="24"/>
          <w:szCs w:val="24"/>
        </w:rPr>
        <w:t>omo diría el personaje de Valle Inclán: “me saco el cráneo”, ante la Inteligencia Artificial.</w:t>
      </w:r>
    </w:p>
    <w:p w:rsidR="005C44FB" w:rsidRDefault="005C44FB" w:rsidP="005C44F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E2139">
        <w:rPr>
          <w:rFonts w:ascii="Times New Roman" w:hAnsi="Times New Roman" w:cs="Times New Roman"/>
          <w:sz w:val="24"/>
          <w:szCs w:val="24"/>
        </w:rPr>
        <w:t>La frase “</w:t>
      </w:r>
      <w:r w:rsidRPr="000948FC">
        <w:rPr>
          <w:rFonts w:ascii="Times New Roman" w:hAnsi="Times New Roman" w:cs="Times New Roman"/>
          <w:sz w:val="24"/>
          <w:szCs w:val="24"/>
        </w:rPr>
        <w:t xml:space="preserve">Me saco </w:t>
      </w:r>
      <w:r w:rsidR="008E2139">
        <w:rPr>
          <w:rFonts w:ascii="Times New Roman" w:hAnsi="Times New Roman" w:cs="Times New Roman"/>
          <w:sz w:val="24"/>
          <w:szCs w:val="24"/>
        </w:rPr>
        <w:t>el cráneo” es de la obra teatral “Luces de Bohemia”</w:t>
      </w:r>
      <w:r w:rsidRPr="000948FC">
        <w:rPr>
          <w:rFonts w:ascii="Times New Roman" w:hAnsi="Times New Roman" w:cs="Times New Roman"/>
          <w:sz w:val="24"/>
          <w:szCs w:val="24"/>
        </w:rPr>
        <w:t xml:space="preserve"> de Ramón María del Valle-Inclán. La frase la pronuncia el personaje Max Estrella, un poeta ciego, en un momento de </w:t>
      </w:r>
      <w:r>
        <w:rPr>
          <w:rFonts w:ascii="Times New Roman" w:hAnsi="Times New Roman" w:cs="Times New Roman"/>
          <w:sz w:val="24"/>
          <w:szCs w:val="24"/>
        </w:rPr>
        <w:t xml:space="preserve">desesperación y crítica social. </w:t>
      </w:r>
      <w:r w:rsidRPr="000948FC">
        <w:rPr>
          <w:rFonts w:ascii="Times New Roman" w:hAnsi="Times New Roman" w:cs="Times New Roman"/>
          <w:sz w:val="24"/>
          <w:szCs w:val="24"/>
        </w:rPr>
        <w:t>El esperpento: Género literario creado por Ramón del Valle-Inclán, escritor español de la generación del 98, en el que se deforma la realidad, recargando sus rasgos grotescos, sometiendo a una elaboración muy personal el lenguaje coloquial y desgarrado.</w:t>
      </w:r>
      <w:r>
        <w:rPr>
          <w:rFonts w:ascii="Times New Roman" w:hAnsi="Times New Roman" w:cs="Times New Roman"/>
          <w:sz w:val="24"/>
          <w:szCs w:val="24"/>
        </w:rPr>
        <w:t>)</w:t>
      </w:r>
    </w:p>
    <w:p w:rsidR="005C44FB" w:rsidRPr="008D09E4" w:rsidRDefault="005C44FB" w:rsidP="005C44FB">
      <w:pPr>
        <w:spacing w:line="240" w:lineRule="auto"/>
        <w:jc w:val="both"/>
        <w:rPr>
          <w:rFonts w:ascii="Times New Roman" w:hAnsi="Times New Roman" w:cs="Times New Roman"/>
          <w:sz w:val="24"/>
          <w:szCs w:val="24"/>
        </w:rPr>
      </w:pPr>
      <w:r>
        <w:rPr>
          <w:rFonts w:ascii="Times New Roman" w:hAnsi="Times New Roman" w:cs="Times New Roman"/>
          <w:b/>
          <w:sz w:val="24"/>
          <w:szCs w:val="24"/>
        </w:rPr>
        <w:t>ChatGPT</w:t>
      </w:r>
      <w:r w:rsidRPr="008D09E4">
        <w:rPr>
          <w:rFonts w:ascii="Times New Roman" w:hAnsi="Times New Roman" w:cs="Times New Roman"/>
          <w:b/>
          <w:sz w:val="24"/>
          <w:szCs w:val="24"/>
        </w:rPr>
        <w:t>:</w:t>
      </w:r>
      <w:r w:rsidRPr="008D09E4">
        <w:rPr>
          <w:rFonts w:ascii="Times New Roman" w:hAnsi="Times New Roman" w:cs="Times New Roman"/>
          <w:sz w:val="24"/>
          <w:szCs w:val="24"/>
        </w:rPr>
        <w:t xml:space="preserve"> </w:t>
      </w:r>
      <w:r w:rsidRPr="000948FC">
        <w:rPr>
          <w:rFonts w:ascii="Times New Roman" w:hAnsi="Times New Roman" w:cs="Times New Roman"/>
          <w:sz w:val="24"/>
          <w:szCs w:val="24"/>
        </w:rPr>
        <w:t>Excelente en el</w:t>
      </w:r>
      <w:r>
        <w:rPr>
          <w:rFonts w:ascii="Times New Roman" w:hAnsi="Times New Roman" w:cs="Times New Roman"/>
          <w:sz w:val="24"/>
          <w:szCs w:val="24"/>
        </w:rPr>
        <w:t xml:space="preserve"> “diagnóstico</w:t>
      </w:r>
      <w:r w:rsidRPr="000948FC">
        <w:rPr>
          <w:rFonts w:ascii="Times New Roman" w:hAnsi="Times New Roman" w:cs="Times New Roman"/>
          <w:sz w:val="24"/>
          <w:szCs w:val="24"/>
        </w:rPr>
        <w:t>” (</w:t>
      </w:r>
      <w:r>
        <w:rPr>
          <w:rFonts w:ascii="Times New Roman" w:hAnsi="Times New Roman" w:cs="Times New Roman"/>
          <w:sz w:val="24"/>
          <w:szCs w:val="24"/>
        </w:rPr>
        <w:t>análisis</w:t>
      </w:r>
      <w:r w:rsidRPr="000948FC">
        <w:rPr>
          <w:rFonts w:ascii="Times New Roman" w:hAnsi="Times New Roman" w:cs="Times New Roman"/>
          <w:sz w:val="24"/>
          <w:szCs w:val="24"/>
        </w:rPr>
        <w:t>)</w:t>
      </w:r>
      <w:r>
        <w:rPr>
          <w:rFonts w:ascii="Times New Roman" w:hAnsi="Times New Roman" w:cs="Times New Roman"/>
          <w:sz w:val="24"/>
          <w:szCs w:val="24"/>
        </w:rPr>
        <w:t>, dudoso en el “tratamiento</w:t>
      </w:r>
      <w:r w:rsidRPr="000948FC">
        <w:rPr>
          <w:rFonts w:ascii="Times New Roman" w:hAnsi="Times New Roman" w:cs="Times New Roman"/>
          <w:sz w:val="24"/>
          <w:szCs w:val="24"/>
        </w:rPr>
        <w:t>” (</w:t>
      </w:r>
      <w:r>
        <w:rPr>
          <w:rFonts w:ascii="Times New Roman" w:hAnsi="Times New Roman" w:cs="Times New Roman"/>
          <w:sz w:val="24"/>
          <w:szCs w:val="24"/>
        </w:rPr>
        <w:t>posología</w:t>
      </w:r>
      <w:r w:rsidRPr="000948FC">
        <w:rPr>
          <w:rFonts w:ascii="Times New Roman" w:hAnsi="Times New Roman" w:cs="Times New Roman"/>
          <w:sz w:val="24"/>
          <w:szCs w:val="24"/>
        </w:rPr>
        <w:t xml:space="preserve">). </w:t>
      </w:r>
    </w:p>
    <w:p w:rsidR="005C44FB" w:rsidRDefault="005C44FB" w:rsidP="005C44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ya sentía aversión por el </w:t>
      </w:r>
      <w:r w:rsidRPr="009406B9">
        <w:rPr>
          <w:rFonts w:ascii="Times New Roman" w:hAnsi="Times New Roman" w:cs="Times New Roman"/>
          <w:b/>
          <w:sz w:val="24"/>
          <w:szCs w:val="24"/>
        </w:rPr>
        <w:t>análisis técnico</w:t>
      </w:r>
      <w:r>
        <w:rPr>
          <w:rFonts w:ascii="Times New Roman" w:hAnsi="Times New Roman" w:cs="Times New Roman"/>
          <w:sz w:val="24"/>
          <w:szCs w:val="24"/>
        </w:rPr>
        <w:t xml:space="preserve">, luego ampliado y potenciado por el vértigo de la </w:t>
      </w:r>
      <w:r w:rsidRPr="009406B9">
        <w:rPr>
          <w:rFonts w:ascii="Times New Roman" w:hAnsi="Times New Roman" w:cs="Times New Roman"/>
          <w:b/>
          <w:sz w:val="24"/>
          <w:szCs w:val="24"/>
        </w:rPr>
        <w:t>operativa de alta frecuencia (HFT)</w:t>
      </w:r>
      <w:r>
        <w:rPr>
          <w:rFonts w:ascii="Times New Roman" w:hAnsi="Times New Roman" w:cs="Times New Roman"/>
          <w:sz w:val="24"/>
          <w:szCs w:val="24"/>
        </w:rPr>
        <w:t xml:space="preserve">… una vez agregado el arbitrio de la </w:t>
      </w:r>
      <w:r w:rsidRPr="009406B9">
        <w:rPr>
          <w:rFonts w:ascii="Times New Roman" w:hAnsi="Times New Roman" w:cs="Times New Roman"/>
          <w:b/>
          <w:sz w:val="24"/>
          <w:szCs w:val="24"/>
        </w:rPr>
        <w:t>Inteligencia Artificial</w:t>
      </w:r>
      <w:r>
        <w:rPr>
          <w:rFonts w:ascii="Times New Roman" w:hAnsi="Times New Roman" w:cs="Times New Roman"/>
          <w:sz w:val="24"/>
          <w:szCs w:val="24"/>
        </w:rPr>
        <w:t xml:space="preserve"> para resolver la toma de posiciones, creo que el cóctel para cebar las </w:t>
      </w:r>
      <w:r w:rsidR="008E2139">
        <w:rPr>
          <w:rFonts w:ascii="Times New Roman" w:hAnsi="Times New Roman" w:cs="Times New Roman"/>
          <w:sz w:val="24"/>
          <w:szCs w:val="24"/>
        </w:rPr>
        <w:t>armas de destrucción masiva en</w:t>
      </w:r>
      <w:r>
        <w:rPr>
          <w:rFonts w:ascii="Times New Roman" w:hAnsi="Times New Roman" w:cs="Times New Roman"/>
          <w:sz w:val="24"/>
          <w:szCs w:val="24"/>
        </w:rPr>
        <w:t xml:space="preserve"> el sistema financiero está servido. </w:t>
      </w:r>
    </w:p>
    <w:p w:rsidR="005C44FB" w:rsidRDefault="005C44FB" w:rsidP="005C44FB">
      <w:pPr>
        <w:spacing w:line="240" w:lineRule="auto"/>
        <w:jc w:val="both"/>
        <w:rPr>
          <w:rFonts w:ascii="Times New Roman" w:hAnsi="Times New Roman" w:cs="Times New Roman"/>
          <w:sz w:val="24"/>
          <w:szCs w:val="24"/>
        </w:rPr>
      </w:pPr>
      <w:r>
        <w:rPr>
          <w:rFonts w:ascii="Times New Roman" w:hAnsi="Times New Roman" w:cs="Times New Roman"/>
          <w:sz w:val="24"/>
          <w:szCs w:val="24"/>
        </w:rPr>
        <w:t>Es muy posible que en el futuro el negocio bursátil se resuelva en un juego de máquinas contra máquinas. No lo sé, y tampoco deseo estar presente para comprobarlo. Lo único que me interesa es advertir a los ahorristas (los únicos que tienen dinero disponible de verdad, lo demás son apalancamientos especulativos,</w:t>
      </w:r>
      <w:r w:rsidR="008E2139">
        <w:rPr>
          <w:rFonts w:ascii="Times New Roman" w:hAnsi="Times New Roman" w:cs="Times New Roman"/>
          <w:sz w:val="24"/>
          <w:szCs w:val="24"/>
        </w:rPr>
        <w:t xml:space="preserve"> y anotaciones en cuenta), </w:t>
      </w:r>
      <w:r>
        <w:rPr>
          <w:rFonts w:ascii="Times New Roman" w:hAnsi="Times New Roman" w:cs="Times New Roman"/>
          <w:sz w:val="24"/>
          <w:szCs w:val="24"/>
        </w:rPr>
        <w:t xml:space="preserve">que tengan mucho cuidado, en dónde invierten su recursos. Les pueden robar la camisa, con la chaqueta puesta. </w:t>
      </w:r>
    </w:p>
    <w:p w:rsidR="005651A6" w:rsidRPr="005C44FB" w:rsidRDefault="005C44FB" w:rsidP="005C44FB">
      <w:pPr>
        <w:spacing w:line="240" w:lineRule="auto"/>
        <w:jc w:val="both"/>
        <w:rPr>
          <w:rFonts w:ascii="Times New Roman" w:hAnsi="Times New Roman" w:cs="Times New Roman"/>
          <w:sz w:val="24"/>
          <w:szCs w:val="24"/>
        </w:rPr>
      </w:pPr>
      <w:r>
        <w:rPr>
          <w:rFonts w:ascii="Times New Roman" w:hAnsi="Times New Roman" w:cs="Times New Roman"/>
          <w:sz w:val="24"/>
          <w:szCs w:val="24"/>
        </w:rPr>
        <w:t>En el “olimpo de los dioses” del negocio bursátil, la “última jugada” de dominio especulativo, antes del inevitable “game over”, puede ser la “robobolsa”, en la cual la velocidad (rentabilidad/riesgo) neutralice cualquier opción de racionalidad del ahorrista (solo invertir en aquellos productos financieros que pueda entender). Robot+Bolsa = Bancarrota.</w:t>
      </w:r>
    </w:p>
    <w:sectPr w:rsidR="005651A6" w:rsidRPr="005C44F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E80A80"/>
    <w:multiLevelType w:val="multilevel"/>
    <w:tmpl w:val="124AE0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BAD21CF"/>
    <w:multiLevelType w:val="multilevel"/>
    <w:tmpl w:val="8FD8F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0392015"/>
    <w:multiLevelType w:val="multilevel"/>
    <w:tmpl w:val="07F0C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47B5DE1"/>
    <w:multiLevelType w:val="multilevel"/>
    <w:tmpl w:val="87BA8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4A40374"/>
    <w:multiLevelType w:val="multilevel"/>
    <w:tmpl w:val="3E243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F856D9D"/>
    <w:multiLevelType w:val="hybridMultilevel"/>
    <w:tmpl w:val="534886FC"/>
    <w:lvl w:ilvl="0" w:tplc="C49643B2">
      <w:start w:val="13"/>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5706250"/>
    <w:multiLevelType w:val="hybridMultilevel"/>
    <w:tmpl w:val="8C5C05F8"/>
    <w:lvl w:ilvl="0" w:tplc="C29EDF42">
      <w:start w:val="13"/>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267046DD"/>
    <w:multiLevelType w:val="multilevel"/>
    <w:tmpl w:val="8274F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EEC5855"/>
    <w:multiLevelType w:val="multilevel"/>
    <w:tmpl w:val="D82EF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F174BFF"/>
    <w:multiLevelType w:val="multilevel"/>
    <w:tmpl w:val="8DA45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F66161E"/>
    <w:multiLevelType w:val="multilevel"/>
    <w:tmpl w:val="64965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9AF40E8"/>
    <w:multiLevelType w:val="multilevel"/>
    <w:tmpl w:val="BF9A2F22"/>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0926FE4"/>
    <w:multiLevelType w:val="hybridMultilevel"/>
    <w:tmpl w:val="C6B487FE"/>
    <w:lvl w:ilvl="0" w:tplc="6978BB1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43804B2F"/>
    <w:multiLevelType w:val="hybridMultilevel"/>
    <w:tmpl w:val="C6540406"/>
    <w:lvl w:ilvl="0" w:tplc="5F1E8D56">
      <w:start w:val="3"/>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466D7FDB"/>
    <w:multiLevelType w:val="multilevel"/>
    <w:tmpl w:val="87C05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C255DE4"/>
    <w:multiLevelType w:val="multilevel"/>
    <w:tmpl w:val="7B70F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0021DA3"/>
    <w:multiLevelType w:val="hybridMultilevel"/>
    <w:tmpl w:val="BE02DF1A"/>
    <w:lvl w:ilvl="0" w:tplc="254EAB6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53B33EF6"/>
    <w:multiLevelType w:val="hybridMultilevel"/>
    <w:tmpl w:val="BDE47B98"/>
    <w:lvl w:ilvl="0" w:tplc="D9D2D44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639F0BA1"/>
    <w:multiLevelType w:val="multilevel"/>
    <w:tmpl w:val="9D38DA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70681F77"/>
    <w:multiLevelType w:val="multilevel"/>
    <w:tmpl w:val="C1905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7B537846"/>
    <w:multiLevelType w:val="multilevel"/>
    <w:tmpl w:val="C756C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7"/>
  </w:num>
  <w:num w:numId="2">
    <w:abstractNumId w:val="12"/>
  </w:num>
  <w:num w:numId="3">
    <w:abstractNumId w:val="13"/>
  </w:num>
  <w:num w:numId="4">
    <w:abstractNumId w:val="18"/>
  </w:num>
  <w:num w:numId="5">
    <w:abstractNumId w:val="19"/>
  </w:num>
  <w:num w:numId="6">
    <w:abstractNumId w:val="9"/>
  </w:num>
  <w:num w:numId="7">
    <w:abstractNumId w:val="1"/>
  </w:num>
  <w:num w:numId="8">
    <w:abstractNumId w:val="20"/>
  </w:num>
  <w:num w:numId="9">
    <w:abstractNumId w:val="4"/>
  </w:num>
  <w:num w:numId="10">
    <w:abstractNumId w:val="2"/>
  </w:num>
  <w:num w:numId="11">
    <w:abstractNumId w:val="8"/>
  </w:num>
  <w:num w:numId="12">
    <w:abstractNumId w:val="0"/>
  </w:num>
  <w:num w:numId="13">
    <w:abstractNumId w:val="15"/>
  </w:num>
  <w:num w:numId="14">
    <w:abstractNumId w:val="7"/>
  </w:num>
  <w:num w:numId="15">
    <w:abstractNumId w:val="14"/>
  </w:num>
  <w:num w:numId="16">
    <w:abstractNumId w:val="11"/>
  </w:num>
  <w:num w:numId="17">
    <w:abstractNumId w:val="10"/>
  </w:num>
  <w:num w:numId="18">
    <w:abstractNumId w:val="3"/>
  </w:num>
  <w:num w:numId="19">
    <w:abstractNumId w:val="16"/>
  </w:num>
  <w:num w:numId="20">
    <w:abstractNumId w:val="6"/>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6E74"/>
    <w:rsid w:val="0000439F"/>
    <w:rsid w:val="00022DF8"/>
    <w:rsid w:val="0005750F"/>
    <w:rsid w:val="00076800"/>
    <w:rsid w:val="0008631D"/>
    <w:rsid w:val="00093940"/>
    <w:rsid w:val="000A76B6"/>
    <w:rsid w:val="000B181A"/>
    <w:rsid w:val="000B2E6C"/>
    <w:rsid w:val="000C62B6"/>
    <w:rsid w:val="000E7F2C"/>
    <w:rsid w:val="001214F2"/>
    <w:rsid w:val="001344C6"/>
    <w:rsid w:val="00194890"/>
    <w:rsid w:val="00202B25"/>
    <w:rsid w:val="00204CF2"/>
    <w:rsid w:val="002176FA"/>
    <w:rsid w:val="00225D51"/>
    <w:rsid w:val="002334A7"/>
    <w:rsid w:val="00282A00"/>
    <w:rsid w:val="0029635F"/>
    <w:rsid w:val="002C1D92"/>
    <w:rsid w:val="002C5383"/>
    <w:rsid w:val="0030641F"/>
    <w:rsid w:val="003355C5"/>
    <w:rsid w:val="00377869"/>
    <w:rsid w:val="00396E74"/>
    <w:rsid w:val="003A5ED8"/>
    <w:rsid w:val="003B269E"/>
    <w:rsid w:val="003B642D"/>
    <w:rsid w:val="003E37BA"/>
    <w:rsid w:val="003E467C"/>
    <w:rsid w:val="003E49F6"/>
    <w:rsid w:val="003F1021"/>
    <w:rsid w:val="003F494F"/>
    <w:rsid w:val="0043706E"/>
    <w:rsid w:val="004563AA"/>
    <w:rsid w:val="00466258"/>
    <w:rsid w:val="00467CE7"/>
    <w:rsid w:val="0048022B"/>
    <w:rsid w:val="004A7CA5"/>
    <w:rsid w:val="004C1509"/>
    <w:rsid w:val="00530ABC"/>
    <w:rsid w:val="00535137"/>
    <w:rsid w:val="0053581A"/>
    <w:rsid w:val="005651A6"/>
    <w:rsid w:val="00566DF0"/>
    <w:rsid w:val="005A5088"/>
    <w:rsid w:val="005A51D9"/>
    <w:rsid w:val="005A60DF"/>
    <w:rsid w:val="005B4675"/>
    <w:rsid w:val="005C44FB"/>
    <w:rsid w:val="005E3649"/>
    <w:rsid w:val="005F20D6"/>
    <w:rsid w:val="00602986"/>
    <w:rsid w:val="0060322A"/>
    <w:rsid w:val="00613DEB"/>
    <w:rsid w:val="00631B17"/>
    <w:rsid w:val="00637473"/>
    <w:rsid w:val="00650F4C"/>
    <w:rsid w:val="00656D9D"/>
    <w:rsid w:val="006627D0"/>
    <w:rsid w:val="00691514"/>
    <w:rsid w:val="006A45F5"/>
    <w:rsid w:val="006B190C"/>
    <w:rsid w:val="006D518A"/>
    <w:rsid w:val="006F472A"/>
    <w:rsid w:val="0071240B"/>
    <w:rsid w:val="0073247E"/>
    <w:rsid w:val="0074324C"/>
    <w:rsid w:val="007601E6"/>
    <w:rsid w:val="007C01C5"/>
    <w:rsid w:val="007C03BF"/>
    <w:rsid w:val="00805885"/>
    <w:rsid w:val="00840122"/>
    <w:rsid w:val="00840DC0"/>
    <w:rsid w:val="00893722"/>
    <w:rsid w:val="008968C9"/>
    <w:rsid w:val="008C08A1"/>
    <w:rsid w:val="008C6CBC"/>
    <w:rsid w:val="008E2139"/>
    <w:rsid w:val="009003FD"/>
    <w:rsid w:val="00900F5B"/>
    <w:rsid w:val="00906406"/>
    <w:rsid w:val="00991F74"/>
    <w:rsid w:val="00A05770"/>
    <w:rsid w:val="00A24FDC"/>
    <w:rsid w:val="00A26C20"/>
    <w:rsid w:val="00A30A65"/>
    <w:rsid w:val="00A4056C"/>
    <w:rsid w:val="00A41930"/>
    <w:rsid w:val="00A50188"/>
    <w:rsid w:val="00A54C83"/>
    <w:rsid w:val="00A67759"/>
    <w:rsid w:val="00A81631"/>
    <w:rsid w:val="00AB534F"/>
    <w:rsid w:val="00AC4DC1"/>
    <w:rsid w:val="00AD1FAD"/>
    <w:rsid w:val="00AD3197"/>
    <w:rsid w:val="00B218E5"/>
    <w:rsid w:val="00B737F1"/>
    <w:rsid w:val="00B80795"/>
    <w:rsid w:val="00B82D2D"/>
    <w:rsid w:val="00BA1ABC"/>
    <w:rsid w:val="00BA5C8F"/>
    <w:rsid w:val="00BB1617"/>
    <w:rsid w:val="00BB2CA0"/>
    <w:rsid w:val="00BB746D"/>
    <w:rsid w:val="00BC0D33"/>
    <w:rsid w:val="00C14BA0"/>
    <w:rsid w:val="00C44162"/>
    <w:rsid w:val="00C44FB8"/>
    <w:rsid w:val="00CA2AD9"/>
    <w:rsid w:val="00CB2AA5"/>
    <w:rsid w:val="00CD6A40"/>
    <w:rsid w:val="00CF22EB"/>
    <w:rsid w:val="00CF4D00"/>
    <w:rsid w:val="00D22DCC"/>
    <w:rsid w:val="00D23621"/>
    <w:rsid w:val="00D261B9"/>
    <w:rsid w:val="00D339F9"/>
    <w:rsid w:val="00D53FB3"/>
    <w:rsid w:val="00D664A1"/>
    <w:rsid w:val="00DA390A"/>
    <w:rsid w:val="00DD1C5F"/>
    <w:rsid w:val="00E0676E"/>
    <w:rsid w:val="00E125E6"/>
    <w:rsid w:val="00E24FA0"/>
    <w:rsid w:val="00E662AD"/>
    <w:rsid w:val="00E6717E"/>
    <w:rsid w:val="00E7110E"/>
    <w:rsid w:val="00E74849"/>
    <w:rsid w:val="00E76712"/>
    <w:rsid w:val="00E80D1B"/>
    <w:rsid w:val="00EA2ADC"/>
    <w:rsid w:val="00F01C05"/>
    <w:rsid w:val="00F33B2D"/>
    <w:rsid w:val="00F42619"/>
    <w:rsid w:val="00FC16C1"/>
    <w:rsid w:val="00FD540A"/>
    <w:rsid w:val="00FF06B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6E74"/>
  </w:style>
  <w:style w:type="paragraph" w:styleId="Ttulo1">
    <w:name w:val="heading 1"/>
    <w:basedOn w:val="Normal"/>
    <w:link w:val="Ttulo1Car"/>
    <w:uiPriority w:val="9"/>
    <w:qFormat/>
    <w:rsid w:val="00656D9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8968C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530ABC"/>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8968C9"/>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6">
    <w:name w:val="heading 6"/>
    <w:basedOn w:val="Normal"/>
    <w:next w:val="Normal"/>
    <w:link w:val="Ttulo6Car"/>
    <w:uiPriority w:val="9"/>
    <w:semiHidden/>
    <w:unhideWhenUsed/>
    <w:qFormat/>
    <w:rsid w:val="005C44FB"/>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96E7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96E74"/>
    <w:rPr>
      <w:rFonts w:ascii="Tahoma" w:hAnsi="Tahoma" w:cs="Tahoma"/>
      <w:sz w:val="16"/>
      <w:szCs w:val="16"/>
    </w:rPr>
  </w:style>
  <w:style w:type="paragraph" w:styleId="Prrafodelista">
    <w:name w:val="List Paragraph"/>
    <w:basedOn w:val="Normal"/>
    <w:uiPriority w:val="34"/>
    <w:qFormat/>
    <w:rsid w:val="00396E74"/>
    <w:pPr>
      <w:ind w:left="720"/>
      <w:contextualSpacing/>
    </w:pPr>
  </w:style>
  <w:style w:type="character" w:styleId="Hipervnculo">
    <w:name w:val="Hyperlink"/>
    <w:basedOn w:val="Fuentedeprrafopredeter"/>
    <w:uiPriority w:val="99"/>
    <w:unhideWhenUsed/>
    <w:rsid w:val="00396E74"/>
    <w:rPr>
      <w:color w:val="0000FF" w:themeColor="hyperlink"/>
      <w:u w:val="single"/>
    </w:rPr>
  </w:style>
  <w:style w:type="character" w:customStyle="1" w:styleId="Ttulo1Car">
    <w:name w:val="Título 1 Car"/>
    <w:basedOn w:val="Fuentedeprrafopredeter"/>
    <w:link w:val="Ttulo1"/>
    <w:uiPriority w:val="9"/>
    <w:rsid w:val="00656D9D"/>
    <w:rPr>
      <w:rFonts w:ascii="Times New Roman" w:eastAsia="Times New Roman" w:hAnsi="Times New Roman" w:cs="Times New Roman"/>
      <w:b/>
      <w:bCs/>
      <w:kern w:val="36"/>
      <w:sz w:val="48"/>
      <w:szCs w:val="48"/>
      <w:lang w:eastAsia="es-ES"/>
    </w:rPr>
  </w:style>
  <w:style w:type="character" w:customStyle="1" w:styleId="genai-block">
    <w:name w:val="genai-block"/>
    <w:basedOn w:val="Fuentedeprrafopredeter"/>
    <w:rsid w:val="00656D9D"/>
  </w:style>
  <w:style w:type="character" w:customStyle="1" w:styleId="Ttulo3Car">
    <w:name w:val="Título 3 Car"/>
    <w:basedOn w:val="Fuentedeprrafopredeter"/>
    <w:link w:val="Ttulo3"/>
    <w:uiPriority w:val="9"/>
    <w:rsid w:val="00530ABC"/>
    <w:rPr>
      <w:rFonts w:asciiTheme="majorHAnsi" w:eastAsiaTheme="majorEastAsia" w:hAnsiTheme="majorHAnsi" w:cstheme="majorBidi"/>
      <w:b/>
      <w:bCs/>
      <w:color w:val="4F81BD" w:themeColor="accent1"/>
    </w:rPr>
  </w:style>
  <w:style w:type="character" w:customStyle="1" w:styleId="mntl-sc-block-headingtext">
    <w:name w:val="mntl-sc-block-heading__text"/>
    <w:basedOn w:val="Fuentedeprrafopredeter"/>
    <w:rsid w:val="00530ABC"/>
  </w:style>
  <w:style w:type="paragraph" w:customStyle="1" w:styleId="comp">
    <w:name w:val="comp"/>
    <w:basedOn w:val="Normal"/>
    <w:rsid w:val="00530AB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530ABC"/>
    <w:rPr>
      <w:b/>
      <w:bCs/>
    </w:rPr>
  </w:style>
  <w:style w:type="character" w:customStyle="1" w:styleId="mntl-inline-citation">
    <w:name w:val="mntl-inline-citation"/>
    <w:basedOn w:val="Fuentedeprrafopredeter"/>
    <w:rsid w:val="00530ABC"/>
  </w:style>
  <w:style w:type="character" w:customStyle="1" w:styleId="mntl-sc-block-subheadingtext">
    <w:name w:val="mntl-sc-block-subheading__text"/>
    <w:basedOn w:val="Fuentedeprrafopredeter"/>
    <w:rsid w:val="00530ABC"/>
  </w:style>
  <w:style w:type="character" w:customStyle="1" w:styleId="figure-article-caption-text">
    <w:name w:val="figure-article-caption-text"/>
    <w:basedOn w:val="Fuentedeprrafopredeter"/>
    <w:rsid w:val="00530ABC"/>
  </w:style>
  <w:style w:type="character" w:customStyle="1" w:styleId="uv3um">
    <w:name w:val="uv3um"/>
    <w:basedOn w:val="Fuentedeprrafopredeter"/>
    <w:rsid w:val="00900F5B"/>
  </w:style>
  <w:style w:type="character" w:customStyle="1" w:styleId="oxzekf">
    <w:name w:val="oxzekf"/>
    <w:basedOn w:val="Fuentedeprrafopredeter"/>
    <w:rsid w:val="0053581A"/>
  </w:style>
  <w:style w:type="paragraph" w:styleId="NormalWeb">
    <w:name w:val="Normal (Web)"/>
    <w:basedOn w:val="Normal"/>
    <w:uiPriority w:val="99"/>
    <w:unhideWhenUsed/>
    <w:rsid w:val="00E662A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E662AD"/>
    <w:rPr>
      <w:i/>
      <w:iCs/>
    </w:rPr>
  </w:style>
  <w:style w:type="character" w:customStyle="1" w:styleId="Ttulo2Car">
    <w:name w:val="Título 2 Car"/>
    <w:basedOn w:val="Fuentedeprrafopredeter"/>
    <w:link w:val="Ttulo2"/>
    <w:uiPriority w:val="9"/>
    <w:rsid w:val="008968C9"/>
    <w:rPr>
      <w:rFonts w:asciiTheme="majorHAnsi" w:eastAsiaTheme="majorEastAsia" w:hAnsiTheme="majorHAnsi" w:cstheme="majorBidi"/>
      <w:b/>
      <w:bCs/>
      <w:color w:val="4F81BD" w:themeColor="accent1"/>
      <w:sz w:val="26"/>
      <w:szCs w:val="26"/>
    </w:rPr>
  </w:style>
  <w:style w:type="character" w:customStyle="1" w:styleId="Ttulo4Car">
    <w:name w:val="Título 4 Car"/>
    <w:basedOn w:val="Fuentedeprrafopredeter"/>
    <w:link w:val="Ttulo4"/>
    <w:uiPriority w:val="9"/>
    <w:semiHidden/>
    <w:rsid w:val="008968C9"/>
    <w:rPr>
      <w:rFonts w:asciiTheme="majorHAnsi" w:eastAsiaTheme="majorEastAsia" w:hAnsiTheme="majorHAnsi" w:cstheme="majorBidi"/>
      <w:b/>
      <w:bCs/>
      <w:i/>
      <w:iCs/>
      <w:color w:val="4F81BD" w:themeColor="accent1"/>
    </w:rPr>
  </w:style>
  <w:style w:type="character" w:customStyle="1" w:styleId="Ttulo6Car">
    <w:name w:val="Título 6 Car"/>
    <w:basedOn w:val="Fuentedeprrafopredeter"/>
    <w:link w:val="Ttulo6"/>
    <w:uiPriority w:val="9"/>
    <w:semiHidden/>
    <w:rsid w:val="005C44FB"/>
    <w:rPr>
      <w:rFonts w:asciiTheme="majorHAnsi" w:eastAsiaTheme="majorEastAsia" w:hAnsiTheme="majorHAnsi" w:cstheme="majorBidi"/>
      <w:i/>
      <w:iCs/>
      <w:color w:val="243F60" w:themeColor="accent1" w:themeShade="7F"/>
    </w:rPr>
  </w:style>
  <w:style w:type="character" w:customStyle="1" w:styleId="figure-article-caption-owner">
    <w:name w:val="figure-article-caption-owner"/>
    <w:basedOn w:val="Fuentedeprrafopredeter"/>
    <w:rsid w:val="005C44F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6E74"/>
  </w:style>
  <w:style w:type="paragraph" w:styleId="Ttulo1">
    <w:name w:val="heading 1"/>
    <w:basedOn w:val="Normal"/>
    <w:link w:val="Ttulo1Car"/>
    <w:uiPriority w:val="9"/>
    <w:qFormat/>
    <w:rsid w:val="00656D9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8968C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530ABC"/>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8968C9"/>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6">
    <w:name w:val="heading 6"/>
    <w:basedOn w:val="Normal"/>
    <w:next w:val="Normal"/>
    <w:link w:val="Ttulo6Car"/>
    <w:uiPriority w:val="9"/>
    <w:semiHidden/>
    <w:unhideWhenUsed/>
    <w:qFormat/>
    <w:rsid w:val="005C44FB"/>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96E7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96E74"/>
    <w:rPr>
      <w:rFonts w:ascii="Tahoma" w:hAnsi="Tahoma" w:cs="Tahoma"/>
      <w:sz w:val="16"/>
      <w:szCs w:val="16"/>
    </w:rPr>
  </w:style>
  <w:style w:type="paragraph" w:styleId="Prrafodelista">
    <w:name w:val="List Paragraph"/>
    <w:basedOn w:val="Normal"/>
    <w:uiPriority w:val="34"/>
    <w:qFormat/>
    <w:rsid w:val="00396E74"/>
    <w:pPr>
      <w:ind w:left="720"/>
      <w:contextualSpacing/>
    </w:pPr>
  </w:style>
  <w:style w:type="character" w:styleId="Hipervnculo">
    <w:name w:val="Hyperlink"/>
    <w:basedOn w:val="Fuentedeprrafopredeter"/>
    <w:uiPriority w:val="99"/>
    <w:unhideWhenUsed/>
    <w:rsid w:val="00396E74"/>
    <w:rPr>
      <w:color w:val="0000FF" w:themeColor="hyperlink"/>
      <w:u w:val="single"/>
    </w:rPr>
  </w:style>
  <w:style w:type="character" w:customStyle="1" w:styleId="Ttulo1Car">
    <w:name w:val="Título 1 Car"/>
    <w:basedOn w:val="Fuentedeprrafopredeter"/>
    <w:link w:val="Ttulo1"/>
    <w:uiPriority w:val="9"/>
    <w:rsid w:val="00656D9D"/>
    <w:rPr>
      <w:rFonts w:ascii="Times New Roman" w:eastAsia="Times New Roman" w:hAnsi="Times New Roman" w:cs="Times New Roman"/>
      <w:b/>
      <w:bCs/>
      <w:kern w:val="36"/>
      <w:sz w:val="48"/>
      <w:szCs w:val="48"/>
      <w:lang w:eastAsia="es-ES"/>
    </w:rPr>
  </w:style>
  <w:style w:type="character" w:customStyle="1" w:styleId="genai-block">
    <w:name w:val="genai-block"/>
    <w:basedOn w:val="Fuentedeprrafopredeter"/>
    <w:rsid w:val="00656D9D"/>
  </w:style>
  <w:style w:type="character" w:customStyle="1" w:styleId="Ttulo3Car">
    <w:name w:val="Título 3 Car"/>
    <w:basedOn w:val="Fuentedeprrafopredeter"/>
    <w:link w:val="Ttulo3"/>
    <w:uiPriority w:val="9"/>
    <w:rsid w:val="00530ABC"/>
    <w:rPr>
      <w:rFonts w:asciiTheme="majorHAnsi" w:eastAsiaTheme="majorEastAsia" w:hAnsiTheme="majorHAnsi" w:cstheme="majorBidi"/>
      <w:b/>
      <w:bCs/>
      <w:color w:val="4F81BD" w:themeColor="accent1"/>
    </w:rPr>
  </w:style>
  <w:style w:type="character" w:customStyle="1" w:styleId="mntl-sc-block-headingtext">
    <w:name w:val="mntl-sc-block-heading__text"/>
    <w:basedOn w:val="Fuentedeprrafopredeter"/>
    <w:rsid w:val="00530ABC"/>
  </w:style>
  <w:style w:type="paragraph" w:customStyle="1" w:styleId="comp">
    <w:name w:val="comp"/>
    <w:basedOn w:val="Normal"/>
    <w:rsid w:val="00530AB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530ABC"/>
    <w:rPr>
      <w:b/>
      <w:bCs/>
    </w:rPr>
  </w:style>
  <w:style w:type="character" w:customStyle="1" w:styleId="mntl-inline-citation">
    <w:name w:val="mntl-inline-citation"/>
    <w:basedOn w:val="Fuentedeprrafopredeter"/>
    <w:rsid w:val="00530ABC"/>
  </w:style>
  <w:style w:type="character" w:customStyle="1" w:styleId="mntl-sc-block-subheadingtext">
    <w:name w:val="mntl-sc-block-subheading__text"/>
    <w:basedOn w:val="Fuentedeprrafopredeter"/>
    <w:rsid w:val="00530ABC"/>
  </w:style>
  <w:style w:type="character" w:customStyle="1" w:styleId="figure-article-caption-text">
    <w:name w:val="figure-article-caption-text"/>
    <w:basedOn w:val="Fuentedeprrafopredeter"/>
    <w:rsid w:val="00530ABC"/>
  </w:style>
  <w:style w:type="character" w:customStyle="1" w:styleId="uv3um">
    <w:name w:val="uv3um"/>
    <w:basedOn w:val="Fuentedeprrafopredeter"/>
    <w:rsid w:val="00900F5B"/>
  </w:style>
  <w:style w:type="character" w:customStyle="1" w:styleId="oxzekf">
    <w:name w:val="oxzekf"/>
    <w:basedOn w:val="Fuentedeprrafopredeter"/>
    <w:rsid w:val="0053581A"/>
  </w:style>
  <w:style w:type="paragraph" w:styleId="NormalWeb">
    <w:name w:val="Normal (Web)"/>
    <w:basedOn w:val="Normal"/>
    <w:uiPriority w:val="99"/>
    <w:unhideWhenUsed/>
    <w:rsid w:val="00E662A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E662AD"/>
    <w:rPr>
      <w:i/>
      <w:iCs/>
    </w:rPr>
  </w:style>
  <w:style w:type="character" w:customStyle="1" w:styleId="Ttulo2Car">
    <w:name w:val="Título 2 Car"/>
    <w:basedOn w:val="Fuentedeprrafopredeter"/>
    <w:link w:val="Ttulo2"/>
    <w:uiPriority w:val="9"/>
    <w:rsid w:val="008968C9"/>
    <w:rPr>
      <w:rFonts w:asciiTheme="majorHAnsi" w:eastAsiaTheme="majorEastAsia" w:hAnsiTheme="majorHAnsi" w:cstheme="majorBidi"/>
      <w:b/>
      <w:bCs/>
      <w:color w:val="4F81BD" w:themeColor="accent1"/>
      <w:sz w:val="26"/>
      <w:szCs w:val="26"/>
    </w:rPr>
  </w:style>
  <w:style w:type="character" w:customStyle="1" w:styleId="Ttulo4Car">
    <w:name w:val="Título 4 Car"/>
    <w:basedOn w:val="Fuentedeprrafopredeter"/>
    <w:link w:val="Ttulo4"/>
    <w:uiPriority w:val="9"/>
    <w:semiHidden/>
    <w:rsid w:val="008968C9"/>
    <w:rPr>
      <w:rFonts w:asciiTheme="majorHAnsi" w:eastAsiaTheme="majorEastAsia" w:hAnsiTheme="majorHAnsi" w:cstheme="majorBidi"/>
      <w:b/>
      <w:bCs/>
      <w:i/>
      <w:iCs/>
      <w:color w:val="4F81BD" w:themeColor="accent1"/>
    </w:rPr>
  </w:style>
  <w:style w:type="character" w:customStyle="1" w:styleId="Ttulo6Car">
    <w:name w:val="Título 6 Car"/>
    <w:basedOn w:val="Fuentedeprrafopredeter"/>
    <w:link w:val="Ttulo6"/>
    <w:uiPriority w:val="9"/>
    <w:semiHidden/>
    <w:rsid w:val="005C44FB"/>
    <w:rPr>
      <w:rFonts w:asciiTheme="majorHAnsi" w:eastAsiaTheme="majorEastAsia" w:hAnsiTheme="majorHAnsi" w:cstheme="majorBidi"/>
      <w:i/>
      <w:iCs/>
      <w:color w:val="243F60" w:themeColor="accent1" w:themeShade="7F"/>
    </w:rPr>
  </w:style>
  <w:style w:type="character" w:customStyle="1" w:styleId="figure-article-caption-owner">
    <w:name w:val="figure-article-caption-owner"/>
    <w:basedOn w:val="Fuentedeprrafopredeter"/>
    <w:rsid w:val="005C44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186546">
      <w:bodyDiv w:val="1"/>
      <w:marLeft w:val="0"/>
      <w:marRight w:val="0"/>
      <w:marTop w:val="0"/>
      <w:marBottom w:val="0"/>
      <w:divBdr>
        <w:top w:val="none" w:sz="0" w:space="0" w:color="auto"/>
        <w:left w:val="none" w:sz="0" w:space="0" w:color="auto"/>
        <w:bottom w:val="none" w:sz="0" w:space="0" w:color="auto"/>
        <w:right w:val="none" w:sz="0" w:space="0" w:color="auto"/>
      </w:divBdr>
    </w:div>
    <w:div w:id="469713396">
      <w:bodyDiv w:val="1"/>
      <w:marLeft w:val="0"/>
      <w:marRight w:val="0"/>
      <w:marTop w:val="0"/>
      <w:marBottom w:val="0"/>
      <w:divBdr>
        <w:top w:val="none" w:sz="0" w:space="0" w:color="auto"/>
        <w:left w:val="none" w:sz="0" w:space="0" w:color="auto"/>
        <w:bottom w:val="none" w:sz="0" w:space="0" w:color="auto"/>
        <w:right w:val="none" w:sz="0" w:space="0" w:color="auto"/>
      </w:divBdr>
    </w:div>
    <w:div w:id="479035079">
      <w:bodyDiv w:val="1"/>
      <w:marLeft w:val="0"/>
      <w:marRight w:val="0"/>
      <w:marTop w:val="0"/>
      <w:marBottom w:val="0"/>
      <w:divBdr>
        <w:top w:val="none" w:sz="0" w:space="0" w:color="auto"/>
        <w:left w:val="none" w:sz="0" w:space="0" w:color="auto"/>
        <w:bottom w:val="none" w:sz="0" w:space="0" w:color="auto"/>
        <w:right w:val="none" w:sz="0" w:space="0" w:color="auto"/>
      </w:divBdr>
      <w:divsChild>
        <w:div w:id="1156337688">
          <w:marLeft w:val="0"/>
          <w:marRight w:val="0"/>
          <w:marTop w:val="0"/>
          <w:marBottom w:val="0"/>
          <w:divBdr>
            <w:top w:val="none" w:sz="0" w:space="0" w:color="auto"/>
            <w:left w:val="none" w:sz="0" w:space="0" w:color="auto"/>
            <w:bottom w:val="none" w:sz="0" w:space="0" w:color="auto"/>
            <w:right w:val="none" w:sz="0" w:space="0" w:color="auto"/>
          </w:divBdr>
          <w:divsChild>
            <w:div w:id="1733187872">
              <w:marLeft w:val="0"/>
              <w:marRight w:val="0"/>
              <w:marTop w:val="0"/>
              <w:marBottom w:val="0"/>
              <w:divBdr>
                <w:top w:val="none" w:sz="0" w:space="0" w:color="auto"/>
                <w:left w:val="none" w:sz="0" w:space="0" w:color="auto"/>
                <w:bottom w:val="none" w:sz="0" w:space="0" w:color="auto"/>
                <w:right w:val="none" w:sz="0" w:space="0" w:color="auto"/>
              </w:divBdr>
              <w:divsChild>
                <w:div w:id="1071347643">
                  <w:marLeft w:val="0"/>
                  <w:marRight w:val="0"/>
                  <w:marTop w:val="0"/>
                  <w:marBottom w:val="0"/>
                  <w:divBdr>
                    <w:top w:val="none" w:sz="0" w:space="0" w:color="auto"/>
                    <w:left w:val="none" w:sz="0" w:space="0" w:color="auto"/>
                    <w:bottom w:val="none" w:sz="0" w:space="0" w:color="auto"/>
                    <w:right w:val="none" w:sz="0" w:space="0" w:color="auto"/>
                  </w:divBdr>
                  <w:divsChild>
                    <w:div w:id="105115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8393">
          <w:marLeft w:val="0"/>
          <w:marRight w:val="0"/>
          <w:marTop w:val="0"/>
          <w:marBottom w:val="0"/>
          <w:divBdr>
            <w:top w:val="none" w:sz="0" w:space="0" w:color="auto"/>
            <w:left w:val="none" w:sz="0" w:space="0" w:color="auto"/>
            <w:bottom w:val="none" w:sz="0" w:space="0" w:color="auto"/>
            <w:right w:val="none" w:sz="0" w:space="0" w:color="auto"/>
          </w:divBdr>
          <w:divsChild>
            <w:div w:id="1539900366">
              <w:marLeft w:val="0"/>
              <w:marRight w:val="0"/>
              <w:marTop w:val="0"/>
              <w:marBottom w:val="0"/>
              <w:divBdr>
                <w:top w:val="none" w:sz="0" w:space="0" w:color="auto"/>
                <w:left w:val="none" w:sz="0" w:space="0" w:color="auto"/>
                <w:bottom w:val="none" w:sz="0" w:space="0" w:color="auto"/>
                <w:right w:val="none" w:sz="0" w:space="0" w:color="auto"/>
              </w:divBdr>
              <w:divsChild>
                <w:div w:id="370230222">
                  <w:marLeft w:val="0"/>
                  <w:marRight w:val="0"/>
                  <w:marTop w:val="0"/>
                  <w:marBottom w:val="0"/>
                  <w:divBdr>
                    <w:top w:val="none" w:sz="0" w:space="0" w:color="auto"/>
                    <w:left w:val="none" w:sz="0" w:space="0" w:color="auto"/>
                    <w:bottom w:val="none" w:sz="0" w:space="0" w:color="auto"/>
                    <w:right w:val="none" w:sz="0" w:space="0" w:color="auto"/>
                  </w:divBdr>
                  <w:divsChild>
                    <w:div w:id="529757486">
                      <w:marLeft w:val="0"/>
                      <w:marRight w:val="0"/>
                      <w:marTop w:val="0"/>
                      <w:marBottom w:val="0"/>
                      <w:divBdr>
                        <w:top w:val="none" w:sz="0" w:space="0" w:color="auto"/>
                        <w:left w:val="none" w:sz="0" w:space="0" w:color="auto"/>
                        <w:bottom w:val="none" w:sz="0" w:space="0" w:color="auto"/>
                        <w:right w:val="none" w:sz="0" w:space="0" w:color="auto"/>
                      </w:divBdr>
                      <w:divsChild>
                        <w:div w:id="14893859">
                          <w:marLeft w:val="0"/>
                          <w:marRight w:val="0"/>
                          <w:marTop w:val="0"/>
                          <w:marBottom w:val="0"/>
                          <w:divBdr>
                            <w:top w:val="none" w:sz="0" w:space="0" w:color="auto"/>
                            <w:left w:val="none" w:sz="0" w:space="0" w:color="auto"/>
                            <w:bottom w:val="none" w:sz="0" w:space="0" w:color="auto"/>
                            <w:right w:val="none" w:sz="0" w:space="0" w:color="auto"/>
                          </w:divBdr>
                          <w:divsChild>
                            <w:div w:id="950087553">
                              <w:marLeft w:val="0"/>
                              <w:marRight w:val="0"/>
                              <w:marTop w:val="0"/>
                              <w:marBottom w:val="0"/>
                              <w:divBdr>
                                <w:top w:val="none" w:sz="0" w:space="0" w:color="auto"/>
                                <w:left w:val="none" w:sz="0" w:space="0" w:color="auto"/>
                                <w:bottom w:val="none" w:sz="0" w:space="0" w:color="auto"/>
                                <w:right w:val="none" w:sz="0" w:space="0" w:color="auto"/>
                              </w:divBdr>
                              <w:divsChild>
                                <w:div w:id="1834442390">
                                  <w:marLeft w:val="0"/>
                                  <w:marRight w:val="0"/>
                                  <w:marTop w:val="0"/>
                                  <w:marBottom w:val="0"/>
                                  <w:divBdr>
                                    <w:top w:val="none" w:sz="0" w:space="0" w:color="auto"/>
                                    <w:left w:val="none" w:sz="0" w:space="0" w:color="auto"/>
                                    <w:bottom w:val="none" w:sz="0" w:space="0" w:color="auto"/>
                                    <w:right w:val="none" w:sz="0" w:space="0" w:color="auto"/>
                                  </w:divBdr>
                                  <w:divsChild>
                                    <w:div w:id="573780158">
                                      <w:marLeft w:val="0"/>
                                      <w:marRight w:val="0"/>
                                      <w:marTop w:val="0"/>
                                      <w:marBottom w:val="0"/>
                                      <w:divBdr>
                                        <w:top w:val="none" w:sz="0" w:space="0" w:color="auto"/>
                                        <w:left w:val="none" w:sz="0" w:space="0" w:color="auto"/>
                                        <w:bottom w:val="none" w:sz="0" w:space="0" w:color="auto"/>
                                        <w:right w:val="none" w:sz="0" w:space="0" w:color="auto"/>
                                      </w:divBdr>
                                      <w:divsChild>
                                        <w:div w:id="336927687">
                                          <w:marLeft w:val="0"/>
                                          <w:marRight w:val="0"/>
                                          <w:marTop w:val="0"/>
                                          <w:marBottom w:val="0"/>
                                          <w:divBdr>
                                            <w:top w:val="none" w:sz="0" w:space="0" w:color="auto"/>
                                            <w:left w:val="none" w:sz="0" w:space="0" w:color="auto"/>
                                            <w:bottom w:val="none" w:sz="0" w:space="0" w:color="auto"/>
                                            <w:right w:val="none" w:sz="0" w:space="0" w:color="auto"/>
                                          </w:divBdr>
                                          <w:divsChild>
                                            <w:div w:id="1592352648">
                                              <w:marLeft w:val="0"/>
                                              <w:marRight w:val="0"/>
                                              <w:marTop w:val="0"/>
                                              <w:marBottom w:val="0"/>
                                              <w:divBdr>
                                                <w:top w:val="none" w:sz="0" w:space="0" w:color="auto"/>
                                                <w:left w:val="none" w:sz="0" w:space="0" w:color="auto"/>
                                                <w:bottom w:val="none" w:sz="0" w:space="0" w:color="auto"/>
                                                <w:right w:val="none" w:sz="0" w:space="0" w:color="auto"/>
                                              </w:divBdr>
                                              <w:divsChild>
                                                <w:div w:id="1971202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79040716">
      <w:bodyDiv w:val="1"/>
      <w:marLeft w:val="0"/>
      <w:marRight w:val="0"/>
      <w:marTop w:val="0"/>
      <w:marBottom w:val="0"/>
      <w:divBdr>
        <w:top w:val="none" w:sz="0" w:space="0" w:color="auto"/>
        <w:left w:val="none" w:sz="0" w:space="0" w:color="auto"/>
        <w:bottom w:val="none" w:sz="0" w:space="0" w:color="auto"/>
        <w:right w:val="none" w:sz="0" w:space="0" w:color="auto"/>
      </w:divBdr>
      <w:divsChild>
        <w:div w:id="646472528">
          <w:blockQuote w:val="1"/>
          <w:marLeft w:val="600"/>
          <w:marRight w:val="600"/>
          <w:marTop w:val="600"/>
          <w:marBottom w:val="600"/>
          <w:divBdr>
            <w:top w:val="none" w:sz="0" w:space="0" w:color="auto"/>
            <w:left w:val="none" w:sz="0" w:space="0" w:color="auto"/>
            <w:bottom w:val="none" w:sz="0" w:space="0" w:color="auto"/>
            <w:right w:val="none" w:sz="0" w:space="0" w:color="auto"/>
          </w:divBdr>
        </w:div>
      </w:divsChild>
    </w:div>
    <w:div w:id="1673609517">
      <w:bodyDiv w:val="1"/>
      <w:marLeft w:val="0"/>
      <w:marRight w:val="0"/>
      <w:marTop w:val="0"/>
      <w:marBottom w:val="0"/>
      <w:divBdr>
        <w:top w:val="none" w:sz="0" w:space="0" w:color="auto"/>
        <w:left w:val="none" w:sz="0" w:space="0" w:color="auto"/>
        <w:bottom w:val="none" w:sz="0" w:space="0" w:color="auto"/>
        <w:right w:val="none" w:sz="0" w:space="0" w:color="auto"/>
      </w:divBdr>
    </w:div>
    <w:div w:id="1706901681">
      <w:bodyDiv w:val="1"/>
      <w:marLeft w:val="0"/>
      <w:marRight w:val="0"/>
      <w:marTop w:val="0"/>
      <w:marBottom w:val="0"/>
      <w:divBdr>
        <w:top w:val="none" w:sz="0" w:space="0" w:color="auto"/>
        <w:left w:val="none" w:sz="0" w:space="0" w:color="auto"/>
        <w:bottom w:val="none" w:sz="0" w:space="0" w:color="auto"/>
        <w:right w:val="none" w:sz="0" w:space="0" w:color="auto"/>
      </w:divBdr>
      <w:divsChild>
        <w:div w:id="723406656">
          <w:marLeft w:val="-420"/>
          <w:marRight w:val="0"/>
          <w:marTop w:val="0"/>
          <w:marBottom w:val="0"/>
          <w:divBdr>
            <w:top w:val="none" w:sz="0" w:space="0" w:color="auto"/>
            <w:left w:val="none" w:sz="0" w:space="0" w:color="auto"/>
            <w:bottom w:val="none" w:sz="0" w:space="0" w:color="auto"/>
            <w:right w:val="none" w:sz="0" w:space="0" w:color="auto"/>
          </w:divBdr>
          <w:divsChild>
            <w:div w:id="735473556">
              <w:marLeft w:val="0"/>
              <w:marRight w:val="0"/>
              <w:marTop w:val="0"/>
              <w:marBottom w:val="0"/>
              <w:divBdr>
                <w:top w:val="none" w:sz="0" w:space="0" w:color="auto"/>
                <w:left w:val="none" w:sz="0" w:space="0" w:color="auto"/>
                <w:bottom w:val="none" w:sz="0" w:space="0" w:color="auto"/>
                <w:right w:val="none" w:sz="0" w:space="0" w:color="auto"/>
              </w:divBdr>
              <w:divsChild>
                <w:div w:id="295642543">
                  <w:marLeft w:val="0"/>
                  <w:marRight w:val="0"/>
                  <w:marTop w:val="0"/>
                  <w:marBottom w:val="0"/>
                  <w:divBdr>
                    <w:top w:val="none" w:sz="0" w:space="0" w:color="auto"/>
                    <w:left w:val="none" w:sz="0" w:space="0" w:color="auto"/>
                    <w:bottom w:val="none" w:sz="0" w:space="0" w:color="auto"/>
                    <w:right w:val="none" w:sz="0" w:space="0" w:color="auto"/>
                  </w:divBdr>
                  <w:divsChild>
                    <w:div w:id="2106028687">
                      <w:marLeft w:val="0"/>
                      <w:marRight w:val="0"/>
                      <w:marTop w:val="0"/>
                      <w:marBottom w:val="0"/>
                      <w:divBdr>
                        <w:top w:val="none" w:sz="0" w:space="0" w:color="auto"/>
                        <w:left w:val="none" w:sz="0" w:space="0" w:color="auto"/>
                        <w:bottom w:val="none" w:sz="0" w:space="0" w:color="auto"/>
                        <w:right w:val="none" w:sz="0" w:space="0" w:color="auto"/>
                      </w:divBdr>
                    </w:div>
                    <w:div w:id="27356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640019">
      <w:bodyDiv w:val="1"/>
      <w:marLeft w:val="0"/>
      <w:marRight w:val="0"/>
      <w:marTop w:val="0"/>
      <w:marBottom w:val="0"/>
      <w:divBdr>
        <w:top w:val="none" w:sz="0" w:space="0" w:color="auto"/>
        <w:left w:val="none" w:sz="0" w:space="0" w:color="auto"/>
        <w:bottom w:val="none" w:sz="0" w:space="0" w:color="auto"/>
        <w:right w:val="none" w:sz="0" w:space="0" w:color="auto"/>
      </w:divBdr>
      <w:divsChild>
        <w:div w:id="1856335334">
          <w:marLeft w:val="0"/>
          <w:marRight w:val="0"/>
          <w:marTop w:val="0"/>
          <w:marBottom w:val="0"/>
          <w:divBdr>
            <w:top w:val="none" w:sz="0" w:space="0" w:color="auto"/>
            <w:left w:val="none" w:sz="0" w:space="0" w:color="auto"/>
            <w:bottom w:val="none" w:sz="0" w:space="0" w:color="auto"/>
            <w:right w:val="none" w:sz="0" w:space="0" w:color="auto"/>
          </w:divBdr>
          <w:divsChild>
            <w:div w:id="1479179999">
              <w:marLeft w:val="0"/>
              <w:marRight w:val="0"/>
              <w:marTop w:val="0"/>
              <w:marBottom w:val="0"/>
              <w:divBdr>
                <w:top w:val="none" w:sz="0" w:space="0" w:color="auto"/>
                <w:left w:val="none" w:sz="0" w:space="0" w:color="auto"/>
                <w:bottom w:val="none" w:sz="0" w:space="0" w:color="auto"/>
                <w:right w:val="none" w:sz="0" w:space="0" w:color="auto"/>
              </w:divBdr>
              <w:divsChild>
                <w:div w:id="579868476">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987974224">
          <w:marLeft w:val="0"/>
          <w:marRight w:val="0"/>
          <w:marTop w:val="0"/>
          <w:marBottom w:val="0"/>
          <w:divBdr>
            <w:top w:val="none" w:sz="0" w:space="0" w:color="auto"/>
            <w:left w:val="none" w:sz="0" w:space="0" w:color="auto"/>
            <w:bottom w:val="none" w:sz="0" w:space="0" w:color="auto"/>
            <w:right w:val="none" w:sz="0" w:space="0" w:color="auto"/>
          </w:divBdr>
          <w:divsChild>
            <w:div w:id="1257178531">
              <w:marLeft w:val="0"/>
              <w:marRight w:val="0"/>
              <w:marTop w:val="0"/>
              <w:marBottom w:val="0"/>
              <w:divBdr>
                <w:top w:val="none" w:sz="0" w:space="0" w:color="auto"/>
                <w:left w:val="none" w:sz="0" w:space="0" w:color="auto"/>
                <w:bottom w:val="none" w:sz="0" w:space="0" w:color="auto"/>
                <w:right w:val="none" w:sz="0" w:space="0" w:color="auto"/>
              </w:divBdr>
              <w:divsChild>
                <w:div w:id="847914322">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841433811">
          <w:marLeft w:val="0"/>
          <w:marRight w:val="0"/>
          <w:marTop w:val="0"/>
          <w:marBottom w:val="0"/>
          <w:divBdr>
            <w:top w:val="none" w:sz="0" w:space="0" w:color="auto"/>
            <w:left w:val="none" w:sz="0" w:space="0" w:color="auto"/>
            <w:bottom w:val="none" w:sz="0" w:space="0" w:color="auto"/>
            <w:right w:val="none" w:sz="0" w:space="0" w:color="auto"/>
          </w:divBdr>
          <w:divsChild>
            <w:div w:id="1457680785">
              <w:marLeft w:val="0"/>
              <w:marRight w:val="0"/>
              <w:marTop w:val="0"/>
              <w:marBottom w:val="0"/>
              <w:divBdr>
                <w:top w:val="none" w:sz="0" w:space="0" w:color="auto"/>
                <w:left w:val="none" w:sz="0" w:space="0" w:color="auto"/>
                <w:bottom w:val="none" w:sz="0" w:space="0" w:color="auto"/>
                <w:right w:val="none" w:sz="0" w:space="0" w:color="auto"/>
              </w:divBdr>
              <w:divsChild>
                <w:div w:id="1131904355">
                  <w:marLeft w:val="-420"/>
                  <w:marRight w:val="0"/>
                  <w:marTop w:val="0"/>
                  <w:marBottom w:val="0"/>
                  <w:divBdr>
                    <w:top w:val="none" w:sz="0" w:space="0" w:color="auto"/>
                    <w:left w:val="none" w:sz="0" w:space="0" w:color="auto"/>
                    <w:bottom w:val="none" w:sz="0" w:space="0" w:color="auto"/>
                    <w:right w:val="none" w:sz="0" w:space="0" w:color="auto"/>
                  </w:divBdr>
                  <w:divsChild>
                    <w:div w:id="936206561">
                      <w:marLeft w:val="0"/>
                      <w:marRight w:val="0"/>
                      <w:marTop w:val="0"/>
                      <w:marBottom w:val="0"/>
                      <w:divBdr>
                        <w:top w:val="none" w:sz="0" w:space="0" w:color="auto"/>
                        <w:left w:val="none" w:sz="0" w:space="0" w:color="auto"/>
                        <w:bottom w:val="none" w:sz="0" w:space="0" w:color="auto"/>
                        <w:right w:val="none" w:sz="0" w:space="0" w:color="auto"/>
                      </w:divBdr>
                      <w:divsChild>
                        <w:div w:id="207189755">
                          <w:marLeft w:val="0"/>
                          <w:marRight w:val="0"/>
                          <w:marTop w:val="0"/>
                          <w:marBottom w:val="0"/>
                          <w:divBdr>
                            <w:top w:val="none" w:sz="0" w:space="0" w:color="auto"/>
                            <w:left w:val="none" w:sz="0" w:space="0" w:color="auto"/>
                            <w:bottom w:val="none" w:sz="0" w:space="0" w:color="auto"/>
                            <w:right w:val="none" w:sz="0" w:space="0" w:color="auto"/>
                          </w:divBdr>
                          <w:divsChild>
                            <w:div w:id="364988934">
                              <w:marLeft w:val="0"/>
                              <w:marRight w:val="0"/>
                              <w:marTop w:val="0"/>
                              <w:marBottom w:val="0"/>
                              <w:divBdr>
                                <w:top w:val="none" w:sz="0" w:space="0" w:color="auto"/>
                                <w:left w:val="none" w:sz="0" w:space="0" w:color="auto"/>
                                <w:bottom w:val="none" w:sz="0" w:space="0" w:color="auto"/>
                                <w:right w:val="none" w:sz="0" w:space="0" w:color="auto"/>
                              </w:divBdr>
                            </w:div>
                            <w:div w:id="1641888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8553249">
                  <w:marLeft w:val="-420"/>
                  <w:marRight w:val="0"/>
                  <w:marTop w:val="0"/>
                  <w:marBottom w:val="0"/>
                  <w:divBdr>
                    <w:top w:val="none" w:sz="0" w:space="0" w:color="auto"/>
                    <w:left w:val="none" w:sz="0" w:space="0" w:color="auto"/>
                    <w:bottom w:val="none" w:sz="0" w:space="0" w:color="auto"/>
                    <w:right w:val="none" w:sz="0" w:space="0" w:color="auto"/>
                  </w:divBdr>
                  <w:divsChild>
                    <w:div w:id="181436169">
                      <w:marLeft w:val="0"/>
                      <w:marRight w:val="0"/>
                      <w:marTop w:val="0"/>
                      <w:marBottom w:val="0"/>
                      <w:divBdr>
                        <w:top w:val="none" w:sz="0" w:space="0" w:color="auto"/>
                        <w:left w:val="none" w:sz="0" w:space="0" w:color="auto"/>
                        <w:bottom w:val="none" w:sz="0" w:space="0" w:color="auto"/>
                        <w:right w:val="none" w:sz="0" w:space="0" w:color="auto"/>
                      </w:divBdr>
                      <w:divsChild>
                        <w:div w:id="2033719845">
                          <w:marLeft w:val="0"/>
                          <w:marRight w:val="0"/>
                          <w:marTop w:val="0"/>
                          <w:marBottom w:val="0"/>
                          <w:divBdr>
                            <w:top w:val="none" w:sz="0" w:space="0" w:color="auto"/>
                            <w:left w:val="none" w:sz="0" w:space="0" w:color="auto"/>
                            <w:bottom w:val="none" w:sz="0" w:space="0" w:color="auto"/>
                            <w:right w:val="none" w:sz="0" w:space="0" w:color="auto"/>
                          </w:divBdr>
                          <w:divsChild>
                            <w:div w:id="1850950132">
                              <w:marLeft w:val="0"/>
                              <w:marRight w:val="0"/>
                              <w:marTop w:val="0"/>
                              <w:marBottom w:val="0"/>
                              <w:divBdr>
                                <w:top w:val="none" w:sz="0" w:space="0" w:color="auto"/>
                                <w:left w:val="none" w:sz="0" w:space="0" w:color="auto"/>
                                <w:bottom w:val="none" w:sz="0" w:space="0" w:color="auto"/>
                                <w:right w:val="none" w:sz="0" w:space="0" w:color="auto"/>
                              </w:divBdr>
                            </w:div>
                            <w:div w:id="978263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1104926">
                  <w:marLeft w:val="-420"/>
                  <w:marRight w:val="0"/>
                  <w:marTop w:val="0"/>
                  <w:marBottom w:val="0"/>
                  <w:divBdr>
                    <w:top w:val="none" w:sz="0" w:space="0" w:color="auto"/>
                    <w:left w:val="none" w:sz="0" w:space="0" w:color="auto"/>
                    <w:bottom w:val="none" w:sz="0" w:space="0" w:color="auto"/>
                    <w:right w:val="none" w:sz="0" w:space="0" w:color="auto"/>
                  </w:divBdr>
                  <w:divsChild>
                    <w:div w:id="2045787291">
                      <w:marLeft w:val="0"/>
                      <w:marRight w:val="0"/>
                      <w:marTop w:val="0"/>
                      <w:marBottom w:val="0"/>
                      <w:divBdr>
                        <w:top w:val="none" w:sz="0" w:space="0" w:color="auto"/>
                        <w:left w:val="none" w:sz="0" w:space="0" w:color="auto"/>
                        <w:bottom w:val="none" w:sz="0" w:space="0" w:color="auto"/>
                        <w:right w:val="none" w:sz="0" w:space="0" w:color="auto"/>
                      </w:divBdr>
                      <w:divsChild>
                        <w:div w:id="291138844">
                          <w:marLeft w:val="0"/>
                          <w:marRight w:val="0"/>
                          <w:marTop w:val="0"/>
                          <w:marBottom w:val="0"/>
                          <w:divBdr>
                            <w:top w:val="none" w:sz="0" w:space="0" w:color="auto"/>
                            <w:left w:val="none" w:sz="0" w:space="0" w:color="auto"/>
                            <w:bottom w:val="none" w:sz="0" w:space="0" w:color="auto"/>
                            <w:right w:val="none" w:sz="0" w:space="0" w:color="auto"/>
                          </w:divBdr>
                          <w:divsChild>
                            <w:div w:id="1926573765">
                              <w:marLeft w:val="0"/>
                              <w:marRight w:val="0"/>
                              <w:marTop w:val="0"/>
                              <w:marBottom w:val="0"/>
                              <w:divBdr>
                                <w:top w:val="none" w:sz="0" w:space="0" w:color="auto"/>
                                <w:left w:val="none" w:sz="0" w:space="0" w:color="auto"/>
                                <w:bottom w:val="none" w:sz="0" w:space="0" w:color="auto"/>
                                <w:right w:val="none" w:sz="0" w:space="0" w:color="auto"/>
                              </w:divBdr>
                            </w:div>
                            <w:div w:id="1510750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421183">
                  <w:marLeft w:val="-420"/>
                  <w:marRight w:val="0"/>
                  <w:marTop w:val="0"/>
                  <w:marBottom w:val="0"/>
                  <w:divBdr>
                    <w:top w:val="none" w:sz="0" w:space="0" w:color="auto"/>
                    <w:left w:val="none" w:sz="0" w:space="0" w:color="auto"/>
                    <w:bottom w:val="none" w:sz="0" w:space="0" w:color="auto"/>
                    <w:right w:val="none" w:sz="0" w:space="0" w:color="auto"/>
                  </w:divBdr>
                  <w:divsChild>
                    <w:div w:id="551190375">
                      <w:marLeft w:val="0"/>
                      <w:marRight w:val="0"/>
                      <w:marTop w:val="0"/>
                      <w:marBottom w:val="0"/>
                      <w:divBdr>
                        <w:top w:val="none" w:sz="0" w:space="0" w:color="auto"/>
                        <w:left w:val="none" w:sz="0" w:space="0" w:color="auto"/>
                        <w:bottom w:val="none" w:sz="0" w:space="0" w:color="auto"/>
                        <w:right w:val="none" w:sz="0" w:space="0" w:color="auto"/>
                      </w:divBdr>
                      <w:divsChild>
                        <w:div w:id="801537370">
                          <w:marLeft w:val="0"/>
                          <w:marRight w:val="0"/>
                          <w:marTop w:val="0"/>
                          <w:marBottom w:val="0"/>
                          <w:divBdr>
                            <w:top w:val="none" w:sz="0" w:space="0" w:color="auto"/>
                            <w:left w:val="none" w:sz="0" w:space="0" w:color="auto"/>
                            <w:bottom w:val="none" w:sz="0" w:space="0" w:color="auto"/>
                            <w:right w:val="none" w:sz="0" w:space="0" w:color="auto"/>
                          </w:divBdr>
                          <w:divsChild>
                            <w:div w:id="1479615705">
                              <w:marLeft w:val="0"/>
                              <w:marRight w:val="0"/>
                              <w:marTop w:val="0"/>
                              <w:marBottom w:val="0"/>
                              <w:divBdr>
                                <w:top w:val="none" w:sz="0" w:space="0" w:color="auto"/>
                                <w:left w:val="none" w:sz="0" w:space="0" w:color="auto"/>
                                <w:bottom w:val="none" w:sz="0" w:space="0" w:color="auto"/>
                                <w:right w:val="none" w:sz="0" w:space="0" w:color="auto"/>
                              </w:divBdr>
                            </w:div>
                            <w:div w:id="677930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191216">
                  <w:marLeft w:val="-420"/>
                  <w:marRight w:val="0"/>
                  <w:marTop w:val="0"/>
                  <w:marBottom w:val="0"/>
                  <w:divBdr>
                    <w:top w:val="none" w:sz="0" w:space="0" w:color="auto"/>
                    <w:left w:val="none" w:sz="0" w:space="0" w:color="auto"/>
                    <w:bottom w:val="none" w:sz="0" w:space="0" w:color="auto"/>
                    <w:right w:val="none" w:sz="0" w:space="0" w:color="auto"/>
                  </w:divBdr>
                  <w:divsChild>
                    <w:div w:id="1758089387">
                      <w:marLeft w:val="0"/>
                      <w:marRight w:val="0"/>
                      <w:marTop w:val="0"/>
                      <w:marBottom w:val="0"/>
                      <w:divBdr>
                        <w:top w:val="none" w:sz="0" w:space="0" w:color="auto"/>
                        <w:left w:val="none" w:sz="0" w:space="0" w:color="auto"/>
                        <w:bottom w:val="none" w:sz="0" w:space="0" w:color="auto"/>
                        <w:right w:val="none" w:sz="0" w:space="0" w:color="auto"/>
                      </w:divBdr>
                      <w:divsChild>
                        <w:div w:id="466556268">
                          <w:marLeft w:val="0"/>
                          <w:marRight w:val="0"/>
                          <w:marTop w:val="0"/>
                          <w:marBottom w:val="0"/>
                          <w:divBdr>
                            <w:top w:val="none" w:sz="0" w:space="0" w:color="auto"/>
                            <w:left w:val="none" w:sz="0" w:space="0" w:color="auto"/>
                            <w:bottom w:val="none" w:sz="0" w:space="0" w:color="auto"/>
                            <w:right w:val="none" w:sz="0" w:space="0" w:color="auto"/>
                          </w:divBdr>
                          <w:divsChild>
                            <w:div w:id="300229036">
                              <w:marLeft w:val="0"/>
                              <w:marRight w:val="0"/>
                              <w:marTop w:val="0"/>
                              <w:marBottom w:val="0"/>
                              <w:divBdr>
                                <w:top w:val="none" w:sz="0" w:space="0" w:color="auto"/>
                                <w:left w:val="none" w:sz="0" w:space="0" w:color="auto"/>
                                <w:bottom w:val="none" w:sz="0" w:space="0" w:color="auto"/>
                                <w:right w:val="none" w:sz="0" w:space="0" w:color="auto"/>
                              </w:divBdr>
                            </w:div>
                            <w:div w:id="1207912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931978">
                  <w:marLeft w:val="-420"/>
                  <w:marRight w:val="0"/>
                  <w:marTop w:val="0"/>
                  <w:marBottom w:val="0"/>
                  <w:divBdr>
                    <w:top w:val="none" w:sz="0" w:space="0" w:color="auto"/>
                    <w:left w:val="none" w:sz="0" w:space="0" w:color="auto"/>
                    <w:bottom w:val="none" w:sz="0" w:space="0" w:color="auto"/>
                    <w:right w:val="none" w:sz="0" w:space="0" w:color="auto"/>
                  </w:divBdr>
                  <w:divsChild>
                    <w:div w:id="558632905">
                      <w:marLeft w:val="0"/>
                      <w:marRight w:val="0"/>
                      <w:marTop w:val="0"/>
                      <w:marBottom w:val="0"/>
                      <w:divBdr>
                        <w:top w:val="none" w:sz="0" w:space="0" w:color="auto"/>
                        <w:left w:val="none" w:sz="0" w:space="0" w:color="auto"/>
                        <w:bottom w:val="none" w:sz="0" w:space="0" w:color="auto"/>
                        <w:right w:val="none" w:sz="0" w:space="0" w:color="auto"/>
                      </w:divBdr>
                      <w:divsChild>
                        <w:div w:id="454951086">
                          <w:marLeft w:val="0"/>
                          <w:marRight w:val="0"/>
                          <w:marTop w:val="0"/>
                          <w:marBottom w:val="0"/>
                          <w:divBdr>
                            <w:top w:val="none" w:sz="0" w:space="0" w:color="auto"/>
                            <w:left w:val="none" w:sz="0" w:space="0" w:color="auto"/>
                            <w:bottom w:val="none" w:sz="0" w:space="0" w:color="auto"/>
                            <w:right w:val="none" w:sz="0" w:space="0" w:color="auto"/>
                          </w:divBdr>
                          <w:divsChild>
                            <w:div w:id="1053457688">
                              <w:marLeft w:val="0"/>
                              <w:marRight w:val="0"/>
                              <w:marTop w:val="0"/>
                              <w:marBottom w:val="0"/>
                              <w:divBdr>
                                <w:top w:val="none" w:sz="0" w:space="0" w:color="auto"/>
                                <w:left w:val="none" w:sz="0" w:space="0" w:color="auto"/>
                                <w:bottom w:val="none" w:sz="0" w:space="0" w:color="auto"/>
                                <w:right w:val="none" w:sz="0" w:space="0" w:color="auto"/>
                              </w:divBdr>
                            </w:div>
                            <w:div w:id="906112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6053033">
                  <w:marLeft w:val="-420"/>
                  <w:marRight w:val="0"/>
                  <w:marTop w:val="0"/>
                  <w:marBottom w:val="0"/>
                  <w:divBdr>
                    <w:top w:val="none" w:sz="0" w:space="0" w:color="auto"/>
                    <w:left w:val="none" w:sz="0" w:space="0" w:color="auto"/>
                    <w:bottom w:val="none" w:sz="0" w:space="0" w:color="auto"/>
                    <w:right w:val="none" w:sz="0" w:space="0" w:color="auto"/>
                  </w:divBdr>
                  <w:divsChild>
                    <w:div w:id="1245451777">
                      <w:marLeft w:val="0"/>
                      <w:marRight w:val="0"/>
                      <w:marTop w:val="0"/>
                      <w:marBottom w:val="0"/>
                      <w:divBdr>
                        <w:top w:val="none" w:sz="0" w:space="0" w:color="auto"/>
                        <w:left w:val="none" w:sz="0" w:space="0" w:color="auto"/>
                        <w:bottom w:val="none" w:sz="0" w:space="0" w:color="auto"/>
                        <w:right w:val="none" w:sz="0" w:space="0" w:color="auto"/>
                      </w:divBdr>
                      <w:divsChild>
                        <w:div w:id="478612686">
                          <w:marLeft w:val="0"/>
                          <w:marRight w:val="0"/>
                          <w:marTop w:val="0"/>
                          <w:marBottom w:val="0"/>
                          <w:divBdr>
                            <w:top w:val="none" w:sz="0" w:space="0" w:color="auto"/>
                            <w:left w:val="none" w:sz="0" w:space="0" w:color="auto"/>
                            <w:bottom w:val="none" w:sz="0" w:space="0" w:color="auto"/>
                            <w:right w:val="none" w:sz="0" w:space="0" w:color="auto"/>
                          </w:divBdr>
                          <w:divsChild>
                            <w:div w:id="1283924178">
                              <w:marLeft w:val="0"/>
                              <w:marRight w:val="0"/>
                              <w:marTop w:val="0"/>
                              <w:marBottom w:val="0"/>
                              <w:divBdr>
                                <w:top w:val="none" w:sz="0" w:space="0" w:color="auto"/>
                                <w:left w:val="none" w:sz="0" w:space="0" w:color="auto"/>
                                <w:bottom w:val="none" w:sz="0" w:space="0" w:color="auto"/>
                                <w:right w:val="none" w:sz="0" w:space="0" w:color="auto"/>
                              </w:divBdr>
                            </w:div>
                            <w:div w:id="985813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756515">
                  <w:marLeft w:val="-420"/>
                  <w:marRight w:val="0"/>
                  <w:marTop w:val="0"/>
                  <w:marBottom w:val="0"/>
                  <w:divBdr>
                    <w:top w:val="none" w:sz="0" w:space="0" w:color="auto"/>
                    <w:left w:val="none" w:sz="0" w:space="0" w:color="auto"/>
                    <w:bottom w:val="none" w:sz="0" w:space="0" w:color="auto"/>
                    <w:right w:val="none" w:sz="0" w:space="0" w:color="auto"/>
                  </w:divBdr>
                  <w:divsChild>
                    <w:div w:id="1597906639">
                      <w:marLeft w:val="0"/>
                      <w:marRight w:val="0"/>
                      <w:marTop w:val="0"/>
                      <w:marBottom w:val="0"/>
                      <w:divBdr>
                        <w:top w:val="none" w:sz="0" w:space="0" w:color="auto"/>
                        <w:left w:val="none" w:sz="0" w:space="0" w:color="auto"/>
                        <w:bottom w:val="none" w:sz="0" w:space="0" w:color="auto"/>
                        <w:right w:val="none" w:sz="0" w:space="0" w:color="auto"/>
                      </w:divBdr>
                      <w:divsChild>
                        <w:div w:id="1260673256">
                          <w:marLeft w:val="0"/>
                          <w:marRight w:val="0"/>
                          <w:marTop w:val="0"/>
                          <w:marBottom w:val="0"/>
                          <w:divBdr>
                            <w:top w:val="none" w:sz="0" w:space="0" w:color="auto"/>
                            <w:left w:val="none" w:sz="0" w:space="0" w:color="auto"/>
                            <w:bottom w:val="none" w:sz="0" w:space="0" w:color="auto"/>
                            <w:right w:val="none" w:sz="0" w:space="0" w:color="auto"/>
                          </w:divBdr>
                          <w:divsChild>
                            <w:div w:id="1125005624">
                              <w:marLeft w:val="0"/>
                              <w:marRight w:val="0"/>
                              <w:marTop w:val="0"/>
                              <w:marBottom w:val="0"/>
                              <w:divBdr>
                                <w:top w:val="none" w:sz="0" w:space="0" w:color="auto"/>
                                <w:left w:val="none" w:sz="0" w:space="0" w:color="auto"/>
                                <w:bottom w:val="none" w:sz="0" w:space="0" w:color="auto"/>
                                <w:right w:val="none" w:sz="0" w:space="0" w:color="auto"/>
                              </w:divBdr>
                            </w:div>
                            <w:div w:id="57693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116377">
                  <w:marLeft w:val="-420"/>
                  <w:marRight w:val="0"/>
                  <w:marTop w:val="0"/>
                  <w:marBottom w:val="0"/>
                  <w:divBdr>
                    <w:top w:val="none" w:sz="0" w:space="0" w:color="auto"/>
                    <w:left w:val="none" w:sz="0" w:space="0" w:color="auto"/>
                    <w:bottom w:val="none" w:sz="0" w:space="0" w:color="auto"/>
                    <w:right w:val="none" w:sz="0" w:space="0" w:color="auto"/>
                  </w:divBdr>
                  <w:divsChild>
                    <w:div w:id="1932934993">
                      <w:marLeft w:val="0"/>
                      <w:marRight w:val="0"/>
                      <w:marTop w:val="0"/>
                      <w:marBottom w:val="0"/>
                      <w:divBdr>
                        <w:top w:val="none" w:sz="0" w:space="0" w:color="auto"/>
                        <w:left w:val="none" w:sz="0" w:space="0" w:color="auto"/>
                        <w:bottom w:val="none" w:sz="0" w:space="0" w:color="auto"/>
                        <w:right w:val="none" w:sz="0" w:space="0" w:color="auto"/>
                      </w:divBdr>
                      <w:divsChild>
                        <w:div w:id="1146163194">
                          <w:marLeft w:val="0"/>
                          <w:marRight w:val="0"/>
                          <w:marTop w:val="0"/>
                          <w:marBottom w:val="0"/>
                          <w:divBdr>
                            <w:top w:val="none" w:sz="0" w:space="0" w:color="auto"/>
                            <w:left w:val="none" w:sz="0" w:space="0" w:color="auto"/>
                            <w:bottom w:val="none" w:sz="0" w:space="0" w:color="auto"/>
                            <w:right w:val="none" w:sz="0" w:space="0" w:color="auto"/>
                          </w:divBdr>
                          <w:divsChild>
                            <w:div w:id="578489881">
                              <w:marLeft w:val="0"/>
                              <w:marRight w:val="0"/>
                              <w:marTop w:val="0"/>
                              <w:marBottom w:val="0"/>
                              <w:divBdr>
                                <w:top w:val="none" w:sz="0" w:space="0" w:color="auto"/>
                                <w:left w:val="none" w:sz="0" w:space="0" w:color="auto"/>
                                <w:bottom w:val="none" w:sz="0" w:space="0" w:color="auto"/>
                                <w:right w:val="none" w:sz="0" w:space="0" w:color="auto"/>
                              </w:divBdr>
                            </w:div>
                            <w:div w:id="173481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9453485">
      <w:bodyDiv w:val="1"/>
      <w:marLeft w:val="0"/>
      <w:marRight w:val="0"/>
      <w:marTop w:val="0"/>
      <w:marBottom w:val="0"/>
      <w:divBdr>
        <w:top w:val="none" w:sz="0" w:space="0" w:color="auto"/>
        <w:left w:val="none" w:sz="0" w:space="0" w:color="auto"/>
        <w:bottom w:val="none" w:sz="0" w:space="0" w:color="auto"/>
        <w:right w:val="none" w:sz="0" w:space="0" w:color="auto"/>
      </w:divBdr>
      <w:divsChild>
        <w:div w:id="1765494259">
          <w:blockQuote w:val="1"/>
          <w:marLeft w:val="600"/>
          <w:marRight w:val="600"/>
          <w:marTop w:val="600"/>
          <w:marBottom w:val="6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80.png"/><Relationship Id="rId21" Type="http://schemas.openxmlformats.org/officeDocument/2006/relationships/hyperlink" Target="https://es.tradingview.com/" TargetMode="External"/><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hyperlink" Target="https://tylervigen.com/spurious/research-papers/3965_rhode-to-the-top-unidentified-flying-object-sightings-and-their-relation-to-successful-mount-everest-climbs.pdf" TargetMode="External"/><Relationship Id="rId68" Type="http://schemas.openxmlformats.org/officeDocument/2006/relationships/hyperlink" Target="https://tylervigen.com/spurious/research-papers/2184_the-air-we-breathe-a-study-on-the-correlation-between-air-pollution-in-iowa-city-and-the-employment-of-library-technicians-in-iowa.pdf" TargetMode="External"/><Relationship Id="rId84" Type="http://schemas.openxmlformats.org/officeDocument/2006/relationships/image" Target="media/image52.jpeg"/><Relationship Id="rId89" Type="http://schemas.openxmlformats.org/officeDocument/2006/relationships/image" Target="media/image55.png"/><Relationship Id="rId112" Type="http://schemas.openxmlformats.org/officeDocument/2006/relationships/image" Target="media/image75.png"/><Relationship Id="rId16" Type="http://schemas.openxmlformats.org/officeDocument/2006/relationships/hyperlink" Target="https://indexes.nikkei.co.jp/" TargetMode="External"/><Relationship Id="rId107" Type="http://schemas.openxmlformats.org/officeDocument/2006/relationships/image" Target="media/image70.png"/><Relationship Id="rId11" Type="http://schemas.openxmlformats.org/officeDocument/2006/relationships/image" Target="media/image5.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3.png"/><Relationship Id="rId58" Type="http://schemas.openxmlformats.org/officeDocument/2006/relationships/image" Target="media/image47.png"/><Relationship Id="rId74" Type="http://schemas.openxmlformats.org/officeDocument/2006/relationships/hyperlink" Target="https://tylervigen.com/spurious/research-papers/5827_the-desktop-dilemma-a-correlative-analysis-of-the-tyler-trend-and-screensaver-searches.pdf" TargetMode="External"/><Relationship Id="rId79" Type="http://schemas.openxmlformats.org/officeDocument/2006/relationships/hyperlink" Target="https://en.wikipedia.org/wiki/Data_dredging" TargetMode="External"/><Relationship Id="rId102" Type="http://schemas.openxmlformats.org/officeDocument/2006/relationships/image" Target="media/image65.png"/><Relationship Id="rId5" Type="http://schemas.openxmlformats.org/officeDocument/2006/relationships/settings" Target="settings.xml"/><Relationship Id="rId90" Type="http://schemas.openxmlformats.org/officeDocument/2006/relationships/image" Target="media/image56.png"/><Relationship Id="rId95" Type="http://schemas.openxmlformats.org/officeDocument/2006/relationships/hyperlink" Target="https://clubdecapitales.com/" TargetMode="Externa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hyperlink" Target="https://tylervigen.com/spurious/research-papers/5962_shining-a-light-on-lightsaber-longings-analyzing-the-association-between-google-searches-for-how-to-build-a-lightsaber-and-pest-control-employment-in-the-district-of-columbia.pdf" TargetMode="External"/><Relationship Id="rId69" Type="http://schemas.openxmlformats.org/officeDocument/2006/relationships/hyperlink" Target="https://tylervigen.com/spurious/research-papers/3018_the-waylon-wind-power-wonder-exploring-the-connection-between-name-popularity-and-renewable-energy-in-china.pdf" TargetMode="External"/><Relationship Id="rId113" Type="http://schemas.openxmlformats.org/officeDocument/2006/relationships/image" Target="media/image76.png"/><Relationship Id="rId118" Type="http://schemas.openxmlformats.org/officeDocument/2006/relationships/image" Target="media/image81.png"/><Relationship Id="rId80" Type="http://schemas.openxmlformats.org/officeDocument/2006/relationships/hyperlink" Target="https://www.xataka.com/magnet/" TargetMode="External"/><Relationship Id="rId85" Type="http://schemas.openxmlformats.org/officeDocument/2006/relationships/hyperlink" Target="https://www.cpba.com.ar/" TargetMode="External"/><Relationship Id="rId12" Type="http://schemas.openxmlformats.org/officeDocument/2006/relationships/image" Target="media/image6.png"/><Relationship Id="rId17" Type="http://schemas.openxmlformats.org/officeDocument/2006/relationships/image" Target="media/image10.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48.jpeg"/><Relationship Id="rId103" Type="http://schemas.openxmlformats.org/officeDocument/2006/relationships/image" Target="media/image66.png"/><Relationship Id="rId108" Type="http://schemas.openxmlformats.org/officeDocument/2006/relationships/image" Target="media/image71.png"/><Relationship Id="rId54" Type="http://schemas.openxmlformats.org/officeDocument/2006/relationships/image" Target="media/image44.png"/><Relationship Id="rId70" Type="http://schemas.openxmlformats.org/officeDocument/2006/relationships/hyperlink" Target="https://tylervigen.com/spurious/research-papers/2592_the-interplanetary-interaction-uranus-distance-and-american-asthma-persistence.pdf" TargetMode="External"/><Relationship Id="rId75" Type="http://schemas.openxmlformats.org/officeDocument/2006/relationships/hyperlink" Target="https://tylervigen.com/spurious/research-papers/2284_digging-deeper-the-unearthed-link-between-us-public-school-kids-and-north-dakota-pipelayers.pdf" TargetMode="External"/><Relationship Id="rId91" Type="http://schemas.openxmlformats.org/officeDocument/2006/relationships/image" Target="media/image57.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39.png"/><Relationship Id="rId114" Type="http://schemas.openxmlformats.org/officeDocument/2006/relationships/image" Target="media/image77.png"/><Relationship Id="rId119"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hyperlink" Target="https://vandalytic.com/" TargetMode="External"/><Relationship Id="rId65" Type="http://schemas.openxmlformats.org/officeDocument/2006/relationships/hyperlink" Target="https://tylervigen.com/spurious/research-papers/5956_hanna-be-the-one-exploring-the-relationship-between-hannas-popularity-and-the-what-does-the-fox-say-meme.pdf" TargetMode="External"/><Relationship Id="rId73" Type="http://schemas.openxmlformats.org/officeDocument/2006/relationships/hyperlink" Target="https://tylervigen.com/spurious/research-papers/1173_swinging-for-the-fences-a-statistical-analysis-of-the-relationship-between-chicago-cubs-total-runs-scored-and-divorce-rates-in-connecticut.pdf" TargetMode="External"/><Relationship Id="rId78" Type="http://schemas.openxmlformats.org/officeDocument/2006/relationships/hyperlink" Target="https://tylervigen.com/spurious-correlations" TargetMode="External"/><Relationship Id="rId81" Type="http://schemas.openxmlformats.org/officeDocument/2006/relationships/image" Target="media/image49.jpeg"/><Relationship Id="rId86" Type="http://schemas.openxmlformats.org/officeDocument/2006/relationships/hyperlink" Target="https://www.investopedia.com/terms/o/openinterest.asp" TargetMode="External"/><Relationship Id="rId94" Type="http://schemas.openxmlformats.org/officeDocument/2006/relationships/hyperlink" Target="https://es.wikipedia.org/wiki/Warren_Buffett" TargetMode="External"/><Relationship Id="rId99" Type="http://schemas.openxmlformats.org/officeDocument/2006/relationships/image" Target="media/image62.png"/><Relationship Id="rId101" Type="http://schemas.openxmlformats.org/officeDocument/2006/relationships/image" Target="media/image64.jpeg"/><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1.png"/><Relationship Id="rId39" Type="http://schemas.openxmlformats.org/officeDocument/2006/relationships/hyperlink" Target="https://es.marketscreener.com/" TargetMode="External"/><Relationship Id="rId109" Type="http://schemas.openxmlformats.org/officeDocument/2006/relationships/image" Target="media/image72.jpe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hyperlink" Target="https://es.marketscreener.com/" TargetMode="External"/><Relationship Id="rId76" Type="http://schemas.openxmlformats.org/officeDocument/2006/relationships/hyperlink" Target="https://tylervigen.com/spurious/research-papers/2695_sitcoms-and-stocks-a-statistical-analysis-of-the-relationship-between-season-ratings-of-two-and-a-half-men-and-paychexs-stock-price.pdf" TargetMode="External"/><Relationship Id="rId97" Type="http://schemas.openxmlformats.org/officeDocument/2006/relationships/image" Target="media/image60.png"/><Relationship Id="rId104" Type="http://schemas.openxmlformats.org/officeDocument/2006/relationships/image" Target="media/image67.png"/><Relationship Id="rId120"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hyperlink" Target="https://tylervigen.com/spurious/research-papers/1301_kernel-connections-the-gmo-corn-conundrum-and-its-corny-correlation-to-executive-administrative-assistants.pdf" TargetMode="External"/><Relationship Id="rId92"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creandgroup.com/" TargetMode="External"/><Relationship Id="rId45" Type="http://schemas.openxmlformats.org/officeDocument/2006/relationships/image" Target="media/image35.png"/><Relationship Id="rId66" Type="http://schemas.openxmlformats.org/officeDocument/2006/relationships/hyperlink" Target="https://tylervigen.com/spurious/research-papers/2099_fanning-the-flames-the-blazing-connection-between-associates-degrees-in-fire-control-and-safety-and-liquefied-petroleum-gas-use-in-japan.pdf" TargetMode="External"/><Relationship Id="rId87" Type="http://schemas.openxmlformats.org/officeDocument/2006/relationships/image" Target="media/image53.png"/><Relationship Id="rId110" Type="http://schemas.openxmlformats.org/officeDocument/2006/relationships/image" Target="media/image73.png"/><Relationship Id="rId115" Type="http://schemas.openxmlformats.org/officeDocument/2006/relationships/image" Target="media/image78.png"/><Relationship Id="rId61" Type="http://schemas.openxmlformats.org/officeDocument/2006/relationships/hyperlink" Target="https://tylervigen.com/spurious-correlations" TargetMode="External"/><Relationship Id="rId82" Type="http://schemas.openxmlformats.org/officeDocument/2006/relationships/image" Target="media/image50.png"/><Relationship Id="rId19" Type="http://schemas.openxmlformats.org/officeDocument/2006/relationships/image" Target="media/image12.png"/><Relationship Id="rId14" Type="http://schemas.openxmlformats.org/officeDocument/2006/relationships/image" Target="media/image8.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5.png"/><Relationship Id="rId77" Type="http://schemas.openxmlformats.org/officeDocument/2006/relationships/hyperlink" Target="https://tylervigen.com/spurious/research-papers/5909_touchdowns-and-trade-offs-analyzing-the-economic-impact-of-san-francisco-49ers-season-wins-on-canadas-gdp-per-capita.pdf" TargetMode="External"/><Relationship Id="rId100" Type="http://schemas.openxmlformats.org/officeDocument/2006/relationships/image" Target="media/image63.png"/><Relationship Id="rId105" Type="http://schemas.openxmlformats.org/officeDocument/2006/relationships/image" Target="media/image68.png"/><Relationship Id="rId8" Type="http://schemas.openxmlformats.org/officeDocument/2006/relationships/image" Target="media/image2.png"/><Relationship Id="rId51" Type="http://schemas.openxmlformats.org/officeDocument/2006/relationships/image" Target="media/image41.png"/><Relationship Id="rId72" Type="http://schemas.openxmlformats.org/officeDocument/2006/relationships/hyperlink" Target="https://tylervigen.com/spurious/research-papers/5133_floss-dance-flair-is-jet-fuel-in-kazakhstan-linked-to-online-trending.pdf" TargetMode="External"/><Relationship Id="rId93" Type="http://schemas.openxmlformats.org/officeDocument/2006/relationships/hyperlink" Target="https://clubdecapitales.com/educacion/benjamin-graham-inversor-inteligente/" TargetMode="External"/><Relationship Id="rId98" Type="http://schemas.openxmlformats.org/officeDocument/2006/relationships/image" Target="media/image61.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6.png"/><Relationship Id="rId67" Type="http://schemas.openxmlformats.org/officeDocument/2006/relationships/hyperlink" Target="https://tylervigen.com/spurious/research-papers/4562_home-maintenance-expenditures-and-tech-talk-unraveling-the-hidden-thread-between-household-spending-and-youtube-engagement.pdf" TargetMode="External"/><Relationship Id="rId116" Type="http://schemas.openxmlformats.org/officeDocument/2006/relationships/image" Target="media/image79.png"/><Relationship Id="rId20" Type="http://schemas.openxmlformats.org/officeDocument/2006/relationships/image" Target="media/image13.png"/><Relationship Id="rId41" Type="http://schemas.openxmlformats.org/officeDocument/2006/relationships/image" Target="media/image31.jpeg"/><Relationship Id="rId62" Type="http://schemas.openxmlformats.org/officeDocument/2006/relationships/hyperlink" Target="https://tylervigen.com/spurious/research-papers/5957_meme-mania-and-montanas-manpower-a-mirthful-examination-of-the-relationship-between-the-not-sure-if-meme-and-the-number-of-air-traffic-controllers-in-the-big-sky-state.pdf" TargetMode="External"/><Relationship Id="rId83" Type="http://schemas.openxmlformats.org/officeDocument/2006/relationships/image" Target="media/image51.jpeg"/><Relationship Id="rId88" Type="http://schemas.openxmlformats.org/officeDocument/2006/relationships/image" Target="media/image54.png"/><Relationship Id="rId111" Type="http://schemas.openxmlformats.org/officeDocument/2006/relationships/image" Target="media/image74.png"/><Relationship Id="rId15" Type="http://schemas.openxmlformats.org/officeDocument/2006/relationships/image" Target="media/image9.png"/><Relationship Id="rId36" Type="http://schemas.openxmlformats.org/officeDocument/2006/relationships/image" Target="media/image28.png"/><Relationship Id="rId57" Type="http://schemas.openxmlformats.org/officeDocument/2006/relationships/image" Target="media/image46.png"/><Relationship Id="rId106" Type="http://schemas.openxmlformats.org/officeDocument/2006/relationships/image" Target="media/image6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439402-7B7B-4A14-A3BB-4DE3E02C2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114</Pages>
  <Words>35146</Words>
  <Characters>193309</Characters>
  <Application>Microsoft Office Word</Application>
  <DocSecurity>0</DocSecurity>
  <Lines>1610</Lines>
  <Paragraphs>455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228000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2025-07-15T10:16:00Z</dcterms:created>
  <dcterms:modified xsi:type="dcterms:W3CDTF">2025-07-15T10:16:00Z</dcterms:modified>
</cp:coreProperties>
</file>